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footer16.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15.xml" ContentType="application/vnd.openxmlformats-officedocument.wordprocessingml.footer+xml"/>
  <Override PartName="/word/styles.xml" ContentType="application/vnd.openxmlformats-officedocument.wordprocessingml.styles+xml"/>
  <Override PartName="/word/header9.xml" ContentType="application/vnd.openxmlformats-officedocument.wordprocessingml.header+xml"/>
  <Override PartName="/word/footer6.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sz w:val="36"/>
          <w:szCs w:val="36"/>
        </w:rPr>
      </w:pPr>
      <w:r>
        <w:rPr>
          <w:sz w:val="36"/>
          <w:szCs w:val="36"/>
        </w:rPr>
        <w:t>SCHEDULES</w:t>
      </w:r>
    </w:p>
    <w:p>
      <w:pPr>
        <w:pStyle w:val="Normal"/>
        <w:jc w:val="center"/>
        <w:rPr>
          <w:sz w:val="36"/>
          <w:szCs w:val="36"/>
        </w:rPr>
      </w:pPr>
      <w:r>
        <w:rPr>
          <w:sz w:val="36"/>
          <w:szCs w:val="36"/>
        </w:rPr>
      </w:r>
    </w:p>
    <w:p>
      <w:pPr>
        <w:pStyle w:val="Normal"/>
        <w:jc w:val="center"/>
        <w:rPr>
          <w:sz w:val="36"/>
          <w:szCs w:val="36"/>
        </w:rPr>
      </w:pPr>
      <w:r>
        <w:rPr>
          <w:sz w:val="36"/>
          <w:szCs w:val="36"/>
        </w:rPr>
        <w:t>TO</w:t>
      </w:r>
    </w:p>
    <w:p>
      <w:pPr>
        <w:pStyle w:val="Normal"/>
        <w:jc w:val="center"/>
        <w:rPr>
          <w:sz w:val="36"/>
          <w:szCs w:val="36"/>
        </w:rPr>
      </w:pPr>
      <w:r>
        <w:rPr>
          <w:sz w:val="36"/>
          <w:szCs w:val="36"/>
        </w:rPr>
      </w:r>
    </w:p>
    <w:p>
      <w:pPr>
        <w:pStyle w:val="Normal"/>
        <w:jc w:val="center"/>
        <w:rPr>
          <w:sz w:val="36"/>
          <w:szCs w:val="36"/>
        </w:rPr>
      </w:pPr>
      <w:r>
        <w:rPr>
          <w:sz w:val="36"/>
          <w:szCs w:val="36"/>
        </w:rPr>
        <w:t>PURCHASE AND SALE AGREEMENT</w:t>
      </w:r>
    </w:p>
    <w:p>
      <w:pPr>
        <w:pStyle w:val="Normal"/>
        <w:jc w:val="center"/>
        <w:rPr>
          <w:sz w:val="36"/>
          <w:szCs w:val="36"/>
        </w:rPr>
      </w:pPr>
      <w:r>
        <w:rPr>
          <w:sz w:val="36"/>
          <w:szCs w:val="36"/>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jc w:val="center"/>
        <w:rPr>
          <w:sz w:val="36"/>
          <w:szCs w:val="36"/>
        </w:rPr>
      </w:pPr>
      <w:r>
        <w:rPr>
          <w:sz w:val="36"/>
          <w:szCs w:val="36"/>
        </w:rPr>
      </w:r>
    </w:p>
    <w:p>
      <w:pPr>
        <w:pStyle w:val="Normal"/>
        <w:jc w:val="center"/>
        <w:rPr/>
      </w:pPr>
      <w:r>
        <w:rPr/>
        <w:t>PURCHASE AND SALE AGREEMENT</w:t>
      </w:r>
    </w:p>
    <w:p>
      <w:pPr>
        <w:pStyle w:val="Normal"/>
        <w:jc w:val="center"/>
        <w:rPr/>
      </w:pPr>
      <w:r>
        <w:rPr/>
      </w:r>
    </w:p>
    <w:p>
      <w:pPr>
        <w:pStyle w:val="Normal"/>
        <w:jc w:val="center"/>
        <w:rPr/>
      </w:pPr>
      <w:r>
        <w:rPr/>
        <w:t>Schedule 1.1(a)</w:t>
      </w:r>
    </w:p>
    <w:p>
      <w:pPr>
        <w:pStyle w:val="Normal"/>
        <w:jc w:val="center"/>
        <w:rPr/>
      </w:pPr>
      <w:r>
        <w:rPr/>
        <w:t>Company Guarantees</w:t>
      </w:r>
    </w:p>
    <w:p>
      <w:pPr>
        <w:pStyle w:val="Normal"/>
        <w:rPr/>
      </w:pPr>
      <w:r>
        <w:rPr/>
      </w:r>
    </w:p>
    <w:p>
      <w:pPr>
        <w:pStyle w:val="Normal"/>
        <w:rPr/>
      </w:pPr>
      <w:r>
        <w:rPr/>
        <w:t>See attached.</w:t>
      </w:r>
    </w:p>
    <w:p>
      <w:pPr>
        <w:pStyle w:val="Normal"/>
        <w:rPr/>
      </w:pPr>
      <w:r>
        <w:rPr/>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Normal"/>
        <w:rPr/>
      </w:pPr>
      <w:r>
        <w:rPr/>
      </w:r>
    </w:p>
    <w:p>
      <w:pPr>
        <w:pStyle w:val="Normal"/>
        <w:jc w:val="center"/>
        <w:rPr/>
      </w:pPr>
      <w:r>
        <w:rPr/>
        <w:t>PURCHASE AND SALE AGREEMENT</w:t>
      </w:r>
    </w:p>
    <w:p>
      <w:pPr>
        <w:pStyle w:val="Normal"/>
        <w:jc w:val="center"/>
        <w:rPr/>
      </w:pPr>
      <w:r>
        <w:rPr/>
      </w:r>
    </w:p>
    <w:p>
      <w:pPr>
        <w:pStyle w:val="Normal"/>
        <w:jc w:val="center"/>
        <w:rPr/>
      </w:pPr>
      <w:r>
        <w:rPr/>
        <w:t>Schedule 1.1(b)</w:t>
      </w:r>
    </w:p>
    <w:p>
      <w:pPr>
        <w:pStyle w:val="Normal"/>
        <w:jc w:val="center"/>
        <w:rPr/>
      </w:pPr>
      <w:r>
        <w:rPr/>
        <w:t>Company Subsidiaries</w:t>
      </w:r>
    </w:p>
    <w:p>
      <w:pPr>
        <w:pStyle w:val="Normal"/>
        <w:jc w:val="center"/>
        <w:rPr/>
      </w:pPr>
      <w:r>
        <w:rPr/>
      </w:r>
    </w:p>
    <w:p>
      <w:pPr>
        <w:pStyle w:val="Normal"/>
        <w:jc w:val="center"/>
        <w:rPr/>
      </w:pPr>
      <w:r>
        <w:rPr/>
      </w:r>
    </w:p>
    <w:p>
      <w:pPr>
        <w:pStyle w:val="Normal"/>
        <w:rPr/>
      </w:pPr>
      <w:r>
        <w:rPr/>
        <w:t>The following is a list of the subsidiaries of Houston Pipe Line Company (“HPL”) that will remain as of the Closing Date:</w:t>
      </w:r>
    </w:p>
    <w:p>
      <w:pPr>
        <w:pStyle w:val="Normal"/>
        <w:rPr/>
      </w:pPr>
      <w:r>
        <w:rPr/>
      </w:r>
    </w:p>
    <w:p>
      <w:pPr>
        <w:pStyle w:val="Normal"/>
        <w:rPr/>
      </w:pPr>
      <w:r>
        <w:rPr/>
        <w:t>HPL Resources Company</w:t>
      </w:r>
    </w:p>
    <w:p>
      <w:pPr>
        <w:pStyle w:val="Normal"/>
        <w:rPr/>
      </w:pPr>
      <w:r>
        <w:rPr/>
        <w:t>MidTexas Pipeline Company</w:t>
      </w:r>
    </w:p>
    <w:p>
      <w:pPr>
        <w:pStyle w:val="Normal"/>
        <w:rPr/>
      </w:pPr>
      <w:r>
        <w:rPr/>
      </w:r>
    </w:p>
    <w:p>
      <w:pPr>
        <w:pStyle w:val="Normal"/>
        <w:rPr/>
      </w:pPr>
      <w:r>
        <w:rPr/>
        <w:t>Lodisco, LLC will have no subsidiaries.</w:t>
      </w:r>
    </w:p>
    <w:p>
      <w:pPr>
        <w:pStyle w:val="Normal"/>
        <w:jc w:val="center"/>
        <w:rPr/>
      </w:pPr>
      <w:r>
        <w:rPr/>
        <w:t>PURCHASE AND SALE AGREEMENT</w:t>
      </w:r>
    </w:p>
    <w:p>
      <w:pPr>
        <w:pStyle w:val="Normal"/>
        <w:jc w:val="center"/>
        <w:rPr/>
      </w:pPr>
      <w:r>
        <w:rPr/>
      </w:r>
    </w:p>
    <w:p>
      <w:pPr>
        <w:pStyle w:val="Normal"/>
        <w:jc w:val="center"/>
        <w:rPr/>
      </w:pPr>
      <w:r>
        <w:rPr/>
        <w:t>Schedule 1.1(c)</w:t>
      </w:r>
    </w:p>
    <w:p>
      <w:pPr>
        <w:pStyle w:val="Normal"/>
        <w:jc w:val="center"/>
        <w:rPr/>
      </w:pPr>
      <w:r>
        <w:rPr/>
        <w:t>Counterparties</w:t>
      </w:r>
    </w:p>
    <w:p>
      <w:pPr>
        <w:pStyle w:val="Normal"/>
        <w:jc w:val="center"/>
        <w:rPr>
          <w:b/>
          <w:bCs/>
        </w:rPr>
      </w:pPr>
      <w:r>
        <w:rPr>
          <w:b/>
          <w:bCs/>
        </w:rPr>
      </w:r>
    </w:p>
    <w:p>
      <w:pPr>
        <w:pStyle w:val="Normal"/>
        <w:jc w:val="center"/>
        <w:rPr>
          <w:b/>
          <w:bCs/>
        </w:rPr>
      </w:pPr>
      <w:r>
        <w:rPr>
          <w:b/>
          <w:bCs/>
        </w:rPr>
      </w:r>
    </w:p>
    <w:p>
      <w:pPr>
        <w:pStyle w:val="Normal"/>
        <w:rPr/>
      </w:pPr>
      <w:r>
        <w:rPr/>
        <w:t>HPL Asset Holdings L.P.</w:t>
      </w:r>
    </w:p>
    <w:p>
      <w:pPr>
        <w:pStyle w:val="Normal"/>
        <w:rPr/>
      </w:pPr>
      <w:r>
        <w:rPr/>
        <w:t>Bammel Gas Trust</w:t>
      </w:r>
    </w:p>
    <w:p>
      <w:pPr>
        <w:pStyle w:val="Normal"/>
        <w:rPr/>
      </w:pPr>
      <w:r>
        <w:rPr/>
        <w:t>The Bank of New York, as Trustee</w:t>
      </w:r>
    </w:p>
    <w:p>
      <w:pPr>
        <w:pStyle w:val="Normal"/>
        <w:rPr/>
      </w:pPr>
      <w:r>
        <w:rPr/>
        <w:t>BAM Lease Company</w:t>
      </w:r>
    </w:p>
    <w:p>
      <w:pPr>
        <w:pStyle w:val="Normal"/>
        <w:rPr/>
      </w:pPr>
      <w:r>
        <w:rPr/>
        <w:t>Bank of America, N.A.</w:t>
      </w:r>
    </w:p>
    <w:p>
      <w:pPr>
        <w:pStyle w:val="Normal"/>
        <w:rPr/>
      </w:pPr>
      <w:r>
        <w:rPr/>
        <w:t>Enron North American Corp.</w:t>
      </w:r>
    </w:p>
    <w:p>
      <w:pPr>
        <w:pStyle w:val="Normal"/>
        <w:rPr/>
      </w:pPr>
      <w:r>
        <w:rPr/>
        <w:t>HPL Resources Company</w:t>
      </w:r>
    </w:p>
    <w:p>
      <w:pPr>
        <w:pStyle w:val="Normal"/>
        <w:rPr/>
      </w:pPr>
      <w:r>
        <w:rPr/>
        <w:t>Enron Corp.</w:t>
      </w:r>
    </w:p>
    <w:p>
      <w:pPr>
        <w:pStyle w:val="Normal"/>
        <w:rPr/>
      </w:pPr>
      <w:r>
        <w:rPr/>
        <w:t>Houston Pipe Line Company</w:t>
      </w:r>
    </w:p>
    <w:p>
      <w:pPr>
        <w:pStyle w:val="Normal"/>
        <w:jc w:val="center"/>
        <w:rPr/>
      </w:pPr>
      <w:r>
        <w:rPr/>
        <w:t>PURCHASE AND SALE AGREEMENT</w:t>
      </w:r>
    </w:p>
    <w:p>
      <w:pPr>
        <w:pStyle w:val="Normal"/>
        <w:jc w:val="center"/>
        <w:rPr/>
      </w:pPr>
      <w:r>
        <w:rPr/>
      </w:r>
    </w:p>
    <w:p>
      <w:pPr>
        <w:pStyle w:val="Normal"/>
        <w:jc w:val="center"/>
        <w:rPr/>
      </w:pPr>
      <w:r>
        <w:rPr/>
        <w:t>Schedule 1.1(d)</w:t>
      </w:r>
    </w:p>
    <w:p>
      <w:pPr>
        <w:pStyle w:val="Normal"/>
        <w:jc w:val="center"/>
        <w:rPr/>
      </w:pPr>
      <w:r>
        <w:rPr/>
        <w:t>Seller's Knowledge</w:t>
      </w:r>
    </w:p>
    <w:p>
      <w:pPr>
        <w:pStyle w:val="Normal"/>
        <w:jc w:val="center"/>
        <w:rPr/>
      </w:pPr>
      <w:r>
        <w:rPr/>
      </w:r>
    </w:p>
    <w:p>
      <w:pPr>
        <w:pStyle w:val="Normal"/>
        <w:rPr/>
      </w:pPr>
      <w:r>
        <w:rPr/>
        <w:t>Brian Redmond</w:t>
      </w:r>
    </w:p>
    <w:p>
      <w:pPr>
        <w:pStyle w:val="Normal"/>
        <w:rPr/>
      </w:pPr>
      <w:r>
        <w:rPr/>
        <w:t>Steve Schneider</w:t>
      </w:r>
    </w:p>
    <w:p>
      <w:pPr>
        <w:pStyle w:val="Normal"/>
        <w:rPr/>
      </w:pPr>
      <w:r>
        <w:rPr/>
        <w:t>Wes Colwell</w:t>
      </w:r>
    </w:p>
    <w:p>
      <w:pPr>
        <w:pStyle w:val="Normal"/>
        <w:rPr/>
      </w:pPr>
      <w:r>
        <w:rPr/>
        <w:t>Tom Martin</w:t>
      </w:r>
    </w:p>
    <w:p>
      <w:pPr>
        <w:pStyle w:val="Normal"/>
        <w:rPr/>
      </w:pPr>
      <w:r>
        <w:rPr/>
        <w:t>Jim Ducote</w:t>
      </w:r>
    </w:p>
    <w:p>
      <w:pPr>
        <w:pStyle w:val="Normal"/>
        <w:rPr/>
      </w:pPr>
      <w:r>
        <w:rPr/>
        <w:t>Jill Zivley</w:t>
      </w:r>
    </w:p>
    <w:p>
      <w:pPr>
        <w:pStyle w:val="Normal"/>
        <w:rPr/>
      </w:pPr>
      <w:r>
        <w:rPr/>
        <w:t>Barbara Gray</w:t>
      </w:r>
    </w:p>
    <w:p>
      <w:pPr>
        <w:pStyle w:val="Normal"/>
        <w:rPr/>
      </w:pPr>
      <w:r>
        <w:rPr/>
        <w:t>Jim Schwieger</w:t>
      </w:r>
    </w:p>
    <w:p>
      <w:pPr>
        <w:pStyle w:val="Normal"/>
        <w:rPr/>
      </w:pPr>
      <w:r>
        <w:rPr/>
        <w:t>Ed Gottlob</w:t>
      </w:r>
    </w:p>
    <w:p>
      <w:pPr>
        <w:pStyle w:val="Normal"/>
        <w:rPr/>
      </w:pPr>
      <w:r>
        <w:rPr/>
        <w:t>James McKay</w:t>
      </w:r>
    </w:p>
    <w:p>
      <w:pPr>
        <w:pStyle w:val="Normal"/>
        <w:rPr/>
      </w:pPr>
      <w:r>
        <w:rPr/>
        <w:t>Charlie Thompson</w:t>
      </w:r>
    </w:p>
    <w:p>
      <w:pPr>
        <w:pStyle w:val="Normal"/>
        <w:rPr/>
      </w:pPr>
      <w:r>
        <w:rPr/>
        <w:t>Nick Cocavessis</w:t>
      </w:r>
    </w:p>
    <w:p>
      <w:pPr>
        <w:pStyle w:val="Normal"/>
        <w:jc w:val="center"/>
        <w:rPr/>
      </w:pPr>
      <w:r>
        <w:rPr/>
      </w:r>
    </w:p>
    <w:p>
      <w:pPr>
        <w:pStyle w:val="Normal"/>
        <w:jc w:val="center"/>
        <w:rPr/>
      </w:pPr>
      <w:r>
        <w:rPr/>
        <w:t>PURCHASE AND SALE AGREEMENT</w:t>
      </w:r>
    </w:p>
    <w:p>
      <w:pPr>
        <w:pStyle w:val="Normal"/>
        <w:jc w:val="center"/>
        <w:rPr/>
      </w:pPr>
      <w:r>
        <w:rPr/>
      </w:r>
    </w:p>
    <w:p>
      <w:pPr>
        <w:pStyle w:val="Normal"/>
        <w:jc w:val="center"/>
        <w:rPr/>
      </w:pPr>
      <w:r>
        <w:rPr/>
        <w:t>Schedule 1.1(e)</w:t>
      </w:r>
    </w:p>
    <w:p>
      <w:pPr>
        <w:pStyle w:val="Normal"/>
        <w:jc w:val="center"/>
        <w:rPr/>
      </w:pPr>
      <w:r>
        <w:rPr/>
        <w:t>Buyer’s Knowledge</w:t>
      </w:r>
    </w:p>
    <w:p>
      <w:pPr>
        <w:pStyle w:val="Normal"/>
        <w:jc w:val="center"/>
        <w:rPr/>
      </w:pPr>
      <w:r>
        <w:rPr/>
      </w:r>
    </w:p>
    <w:p>
      <w:pPr>
        <w:pStyle w:val="Normal"/>
        <w:jc w:val="both"/>
        <w:rPr/>
      </w:pPr>
      <w:r>
        <w:rPr/>
      </w:r>
    </w:p>
    <w:p>
      <w:pPr>
        <w:pStyle w:val="Normal"/>
        <w:jc w:val="both"/>
        <w:rPr/>
      </w:pPr>
      <w:r>
        <w:rPr/>
        <w:t>Dwayne Hart</w:t>
      </w:r>
    </w:p>
    <w:p>
      <w:pPr>
        <w:pStyle w:val="Normal"/>
        <w:jc w:val="both"/>
        <w:rPr/>
      </w:pPr>
      <w:r>
        <w:rPr/>
        <w:t>Doug Penrod</w:t>
      </w:r>
    </w:p>
    <w:p>
      <w:pPr>
        <w:pStyle w:val="Normal"/>
        <w:jc w:val="both"/>
        <w:rPr/>
      </w:pPr>
      <w:r>
        <w:rPr/>
        <w:t>Gary Prescott</w:t>
      </w:r>
    </w:p>
    <w:p>
      <w:pPr>
        <w:pStyle w:val="Normal"/>
        <w:jc w:val="center"/>
        <w:rPr/>
      </w:pPr>
      <w:r>
        <w:rPr/>
        <w:t>PURCHASE AND SALE AGREEMENT</w:t>
      </w:r>
    </w:p>
    <w:p>
      <w:pPr>
        <w:pStyle w:val="Normal"/>
        <w:jc w:val="center"/>
        <w:rPr/>
      </w:pPr>
      <w:r>
        <w:rPr/>
      </w:r>
    </w:p>
    <w:p>
      <w:pPr>
        <w:pStyle w:val="Normal"/>
        <w:jc w:val="center"/>
        <w:rPr/>
      </w:pPr>
      <w:r>
        <w:rPr/>
        <w:t>Schedule 2.4(e)</w:t>
      </w:r>
    </w:p>
    <w:p>
      <w:pPr>
        <w:pStyle w:val="Normal"/>
        <w:jc w:val="center"/>
        <w:rPr/>
      </w:pPr>
      <w:r>
        <w:rPr/>
        <w:t>Calculation of Working Capital</w:t>
      </w:r>
    </w:p>
    <w:p>
      <w:pPr>
        <w:pStyle w:val="Normal"/>
        <w:jc w:val="center"/>
        <w:rPr/>
      </w:pPr>
      <w:r>
        <w:rPr/>
      </w:r>
    </w:p>
    <w:p>
      <w:pPr>
        <w:pStyle w:val="Normal"/>
        <w:jc w:val="center"/>
        <w:rPr/>
      </w:pPr>
      <w:r>
        <w:rPr/>
      </w:r>
    </w:p>
    <w:p>
      <w:pPr>
        <w:pStyle w:val="Normal"/>
        <w:ind w:firstLine="720" w:end="0"/>
        <w:jc w:val="both"/>
        <w:rPr/>
      </w:pPr>
      <w:r>
        <w:rPr/>
        <w:t>Working Capital for purposes of the Working Capital Calculation Statement shall be comprised only of prepayments, which shall be determined using the same procedures as used in the preparation of the Balance Sheet dated July 31, 2000 that is attached as Schedule 4.7(a) to the Agreement.</w:t>
      </w:r>
    </w:p>
    <w:p>
      <w:pPr>
        <w:pStyle w:val="Normal"/>
        <w:ind w:firstLine="720" w:end="0"/>
        <w:jc w:val="both"/>
        <w:rPr/>
      </w:pPr>
      <w:r>
        <w:rPr/>
      </w:r>
    </w:p>
    <w:p>
      <w:pPr>
        <w:pStyle w:val="Normal"/>
        <w:ind w:firstLine="720" w:end="0"/>
        <w:jc w:val="both"/>
        <w:rPr/>
      </w:pPr>
      <w:r>
        <w:rPr/>
      </w:r>
    </w:p>
    <w:p>
      <w:pPr>
        <w:pStyle w:val="Normal"/>
        <w:jc w:val="center"/>
        <w:rPr/>
      </w:pPr>
      <w:r>
        <w:rPr/>
        <w:t>Example calculation of Working Capital as of July 31, 2000:</w:t>
      </w:r>
    </w:p>
    <w:p>
      <w:pPr>
        <w:pStyle w:val="Normal"/>
        <w:jc w:val="center"/>
        <w:rPr/>
      </w:pPr>
      <w:r>
        <w:rPr/>
      </w:r>
    </w:p>
    <w:p>
      <w:pPr>
        <w:pStyle w:val="Normal"/>
        <w:jc w:val="center"/>
        <w:rPr/>
      </w:pPr>
      <w:r>
        <w:rPr/>
        <w:t>Working Capital = Deferred Prepayments of $872,000</w:t>
      </w:r>
    </w:p>
    <w:p>
      <w:pPr>
        <w:pStyle w:val="Normal"/>
        <w:jc w:val="center"/>
        <w:rPr/>
      </w:pPr>
      <w:r>
        <w:rPr/>
        <w:t>PURCHASE AND SALE AGREEMENT</w:t>
      </w:r>
    </w:p>
    <w:p>
      <w:pPr>
        <w:pStyle w:val="Normal"/>
        <w:jc w:val="center"/>
        <w:rPr/>
      </w:pPr>
      <w:r>
        <w:rPr/>
      </w:r>
    </w:p>
    <w:p>
      <w:pPr>
        <w:pStyle w:val="Normal"/>
        <w:jc w:val="center"/>
        <w:rPr/>
      </w:pPr>
      <w:r>
        <w:rPr/>
        <w:t>Schedule 2.5(a)</w:t>
      </w:r>
    </w:p>
    <w:p>
      <w:pPr>
        <w:pStyle w:val="Normal"/>
        <w:jc w:val="center"/>
        <w:rPr/>
      </w:pPr>
      <w:r>
        <w:rPr/>
        <w:t>Inventory Calculation</w:t>
      </w:r>
    </w:p>
    <w:p>
      <w:pPr>
        <w:pStyle w:val="Normal"/>
        <w:jc w:val="center"/>
        <w:rPr/>
      </w:pPr>
      <w:r>
        <w:rPr/>
      </w:r>
    </w:p>
    <w:p>
      <w:pPr>
        <w:pStyle w:val="Normal"/>
        <w:jc w:val="center"/>
        <w:rPr/>
      </w:pPr>
      <w:r>
        <w:rPr/>
      </w:r>
    </w:p>
    <w:p>
      <w:pPr>
        <w:pStyle w:val="Normal"/>
        <w:rPr/>
      </w:pPr>
      <w:r>
        <w:rPr/>
        <w:tab/>
        <w:t>The quantity of Inventory at the Effective Date shall be determined from the books and records of the Acquired Companies or pursuant to any other method of physical accounting as may be mutually agreed upon by the Parties.</w:t>
      </w:r>
    </w:p>
    <w:p>
      <w:pPr>
        <w:pStyle w:val="Normal"/>
        <w:rPr/>
      </w:pPr>
      <w:r>
        <w:rPr/>
      </w:r>
    </w:p>
    <w:p>
      <w:pPr>
        <w:pStyle w:val="Normal"/>
        <w:rPr/>
      </w:pPr>
      <w:r>
        <w:rPr/>
        <w:tab/>
        <w:t>The applicable pricing for valuation of the Inventory shall be as follows:</w:t>
      </w:r>
    </w:p>
    <w:p>
      <w:pPr>
        <w:pStyle w:val="Normal"/>
        <w:rPr/>
      </w:pPr>
      <w:r>
        <w:rPr/>
      </w:r>
    </w:p>
    <w:tbl>
      <w:tblPr>
        <w:tblW w:w="8460" w:type="dxa"/>
        <w:jc w:val="start"/>
        <w:tblInd w:w="828" w:type="dxa"/>
        <w:tblLayout w:type="fixed"/>
        <w:tblCellMar>
          <w:top w:w="0" w:type="dxa"/>
          <w:start w:w="108" w:type="dxa"/>
          <w:bottom w:w="0" w:type="dxa"/>
          <w:end w:w="108" w:type="dxa"/>
        </w:tblCellMar>
      </w:tblPr>
      <w:tblGrid>
        <w:gridCol w:w="3240"/>
        <w:gridCol w:w="5220"/>
      </w:tblGrid>
      <w:tr>
        <w:trPr/>
        <w:tc>
          <w:tcPr>
            <w:tcW w:w="3240" w:type="dxa"/>
            <w:tcBorders/>
          </w:tcPr>
          <w:p>
            <w:pPr>
              <w:pStyle w:val="Normal"/>
              <w:jc w:val="center"/>
              <w:rPr>
                <w:b/>
                <w:bCs/>
              </w:rPr>
            </w:pPr>
            <w:r>
              <w:rPr>
                <w:b/>
                <w:bCs/>
              </w:rPr>
              <w:t>Type of Inventory</w:t>
            </w:r>
          </w:p>
        </w:tc>
        <w:tc>
          <w:tcPr>
            <w:tcW w:w="5220" w:type="dxa"/>
            <w:tcBorders/>
          </w:tcPr>
          <w:p>
            <w:pPr>
              <w:pStyle w:val="Normal"/>
              <w:jc w:val="center"/>
              <w:rPr>
                <w:b/>
                <w:bCs/>
              </w:rPr>
            </w:pPr>
            <w:r>
              <w:rPr>
                <w:b/>
                <w:bCs/>
              </w:rPr>
              <w:t>Pricing</w:t>
            </w:r>
          </w:p>
        </w:tc>
      </w:tr>
      <w:tr>
        <w:trPr/>
        <w:tc>
          <w:tcPr>
            <w:tcW w:w="3240" w:type="dxa"/>
            <w:tcBorders/>
          </w:tcPr>
          <w:p>
            <w:pPr>
              <w:pStyle w:val="Normal"/>
              <w:snapToGrid w:val="false"/>
              <w:jc w:val="center"/>
              <w:rPr>
                <w:b/>
                <w:bCs/>
              </w:rPr>
            </w:pPr>
            <w:r>
              <w:rPr>
                <w:b/>
                <w:bCs/>
              </w:rPr>
            </w:r>
          </w:p>
        </w:tc>
        <w:tc>
          <w:tcPr>
            <w:tcW w:w="5220" w:type="dxa"/>
            <w:tcBorders/>
          </w:tcPr>
          <w:p>
            <w:pPr>
              <w:pStyle w:val="Normal"/>
              <w:snapToGrid w:val="false"/>
              <w:jc w:val="center"/>
              <w:rPr>
                <w:b/>
                <w:bCs/>
              </w:rPr>
            </w:pPr>
            <w:r>
              <w:rPr>
                <w:b/>
                <w:bCs/>
              </w:rPr>
            </w:r>
          </w:p>
        </w:tc>
      </w:tr>
      <w:tr>
        <w:trPr/>
        <w:tc>
          <w:tcPr>
            <w:tcW w:w="3240" w:type="dxa"/>
            <w:tcBorders/>
          </w:tcPr>
          <w:p>
            <w:pPr>
              <w:pStyle w:val="Normal"/>
              <w:snapToGrid w:val="false"/>
              <w:rPr>
                <w:b/>
                <w:bCs/>
              </w:rPr>
            </w:pPr>
            <w:r>
              <w:rPr>
                <w:b/>
                <w:bCs/>
              </w:rPr>
            </w:r>
          </w:p>
        </w:tc>
        <w:tc>
          <w:tcPr>
            <w:tcW w:w="5220" w:type="dxa"/>
            <w:tcBorders/>
          </w:tcPr>
          <w:p>
            <w:pPr>
              <w:pStyle w:val="Normal"/>
              <w:snapToGrid w:val="false"/>
              <w:rPr/>
            </w:pPr>
            <w:r>
              <w:rPr/>
            </w:r>
          </w:p>
        </w:tc>
      </w:tr>
      <w:tr>
        <w:trPr/>
        <w:tc>
          <w:tcPr>
            <w:tcW w:w="3240" w:type="dxa"/>
            <w:tcBorders/>
          </w:tcPr>
          <w:p>
            <w:pPr>
              <w:pStyle w:val="Normal"/>
              <w:rPr/>
            </w:pPr>
            <w:r>
              <w:rPr/>
              <w:t>Liquids Inventory</w:t>
            </w:r>
          </w:p>
        </w:tc>
        <w:tc>
          <w:tcPr>
            <w:tcW w:w="5220" w:type="dxa"/>
            <w:tcBorders/>
          </w:tcPr>
          <w:p>
            <w:pPr>
              <w:pStyle w:val="Normal"/>
              <w:rPr/>
            </w:pPr>
            <w:r>
              <w:rPr/>
              <w:t>At the Acquired Companies’ cost as reflected on the books and records of the Acquired Companies.</w:t>
            </w:r>
          </w:p>
          <w:p>
            <w:pPr>
              <w:pStyle w:val="Normal"/>
              <w:rPr/>
            </w:pPr>
            <w:r>
              <w:rPr/>
            </w:r>
          </w:p>
        </w:tc>
      </w:tr>
      <w:tr>
        <w:trPr/>
        <w:tc>
          <w:tcPr>
            <w:tcW w:w="3240" w:type="dxa"/>
            <w:tcBorders/>
          </w:tcPr>
          <w:p>
            <w:pPr>
              <w:pStyle w:val="Normal"/>
              <w:snapToGrid w:val="false"/>
              <w:rPr/>
            </w:pPr>
            <w:r>
              <w:rPr/>
            </w:r>
          </w:p>
        </w:tc>
        <w:tc>
          <w:tcPr>
            <w:tcW w:w="5220" w:type="dxa"/>
            <w:tcBorders/>
          </w:tcPr>
          <w:p>
            <w:pPr>
              <w:pStyle w:val="Normal"/>
              <w:snapToGrid w:val="false"/>
              <w:rPr/>
            </w:pPr>
            <w:r>
              <w:rPr/>
            </w:r>
          </w:p>
        </w:tc>
      </w:tr>
      <w:tr>
        <w:trPr/>
        <w:tc>
          <w:tcPr>
            <w:tcW w:w="3240" w:type="dxa"/>
            <w:tcBorders/>
          </w:tcPr>
          <w:p>
            <w:pPr>
              <w:pStyle w:val="Normal"/>
              <w:rPr/>
            </w:pPr>
            <w:r>
              <w:rPr/>
              <w:t>Working Gas</w:t>
            </w:r>
          </w:p>
        </w:tc>
        <w:tc>
          <w:tcPr>
            <w:tcW w:w="5220" w:type="dxa"/>
            <w:tcBorders/>
          </w:tcPr>
          <w:p>
            <w:pPr>
              <w:pStyle w:val="Normal"/>
              <w:rPr/>
            </w:pPr>
            <w:r>
              <w:rPr/>
              <w:t>The Published Price in Inside FERC (Houston Ship Channel) for the month of July, 2001.</w:t>
            </w:r>
          </w:p>
        </w:tc>
      </w:tr>
    </w:tbl>
    <w:p>
      <w:pPr>
        <w:pStyle w:val="Normal"/>
        <w:rPr/>
      </w:pPr>
      <w:r>
        <w:rPr/>
      </w:r>
    </w:p>
    <w:p>
      <w:pPr>
        <w:pStyle w:val="Normal"/>
        <w:rPr/>
      </w:pPr>
      <w:r>
        <w:rPr/>
      </w:r>
    </w:p>
    <w:p>
      <w:pPr>
        <w:pStyle w:val="Normal"/>
        <w:jc w:val="center"/>
        <w:rPr/>
      </w:pPr>
      <w:r>
        <w:rPr/>
        <w:t>Example calculation of Inventory as of July 31, 2000:</w:t>
      </w:r>
    </w:p>
    <w:p>
      <w:pPr>
        <w:pStyle w:val="Normal"/>
        <w:jc w:val="center"/>
        <w:rPr/>
      </w:pPr>
      <w:r>
        <w:rPr/>
      </w:r>
    </w:p>
    <w:p>
      <w:pPr>
        <w:pStyle w:val="Normal"/>
        <w:tabs>
          <w:tab w:val="clear" w:pos="720"/>
          <w:tab w:val="left" w:pos="450" w:leader="none"/>
          <w:tab w:val="left" w:pos="1440" w:leader="none"/>
          <w:tab w:val="left" w:pos="1710" w:leader="none"/>
          <w:tab w:val="left" w:pos="3240" w:leader="none"/>
        </w:tabs>
        <w:jc w:val="both"/>
        <w:rPr/>
      </w:pPr>
      <w:r>
        <w:rPr/>
        <w:tab/>
        <w:t>Inventory</w:t>
        <w:tab/>
        <w:t>=</w:t>
        <w:tab/>
        <w:t>[Volume of Working Gas x Market Price *] plus Book Value of Liquids Inventory</w:t>
      </w:r>
    </w:p>
    <w:p>
      <w:pPr>
        <w:pStyle w:val="Normal"/>
        <w:tabs>
          <w:tab w:val="clear" w:pos="720"/>
          <w:tab w:val="left" w:pos="450" w:leader="none"/>
          <w:tab w:val="left" w:pos="1440" w:leader="none"/>
          <w:tab w:val="left" w:pos="1710" w:leader="none"/>
          <w:tab w:val="left" w:pos="3240" w:leader="none"/>
        </w:tabs>
        <w:jc w:val="both"/>
        <w:rPr/>
      </w:pPr>
      <w:r>
        <w:rPr/>
        <w:tab/>
        <w:tab/>
        <w:t>=</w:t>
        <w:tab/>
        <w:t>[52 Bcf x $5.22375 per MMbtu] plus $6,000</w:t>
      </w:r>
    </w:p>
    <w:p>
      <w:pPr>
        <w:pStyle w:val="Normal"/>
        <w:tabs>
          <w:tab w:val="clear" w:pos="720"/>
          <w:tab w:val="left" w:pos="450" w:leader="none"/>
          <w:tab w:val="left" w:pos="1440" w:leader="none"/>
          <w:tab w:val="left" w:pos="1710" w:leader="none"/>
          <w:tab w:val="left" w:pos="3240" w:leader="none"/>
        </w:tabs>
        <w:jc w:val="both"/>
        <w:rPr/>
      </w:pPr>
      <w:r>
        <w:rPr/>
        <w:tab/>
        <w:tab/>
        <w:t>=</w:t>
        <w:tab/>
        <w:t>$271,635,000 plus $6,000 = $271,641,000</w:t>
      </w:r>
    </w:p>
    <w:p>
      <w:pPr>
        <w:pStyle w:val="Normal"/>
        <w:tabs>
          <w:tab w:val="clear" w:pos="720"/>
          <w:tab w:val="left" w:pos="450" w:leader="none"/>
          <w:tab w:val="left" w:pos="1440" w:leader="none"/>
          <w:tab w:val="left" w:pos="1710" w:leader="none"/>
          <w:tab w:val="left" w:pos="3240" w:leader="none"/>
        </w:tabs>
        <w:jc w:val="both"/>
        <w:rPr/>
      </w:pPr>
      <w:r>
        <w:rPr/>
      </w:r>
    </w:p>
    <w:p>
      <w:pPr>
        <w:pStyle w:val="Normal"/>
        <w:tabs>
          <w:tab w:val="clear" w:pos="720"/>
          <w:tab w:val="left" w:pos="450" w:leader="none"/>
          <w:tab w:val="left" w:pos="1440" w:leader="none"/>
          <w:tab w:val="left" w:pos="1710" w:leader="none"/>
          <w:tab w:val="left" w:pos="3240" w:leader="none"/>
        </w:tabs>
        <w:jc w:val="both"/>
        <w:rPr/>
      </w:pPr>
      <w:r>
        <w:rPr/>
      </w:r>
    </w:p>
    <w:p>
      <w:pPr>
        <w:pStyle w:val="Normal"/>
        <w:tabs>
          <w:tab w:val="clear" w:pos="720"/>
          <w:tab w:val="left" w:pos="450" w:leader="none"/>
          <w:tab w:val="left" w:pos="1440" w:leader="none"/>
          <w:tab w:val="left" w:pos="1710" w:leader="none"/>
          <w:tab w:val="left" w:pos="3240" w:leader="none"/>
        </w:tabs>
        <w:jc w:val="both"/>
        <w:rPr/>
      </w:pPr>
      <w:r>
        <w:rPr/>
        <w:t>*Houston Ship Channel Price as of September 13, 2000</w:t>
      </w:r>
    </w:p>
    <w:p>
      <w:pPr>
        <w:pStyle w:val="Normal"/>
        <w:rPr/>
      </w:pPr>
      <w:r>
        <w:rPr/>
      </w:r>
    </w:p>
    <w:p>
      <w:pPr>
        <w:pStyle w:val="Normal"/>
        <w:jc w:val="center"/>
        <w:rPr/>
      </w:pPr>
      <w:r>
        <w:rPr/>
        <w:t>PURCHASE AND SALE AGREEMENT</w:t>
      </w:r>
    </w:p>
    <w:p>
      <w:pPr>
        <w:pStyle w:val="Normal"/>
        <w:jc w:val="center"/>
        <w:rPr/>
      </w:pPr>
      <w:r>
        <w:rPr/>
      </w:r>
    </w:p>
    <w:p>
      <w:pPr>
        <w:pStyle w:val="Normal"/>
        <w:jc w:val="center"/>
        <w:rPr/>
      </w:pPr>
      <w:r>
        <w:rPr/>
        <w:t>Schedule 4.2(a)</w:t>
      </w:r>
    </w:p>
    <w:p>
      <w:pPr>
        <w:pStyle w:val="Normal"/>
        <w:jc w:val="center"/>
        <w:rPr/>
      </w:pPr>
      <w:r>
        <w:rPr/>
        <w:t>List of Acquired Companies</w:t>
      </w:r>
    </w:p>
    <w:p>
      <w:pPr>
        <w:pStyle w:val="Normal"/>
        <w:jc w:val="center"/>
        <w:rPr/>
      </w:pPr>
      <w:r>
        <w:rPr/>
      </w:r>
    </w:p>
    <w:p>
      <w:pPr>
        <w:pStyle w:val="Normal"/>
        <w:jc w:val="center"/>
        <w:rPr/>
      </w:pPr>
      <w:r>
        <w:rPr/>
      </w:r>
    </w:p>
    <w:p>
      <w:pPr>
        <w:pStyle w:val="Header"/>
        <w:tabs>
          <w:tab w:val="clear" w:pos="4680"/>
          <w:tab w:val="left" w:pos="720" w:leader="none"/>
          <w:tab w:val="right" w:pos="9360" w:leader="none"/>
        </w:tabs>
        <w:rPr/>
      </w:pPr>
      <w:r>
        <w:rPr/>
        <w:t>(a)</w:t>
        <w:tab/>
        <w:t>See Part 1 of Schedule 7.8 for a list of HPL subsidiaries and other entities that HPL owns interests in that are Excluded Assets.</w:t>
      </w:r>
    </w:p>
    <w:p>
      <w:pPr>
        <w:pStyle w:val="Header"/>
        <w:rPr/>
      </w:pPr>
      <w:r>
        <w:rPr/>
      </w:r>
    </w:p>
    <w:p>
      <w:pPr>
        <w:pStyle w:val="Normal"/>
        <w:rPr/>
      </w:pPr>
      <w:r>
        <w:rPr/>
        <w:tab/>
        <w:t>The following is a list of the Acquired Companies:</w:t>
      </w:r>
    </w:p>
    <w:p>
      <w:pPr>
        <w:pStyle w:val="Normal"/>
        <w:rPr/>
      </w:pPr>
      <w:r>
        <w:rPr/>
      </w:r>
    </w:p>
    <w:p>
      <w:pPr>
        <w:pStyle w:val="Normal"/>
        <w:ind w:firstLine="720" w:end="0"/>
        <w:rPr/>
      </w:pPr>
      <w:r>
        <w:rPr/>
        <w:t>HPL,</w:t>
      </w:r>
    </w:p>
    <w:p>
      <w:pPr>
        <w:pStyle w:val="Normal"/>
        <w:ind w:firstLine="720" w:end="0"/>
        <w:rPr/>
      </w:pPr>
      <w:r>
        <w:rPr/>
        <w:t xml:space="preserve">a Delaware corporation, </w:t>
      </w:r>
    </w:p>
    <w:p>
      <w:pPr>
        <w:pStyle w:val="Normal"/>
        <w:rPr/>
      </w:pPr>
      <w:r>
        <w:rPr/>
        <w:tab/>
        <w:t>10,000 shares authorized;</w:t>
      </w:r>
    </w:p>
    <w:p>
      <w:pPr>
        <w:pStyle w:val="Normal"/>
        <w:rPr/>
      </w:pPr>
      <w:r>
        <w:rPr/>
        <w:tab/>
        <w:t>1,000 shares issued to Enron Corp.</w:t>
      </w:r>
    </w:p>
    <w:p>
      <w:pPr>
        <w:pStyle w:val="Normal"/>
        <w:rPr/>
      </w:pPr>
      <w:r>
        <w:rPr/>
        <w:tab/>
      </w:r>
    </w:p>
    <w:p>
      <w:pPr>
        <w:pStyle w:val="Normal"/>
        <w:ind w:firstLine="720" w:end="0"/>
        <w:rPr/>
      </w:pPr>
      <w:r>
        <w:rPr/>
        <w:t>HPL Resources Company,</w:t>
      </w:r>
    </w:p>
    <w:p>
      <w:pPr>
        <w:pStyle w:val="Normal"/>
        <w:ind w:firstLine="720" w:end="0"/>
        <w:rPr/>
      </w:pPr>
      <w:r>
        <w:rPr/>
        <w:t xml:space="preserve">a Delaware corporation, </w:t>
      </w:r>
    </w:p>
    <w:p>
      <w:pPr>
        <w:pStyle w:val="Normal"/>
        <w:ind w:firstLine="720" w:end="0"/>
        <w:rPr/>
      </w:pPr>
      <w:r>
        <w:rPr/>
        <w:t>10,000 shares authorized; 1,000 shares issued to HPL</w:t>
      </w:r>
    </w:p>
    <w:p>
      <w:pPr>
        <w:pStyle w:val="Normal"/>
        <w:rPr/>
      </w:pPr>
      <w:r>
        <w:rPr/>
        <w:tab/>
      </w:r>
    </w:p>
    <w:p>
      <w:pPr>
        <w:pStyle w:val="Normal"/>
        <w:ind w:firstLine="720" w:end="0"/>
        <w:rPr/>
      </w:pPr>
      <w:r>
        <w:rPr/>
        <w:t>MidTexas Pipeline Company,</w:t>
      </w:r>
    </w:p>
    <w:p>
      <w:pPr>
        <w:pStyle w:val="Normal"/>
        <w:rPr/>
      </w:pPr>
      <w:r>
        <w:rPr/>
        <w:tab/>
        <w:t>a general partnership,</w:t>
      </w:r>
    </w:p>
    <w:p>
      <w:pPr>
        <w:pStyle w:val="Normal"/>
        <w:rPr/>
      </w:pPr>
      <w:r>
        <w:rPr/>
        <w:tab/>
        <w:t>50% owned by HPL, as the managing general partner</w:t>
      </w:r>
    </w:p>
    <w:p>
      <w:pPr>
        <w:pStyle w:val="Normal"/>
        <w:rPr/>
      </w:pPr>
      <w:r>
        <w:rPr/>
        <w:tab/>
        <w:t>50% owned by Teco Pipeline Company, as a general partner</w:t>
      </w:r>
    </w:p>
    <w:p>
      <w:pPr>
        <w:pStyle w:val="Normal"/>
        <w:rPr/>
      </w:pPr>
      <w:r>
        <w:rPr/>
      </w:r>
    </w:p>
    <w:p>
      <w:pPr>
        <w:pStyle w:val="Normal"/>
        <w:ind w:firstLine="720" w:end="0"/>
        <w:rPr/>
      </w:pPr>
      <w:r>
        <w:rPr/>
        <w:t>Lodisco, LLC,</w:t>
      </w:r>
    </w:p>
    <w:p>
      <w:pPr>
        <w:pStyle w:val="Normal"/>
        <w:ind w:firstLine="720" w:end="0"/>
        <w:rPr/>
      </w:pPr>
      <w:r>
        <w:rPr/>
        <w:t>a Delaware limited liability company,</w:t>
      </w:r>
    </w:p>
    <w:p>
      <w:pPr>
        <w:pStyle w:val="Normal"/>
        <w:ind w:firstLine="720" w:end="0"/>
        <w:rPr/>
      </w:pPr>
      <w:r>
        <w:rPr/>
        <w:t>Sole Member is Enron Corp.</w:t>
      </w:r>
    </w:p>
    <w:p>
      <w:pPr>
        <w:pStyle w:val="Normal"/>
        <w:rPr/>
      </w:pPr>
      <w:r>
        <w:rPr/>
      </w:r>
    </w:p>
    <w:p>
      <w:pPr>
        <w:pStyle w:val="Normal"/>
        <w:rPr/>
      </w:pPr>
      <w:r>
        <w:rPr/>
      </w:r>
    </w:p>
    <w:p>
      <w:pPr>
        <w:pStyle w:val="Normal"/>
        <w:rPr/>
      </w:pPr>
      <w:r>
        <w:rPr/>
      </w:r>
    </w:p>
    <w:p>
      <w:pPr>
        <w:pStyle w:val="Normal"/>
        <w:jc w:val="center"/>
        <w:rPr/>
      </w:pPr>
      <w:r>
        <w:rPr/>
      </w:r>
    </w:p>
    <w:p>
      <w:pPr>
        <w:pStyle w:val="Normal"/>
        <w:jc w:val="center"/>
        <w:rPr/>
      </w:pPr>
      <w:r>
        <w:rPr/>
        <w:t>PURCHASE AND SALE AGREEMENT</w:t>
      </w:r>
    </w:p>
    <w:p>
      <w:pPr>
        <w:pStyle w:val="Normal"/>
        <w:jc w:val="center"/>
        <w:rPr/>
      </w:pPr>
      <w:r>
        <w:rPr/>
      </w:r>
    </w:p>
    <w:p>
      <w:pPr>
        <w:pStyle w:val="Normal"/>
        <w:jc w:val="center"/>
        <w:rPr/>
      </w:pPr>
      <w:r>
        <w:rPr/>
        <w:t>Schedule 4.2(b)</w:t>
      </w:r>
    </w:p>
    <w:p>
      <w:pPr>
        <w:pStyle w:val="Normal"/>
        <w:jc w:val="center"/>
        <w:rPr/>
      </w:pPr>
      <w:r>
        <w:rPr/>
        <w:t>Qualification</w:t>
      </w:r>
    </w:p>
    <w:p>
      <w:pPr>
        <w:pStyle w:val="Normal"/>
        <w:jc w:val="center"/>
        <w:rPr/>
      </w:pPr>
      <w:r>
        <w:rPr/>
      </w:r>
    </w:p>
    <w:p>
      <w:pPr>
        <w:pStyle w:val="Normal"/>
        <w:jc w:val="center"/>
        <w:rPr/>
      </w:pPr>
      <w:r>
        <w:rPr/>
      </w:r>
    </w:p>
    <w:p>
      <w:pPr>
        <w:pStyle w:val="Normal"/>
        <w:rPr/>
      </w:pPr>
      <w:r>
        <w:rPr/>
        <w:t>HPL – Texas and West Virginia</w:t>
      </w:r>
    </w:p>
    <w:p>
      <w:pPr>
        <w:pStyle w:val="Normal"/>
        <w:rPr/>
      </w:pPr>
      <w:r>
        <w:rPr/>
      </w:r>
    </w:p>
    <w:p>
      <w:pPr>
        <w:pStyle w:val="Normal"/>
        <w:rPr/>
      </w:pPr>
      <w:r>
        <w:rPr/>
        <w:t>HPL Resources Company – Texas</w:t>
      </w:r>
    </w:p>
    <w:p>
      <w:pPr>
        <w:pStyle w:val="Normal"/>
        <w:rPr/>
      </w:pPr>
      <w:r>
        <w:rPr/>
      </w:r>
    </w:p>
    <w:p>
      <w:pPr>
        <w:pStyle w:val="Normal"/>
        <w:rPr/>
      </w:pPr>
      <w:r>
        <w:rPr/>
        <w:t>MidTexas Pipeline Company – N/A</w:t>
      </w:r>
    </w:p>
    <w:p>
      <w:pPr>
        <w:pStyle w:val="Normal"/>
        <w:rPr/>
      </w:pPr>
      <w:r>
        <w:rPr/>
      </w:r>
    </w:p>
    <w:p>
      <w:pPr>
        <w:pStyle w:val="Normal"/>
        <w:rPr/>
      </w:pPr>
      <w:r>
        <w:rPr/>
        <w:t>Lodisco, LLC – Texas</w:t>
      </w:r>
    </w:p>
    <w:p>
      <w:pPr>
        <w:pStyle w:val="Normal"/>
        <w:jc w:val="center"/>
        <w:rPr/>
      </w:pPr>
      <w:r>
        <w:rPr/>
      </w:r>
    </w:p>
    <w:p>
      <w:pPr>
        <w:pStyle w:val="Normal"/>
        <w:jc w:val="center"/>
        <w:rPr/>
      </w:pPr>
      <w:r>
        <w:rPr/>
        <w:t>PURCHASE AND SALE AGREEMENT</w:t>
      </w:r>
    </w:p>
    <w:p>
      <w:pPr>
        <w:pStyle w:val="Normal"/>
        <w:jc w:val="center"/>
        <w:rPr/>
      </w:pPr>
      <w:r>
        <w:rPr/>
      </w:r>
    </w:p>
    <w:p>
      <w:pPr>
        <w:pStyle w:val="Normal"/>
        <w:jc w:val="center"/>
        <w:rPr/>
      </w:pPr>
      <w:r>
        <w:rPr/>
        <w:t>Schedule 4.5</w:t>
      </w:r>
    </w:p>
    <w:p>
      <w:pPr>
        <w:pStyle w:val="Normal"/>
        <w:jc w:val="center"/>
        <w:rPr/>
      </w:pPr>
      <w:r>
        <w:rPr/>
        <w:t>No Conflict</w:t>
      </w:r>
    </w:p>
    <w:p>
      <w:pPr>
        <w:pStyle w:val="Normal"/>
        <w:jc w:val="center"/>
        <w:rPr/>
      </w:pPr>
      <w:r>
        <w:rPr/>
      </w:r>
    </w:p>
    <w:p>
      <w:pPr>
        <w:pStyle w:val="Normal"/>
        <w:jc w:val="center"/>
        <w:rPr/>
      </w:pPr>
      <w:r>
        <w:rPr/>
      </w:r>
    </w:p>
    <w:p>
      <w:pPr>
        <w:pStyle w:val="Normal"/>
        <w:rPr/>
      </w:pPr>
      <w:r>
        <w:rPr/>
        <w:t>None.</w:t>
      </w:r>
    </w:p>
    <w:p>
      <w:pPr>
        <w:pStyle w:val="Normal"/>
        <w:jc w:val="center"/>
        <w:rPr/>
      </w:pPr>
      <w:r>
        <w:rPr/>
        <w:t>PURCHASE AND SALE AGREEMENT</w:t>
      </w:r>
    </w:p>
    <w:p>
      <w:pPr>
        <w:pStyle w:val="Normal"/>
        <w:jc w:val="center"/>
        <w:rPr/>
      </w:pPr>
      <w:r>
        <w:rPr/>
      </w:r>
    </w:p>
    <w:p>
      <w:pPr>
        <w:pStyle w:val="Normal"/>
        <w:jc w:val="center"/>
        <w:rPr/>
      </w:pPr>
      <w:r>
        <w:rPr/>
        <w:t>Schedule 4.6</w:t>
      </w:r>
    </w:p>
    <w:p>
      <w:pPr>
        <w:pStyle w:val="Normal"/>
        <w:jc w:val="center"/>
        <w:rPr/>
      </w:pPr>
      <w:r>
        <w:rPr/>
        <w:t>Consents and Approvals - Seller</w:t>
      </w:r>
    </w:p>
    <w:p>
      <w:pPr>
        <w:pStyle w:val="Normal"/>
        <w:jc w:val="center"/>
        <w:rPr/>
      </w:pPr>
      <w:r>
        <w:rPr/>
      </w:r>
    </w:p>
    <w:p>
      <w:pPr>
        <w:pStyle w:val="Normal"/>
        <w:jc w:val="center"/>
        <w:rPr/>
      </w:pPr>
      <w:r>
        <w:rPr/>
      </w:r>
    </w:p>
    <w:p>
      <w:pPr>
        <w:pStyle w:val="Normal"/>
        <w:rPr/>
      </w:pPr>
      <w:r>
        <w:rPr/>
        <w:t>Notices to various Governmental Entities will likely be required, including a P-5 Notice to the Texas Railroad Commission to reflect the change in equity ownership and in officers and directors of HPL.  Additionally to the extent individuals who are designated as “contact” persons for various emergency responses and general questions are changed post-Closing, notification to the appropriate Governmental Entities will need to be made by the Company.  Similarly, if the name of the Company is changed post-Closing, various additional filings with Governmental Entities reflecting the name change would likely be required and notification of any such name change should be given to all counterparties of the Acquired Companies.</w:t>
      </w:r>
    </w:p>
    <w:p>
      <w:pPr>
        <w:pStyle w:val="Normal"/>
        <w:rPr/>
      </w:pPr>
      <w:r>
        <w:rPr/>
      </w:r>
    </w:p>
    <w:p>
      <w:pPr>
        <w:pStyle w:val="Normal"/>
        <w:ind w:hanging="288" w:start="288" w:end="0"/>
        <w:rPr/>
      </w:pPr>
      <w:r>
        <w:rPr/>
      </w:r>
    </w:p>
    <w:p>
      <w:pPr>
        <w:pStyle w:val="VEBodyText"/>
        <w:jc w:val="start"/>
        <w:rPr/>
      </w:pPr>
      <w:r>
        <w:rPr>
          <w:b/>
          <w:bCs/>
        </w:rPr>
        <w:t>I.</w:t>
        <w:tab/>
      </w:r>
      <w:r>
        <w:rPr>
          <w:b/>
          <w:bCs/>
          <w:u w:val="single"/>
        </w:rPr>
        <w:t>Bammel Looper Financing—Consents and Approvals</w:t>
      </w:r>
      <w:r>
        <w:rPr>
          <w:b/>
          <w:bCs/>
        </w:rPr>
        <w:t>.</w:t>
      </w:r>
    </w:p>
    <w:p>
      <w:pPr>
        <w:pStyle w:val="VEBodyText"/>
        <w:rPr/>
      </w:pPr>
      <w:r>
        <w:rPr/>
        <w:t>The following provisions are added to Schedule 4.6 with respect to consents and approvals related to the Bammel Looper Financing:</w:t>
      </w:r>
    </w:p>
    <w:p>
      <w:pPr>
        <w:pStyle w:val="VEBodyText"/>
        <w:ind w:start="720" w:end="0"/>
        <w:rPr/>
      </w:pPr>
      <w:r>
        <w:rPr>
          <w:u w:val="single"/>
        </w:rPr>
        <w:t>Bammel Looper Financing</w:t>
      </w:r>
      <w:r>
        <w:rPr/>
        <w:t>:</w:t>
      </w:r>
    </w:p>
    <w:p>
      <w:pPr>
        <w:pStyle w:val="VEBodyText"/>
        <w:ind w:start="720" w:end="0"/>
        <w:rPr/>
      </w:pPr>
      <w:r>
        <w:rPr/>
        <w:t>Reference is hereby made to that certain Participation Agreement dated as of December 30, 1998 (the “</w:t>
      </w:r>
      <w:r>
        <w:rPr>
          <w:u w:val="single"/>
        </w:rPr>
        <w:t>Participation Agreement</w:t>
      </w:r>
      <w:r>
        <w:rPr/>
        <w:t>”), by and among Little Looper, L.L.C., Middle Looper, L.L.C., Houston Pipe Line Company, Hanover SPE, L.L.C., State Street Bank and Trust Company of Connecticut, National Association, not in its individual capacity except as expressly stated therein (in such individual capacity, the “</w:t>
      </w:r>
      <w:r>
        <w:rPr>
          <w:u w:val="single"/>
        </w:rPr>
        <w:t>Trust Institution</w:t>
      </w:r>
      <w:r>
        <w:rPr/>
        <w:t>”) but solely as trustee of the HCC Looper Trust (in such capacity, the “</w:t>
      </w:r>
      <w:r>
        <w:rPr>
          <w:u w:val="single"/>
        </w:rPr>
        <w:t>Trustee</w:t>
      </w:r>
      <w:r>
        <w:rPr/>
        <w:t>”), John Hancock Mutual Life Insurance Company as Co-Administrative Agent, The Prudential Insurance Company of America, as Co-Administrative Agent, and the Purchasers (in such capacity, collectively with any assignees, the “</w:t>
      </w:r>
      <w:r>
        <w:rPr>
          <w:u w:val="single"/>
        </w:rPr>
        <w:t>Purchasers</w:t>
      </w:r>
      <w:r>
        <w:rPr/>
        <w:t>”, such Purchasers being The Prudential Insurance Company of America, John Hancock Mutual Life Insurance Company, John Hancock Variable Life Insurance Company, and Mellon Bank, N.A., Trustee for the Bell Atlantic Master Trust).  Capitalized terms defined in the Participation Agreement shall have the same meaning herein.</w:t>
      </w:r>
    </w:p>
    <w:p>
      <w:pPr>
        <w:pStyle w:val="VEBodyText"/>
        <w:ind w:start="720" w:end="0"/>
        <w:rPr/>
      </w:pPr>
      <w:r>
        <w:rPr/>
        <w:t>In connection with the unwind of the Bammel Looper Financing, Enron shall acquire each Purchaser’s Note and each Purchaser’s Certificate (by issuing Enron notes in exchange for the Notes and Certificates) and effectuate an unwind of the financing.  For clarity, Enron, in its capacity as the holder of the Notes and Certificates after acquisition thereof from the Purchasers, is referred to as the “</w:t>
      </w:r>
      <w:r>
        <w:rPr>
          <w:u w:val="single"/>
        </w:rPr>
        <w:t>Holder</w:t>
      </w:r>
      <w:r>
        <w:rPr/>
        <w:t>.”</w:t>
      </w:r>
    </w:p>
    <w:p>
      <w:pPr>
        <w:pStyle w:val="VEBodyText"/>
        <w:ind w:start="720" w:end="0"/>
        <w:rPr/>
      </w:pPr>
      <w:r>
        <w:rPr/>
        <w:t>The following consents are required:</w:t>
      </w:r>
    </w:p>
    <w:p>
      <w:pPr>
        <w:pStyle w:val="VEBodyText"/>
        <w:ind w:start="720" w:end="0"/>
        <w:rPr/>
      </w:pPr>
      <w:r>
        <w:rPr/>
        <w:t>1.</w:t>
        <w:tab/>
        <w:t>Under the Participation Agreement, a consent to the acquisition by Enron of the Notes and Certificates from the Purchasers is required, such consent to be from the Purchasers, Little Looper, HPL, Hanover, each Co-Administrative Agent and the Trustee.</w:t>
      </w:r>
    </w:p>
    <w:p>
      <w:pPr>
        <w:pStyle w:val="VEBodyText"/>
        <w:ind w:start="720" w:end="0"/>
        <w:rPr/>
      </w:pPr>
      <w:r>
        <w:rPr/>
        <w:t>2.</w:t>
        <w:tab/>
        <w:t>Enron will enter into credit agreements (or appropriate similar documents) with the Purchasers to effectuate the issuance of Enron notes in return for the Purchasers’ Notes and Certificates.</w:t>
      </w:r>
    </w:p>
    <w:p>
      <w:pPr>
        <w:pStyle w:val="VEBodyText"/>
        <w:ind w:start="720" w:end="0"/>
        <w:rPr/>
      </w:pPr>
      <w:r>
        <w:rPr/>
        <w:t>3.</w:t>
        <w:tab/>
        <w:t>The Purchasers, the Co-Administrative Agents, the Trustee and the Trust Institution shall release HPL and Enron from all obligations under the Project Documents (including HPL’s indemnification obligations) that would otherwise survive the assignment of the Notes and Certificates and the Final Retirement Date; in lieu of the foregoing obligations, Enron shall provide an indemnity and agreement to cover the rights that would have survived in favor of such entities.  [Under the Participation Agreement, assignors of Notes and Certificates continue to have rights of indemnification from HPL.  Under Appendix B to the Participation Agreement, indemnification and certain other obligations of HPL (and Enron’s guarantee of such obligations) survive the Final Retirement Date.]</w:t>
      </w:r>
    </w:p>
    <w:p>
      <w:pPr>
        <w:pStyle w:val="VEBodyText"/>
        <w:ind w:start="720" w:end="0"/>
        <w:rPr/>
      </w:pPr>
      <w:r>
        <w:rPr/>
        <w:t>4.</w:t>
        <w:tab/>
        <w:t>In accordance with the Participation Agreement, Enron, as Holder, will appoint itself as Administrative Agent.</w:t>
      </w:r>
    </w:p>
    <w:p>
      <w:pPr>
        <w:pStyle w:val="VEBodyText"/>
        <w:ind w:start="720" w:end="0"/>
        <w:rPr/>
      </w:pPr>
      <w:r>
        <w:rPr/>
        <w:t>5.</w:t>
        <w:tab/>
        <w:t>The Holder, Little Looper, Middle Looper, HPL, Hanover, Enron and the Trustee shall consent to the following actions [the specific document or instrument pursuant to which such consent is required is identified in the bracketed language].  Please note that the actions set forth below shall occur contemporaneously.</w:t>
      </w:r>
    </w:p>
    <w:p>
      <w:pPr>
        <w:pStyle w:val="VEBodyText"/>
        <w:ind w:start="1440" w:end="0"/>
        <w:rPr/>
      </w:pPr>
      <w:r>
        <w:rPr/>
        <w:t>a.</w:t>
        <w:tab/>
        <w:t>HPL shall purchase the Middle Looper Interest and the Class A-1 Interest in HCC from the Trustee.  [The Participation Agreement, the Declaration of Trust, the Middle Looper L.L.C. Agreement and the HCC Partnership Agreement place certain restrictions on the transfer of such interests.]</w:t>
      </w:r>
    </w:p>
    <w:p>
      <w:pPr>
        <w:pStyle w:val="VEBodyText"/>
        <w:ind w:start="1440" w:end="0"/>
        <w:rPr/>
      </w:pPr>
      <w:r>
        <w:rPr/>
        <w:t>b.</w:t>
        <w:tab/>
        <w:t>HPL shall acquire Hanover’s general partnership interest in HCC.  [The Participation Agreement and the HCC Partnership Agreement place certain restrictions on the transfer of such interests.]</w:t>
      </w:r>
    </w:p>
    <w:p>
      <w:pPr>
        <w:pStyle w:val="VEBodyText"/>
        <w:ind w:start="1440" w:end="0"/>
        <w:rPr/>
      </w:pPr>
      <w:r>
        <w:rPr/>
        <w:t>c.</w:t>
        <w:tab/>
        <w:t>The Participation Agreement shall be terminated and all liabilities therein shall be released, and the Trustee, on behalf of the Trust, shall release and terminate its security interest in the Middle Looper Interest.  [Such security interest is granted pursuant to Section 2.01(b) of the Participation Agreement.]</w:t>
      </w:r>
    </w:p>
    <w:p>
      <w:pPr>
        <w:pStyle w:val="VEBodyText"/>
        <w:ind w:start="1440" w:end="0"/>
        <w:rPr/>
      </w:pPr>
      <w:r>
        <w:rPr/>
        <w:t>d.</w:t>
        <w:tab/>
        <w:t>The Trustee shall pay in full the Notes and Certificates or Enron as Holder of the Notes and Certificates will declare same to be cancelled.  [Neither the Declaration nor the Participation Agreement permit a voluntary prepayment of the Notes or the Certificates.]</w:t>
      </w:r>
    </w:p>
    <w:p>
      <w:pPr>
        <w:pStyle w:val="VEBodyText"/>
        <w:ind w:start="1440" w:end="0"/>
        <w:rPr/>
      </w:pPr>
      <w:r>
        <w:rPr/>
        <w:t>e.</w:t>
        <w:tab/>
        <w:t>The Declaration of Trust shall be terminated and the Trust dissolved.</w:t>
      </w:r>
    </w:p>
    <w:p>
      <w:pPr>
        <w:pStyle w:val="VEBodyText"/>
        <w:ind w:start="1440" w:end="0"/>
        <w:rPr/>
      </w:pPr>
      <w:r>
        <w:rPr/>
        <w:t>f.</w:t>
        <w:tab/>
        <w:t>HCC, Middle Looper and Little Looper shall be dissolved.</w:t>
      </w:r>
    </w:p>
    <w:p>
      <w:pPr>
        <w:pStyle w:val="VEBodyText"/>
        <w:ind w:start="720" w:end="0"/>
        <w:rPr/>
      </w:pPr>
      <w:r>
        <w:rPr/>
        <w:t>6.</w:t>
        <w:tab/>
        <w:t>Prior to dissolution of HCC, with the consent of HCC, the counterparty thereto and Enron:</w:t>
      </w:r>
    </w:p>
    <w:p>
      <w:pPr>
        <w:pStyle w:val="VEBodyText"/>
        <w:ind w:start="1440" w:end="0"/>
        <w:rPr/>
      </w:pPr>
      <w:r>
        <w:rPr/>
        <w:t>a.</w:t>
        <w:tab/>
        <w:t>HCC and HPL shall terminate the Transportation and Compression Agreement.</w:t>
      </w:r>
    </w:p>
    <w:p>
      <w:pPr>
        <w:pStyle w:val="VEBodyText"/>
        <w:ind w:start="1440" w:end="0"/>
        <w:rPr/>
      </w:pPr>
      <w:r>
        <w:rPr/>
        <w:t>b.</w:t>
        <w:tab/>
        <w:t>HCC and Bittick Construction Company, Inc. will terminate the General Services and Maintenance Agreement dated October 22, 1998.</w:t>
      </w:r>
    </w:p>
    <w:p>
      <w:pPr>
        <w:pStyle w:val="VEBodyText"/>
        <w:ind w:start="1440" w:end="0"/>
        <w:rPr/>
      </w:pPr>
      <w:r>
        <w:rPr/>
        <w:t>c.</w:t>
        <w:tab/>
        <w:t>HCC and Hanover Compressor Company will terminate the Mechanical Maintenance Agreement dated November 17, 1998.</w:t>
      </w:r>
    </w:p>
    <w:p>
      <w:pPr>
        <w:pStyle w:val="VEBodyText"/>
        <w:ind w:start="1440" w:end="0"/>
        <w:rPr/>
      </w:pPr>
      <w:r>
        <w:rPr/>
        <w:t>d.</w:t>
        <w:tab/>
        <w:t>HCC and Enron Compression Services Company will terminate the Electric Power Management Agreement dated December 1, 1998.</w:t>
      </w:r>
    </w:p>
    <w:p>
      <w:pPr>
        <w:pStyle w:val="VEBodyText"/>
        <w:ind w:start="1440" w:end="0"/>
        <w:rPr/>
      </w:pPr>
      <w:r>
        <w:rPr/>
        <w:t>e.</w:t>
        <w:tab/>
        <w:t>HCC and Enron Engineering and Construction Company will terminate any remaining provisions of the Turnkey Agreement dated October 23, 1998.</w:t>
      </w:r>
    </w:p>
    <w:p>
      <w:pPr>
        <w:pStyle w:val="VEBodyText"/>
        <w:rPr/>
      </w:pPr>
      <w:r>
        <w:rPr>
          <w:b/>
          <w:bCs/>
        </w:rPr>
        <w:t>II.</w:t>
        <w:tab/>
      </w:r>
      <w:r>
        <w:rPr>
          <w:b/>
          <w:bCs/>
          <w:u w:val="single"/>
        </w:rPr>
        <w:t>Meter Acquisition Company LP, LLLP; “Project Rock”</w:t>
      </w:r>
      <w:r>
        <w:rPr>
          <w:b/>
          <w:bCs/>
        </w:rPr>
        <w:t>.</w:t>
      </w:r>
    </w:p>
    <w:p>
      <w:pPr>
        <w:pStyle w:val="VEBodyText"/>
        <w:rPr/>
      </w:pPr>
      <w:r>
        <w:rPr/>
        <w:t>The following provisions are added to Schedule 4.6 with respect to consents and approvals related to Project Rock:</w:t>
      </w:r>
    </w:p>
    <w:p>
      <w:pPr>
        <w:pStyle w:val="VEBodyText"/>
        <w:ind w:firstLine="720" w:end="0"/>
        <w:rPr/>
      </w:pPr>
      <w:r>
        <w:rPr>
          <w:u w:val="single"/>
        </w:rPr>
        <w:t>Meter Acquisition Company LP, LLLP; “Project Rock”</w:t>
      </w:r>
      <w:r>
        <w:rPr/>
        <w:t>:</w:t>
      </w:r>
    </w:p>
    <w:p>
      <w:pPr>
        <w:pStyle w:val="VEBodyText"/>
        <w:ind w:start="720" w:end="0"/>
        <w:rPr/>
      </w:pPr>
      <w:r>
        <w:rPr/>
        <w:t>Reference is hereby made to that certain Common Agreement dated as of September 30, 1999 (the “</w:t>
      </w:r>
      <w:r>
        <w:rPr>
          <w:u w:val="single"/>
        </w:rPr>
        <w:t>Common Agreement</w:t>
      </w:r>
      <w:r>
        <w:rPr/>
        <w:t>”) by and among Meter Acquisition Company LP, LLLP, Hanover Measurement Services Company, L.P., Houston Pipe Line Company, Hanover MAC, LLC, Hanover Measurement, LLC, HCC Holdings, Inc., Barclays Bank PLC, as Agent and Arranger, Credit Lyonnais New York Branch, as Syndication Agent, and the Holders (in such capacity, collectively with any assignees, the “</w:t>
      </w:r>
      <w:r>
        <w:rPr>
          <w:u w:val="single"/>
        </w:rPr>
        <w:t>Holders</w:t>
      </w:r>
      <w:r>
        <w:rPr/>
        <w:t>”, such Holders being Barclays Bank PLC and Credit Lyonnais New York Branch).  Capitalized terms defined in the Common Agreement shall have the same meaning herein.</w:t>
      </w:r>
    </w:p>
    <w:p>
      <w:pPr>
        <w:pStyle w:val="VEBodyText"/>
        <w:ind w:start="720" w:end="0"/>
        <w:rPr/>
      </w:pPr>
      <w:r>
        <w:rPr/>
        <w:t>In connection with the unwind of the Project Rock Transaction, Enron or HPL will pay or cause to be paid the Notes held by the Holders and effectuate an unwind of the transaction.</w:t>
      </w:r>
    </w:p>
    <w:p>
      <w:pPr>
        <w:pStyle w:val="VEBodyText"/>
        <w:ind w:start="720" w:end="0"/>
        <w:rPr/>
      </w:pPr>
      <w:r>
        <w:rPr/>
        <w:t>The following consents are required:</w:t>
      </w:r>
    </w:p>
    <w:p>
      <w:pPr>
        <w:pStyle w:val="VEBodyText"/>
        <w:ind w:start="720" w:end="0"/>
        <w:rPr/>
      </w:pPr>
      <w:r>
        <w:rPr/>
        <w:t>1.</w:t>
        <w:tab/>
        <w:t>HPL will enter into an agreement with the Holders, the Agent, MAC, Enron, the Arranger, the Syndication Agent and the Interest Rate Protection Counterparties pursuant to which such parties will agree (a) that the Notes and all other amounts known to be owing to such parties (including any amounts due to the Interest Rate Protection Counterparties under the Interest Rate Protection Agreements) will be paid, (b) upon such payment the Final Retirement Rate shall have occurred, (c) upon such payment, the Interest Rate Protection Agreements shall terminate, (d) upon such payment, such parties shall release the lien granted by MAC on the Collateral pursuant to the Security Agreement, and (e) any indemnities or obligations of HPL or MAC under the Basic Documents in favor of such parties which would otherwise survive the Final Retirement Date shall be released and terminated, and in lieu thereof such parties shall accept an indemnity or similar agreement of Enron.  [Under Appendix B to the Participation Agreement, certain indemnities of HPL and MAC are stated to survive the Final Retirement Date.  Note that HPL has the right to prepay the Notes without consent, but the above parties’ consent will be required to release such indemnities and accept Enron’s obligations in lieu thereof.  Also, it is advisable that the above parties agree that the “Final Retirement Date” has occurred, because this terminates certain obligations, indemnities and covenants of HPL and MAC; however, the parties are under no obligation to formally declare the occurrence of the Final Retirement Date, so their consent should be obtained.]</w:t>
      </w:r>
    </w:p>
    <w:p>
      <w:pPr>
        <w:pStyle w:val="VEBodyText"/>
        <w:ind w:start="720" w:end="0"/>
        <w:rPr/>
      </w:pPr>
      <w:r>
        <w:rPr/>
        <w:t>2.</w:t>
        <w:tab/>
        <w:t>HPL, Hanover MAC and HCC will enter into an agreement or agreements wherein such parties agree that the Notes shall be prepaid with funds contributed to MAC by HPL and that upon or following the payment of the Notes, at the appropriate time, (a) each of Hanover MAC and HCC will convey its general partnership interest and limited partnership interest in MAC, respectively, to HPL, (b) HPL shall contribute to LeaseCo HPL’s 47.5% limited partnership interest in HMS, and LeaseCo shall be admitted as a partner to HMS pursuant to Section 8.02 of the HMS Partnership Agreement, (c) the MSA shall be terminated, (d) MAC shall be dissolved and its assets distributed to HPL.  [Note that as to (b) above, HPL does not need consent of HCC or Hanover Measurement, LLC (“HM”) to assign its limited partnership interest in HMS to LeaseCo; however, under the HMS Partnership Agreement, HPL must indemnify the other partners for any loss resulting from its assignee’s failure to discharge its partnership duties, and must make certain representations and provide certain legal opinions.  To waive the requirements of such indemnities, representations or legal opinions, the consent of HCC, HM and a majority of the Management Committee of HMS (which consists of two HPL appointed members and two members appointed by HCC and HM) is required pursuant to the HMS Partnership Agreement.]</w:t>
      </w:r>
    </w:p>
    <w:p>
      <w:pPr>
        <w:pStyle w:val="VEBodyText"/>
        <w:ind w:start="720" w:end="0"/>
        <w:rPr/>
      </w:pPr>
      <w:r>
        <w:rPr/>
        <w:t>3.</w:t>
        <w:tab/>
        <w:t>HPL will contribute to LeaseCo any meters which are distributed to HPL upon the dissolution of MAC and which are to be owned by LeaseCo and leased to HPL under the Sublease.</w:t>
      </w:r>
    </w:p>
    <w:p>
      <w:pPr>
        <w:pStyle w:val="VEBodyText"/>
        <w:ind w:start="720" w:end="0"/>
        <w:rPr/>
      </w:pPr>
      <w:r>
        <w:rPr/>
        <w:t>4.</w:t>
        <w:tab/>
        <w:t>MAC shall assign its rights and obligations in the Sub-MSA to HPL, and HMS and HPL shall amend the Sub-MSA as necessary or appropriate to effectuate the transactions set forth in this Schedule.  [This will require the consent of a majority of the Management Committee of HMS and the consent of HM pursuant to the HMS Partnership Agreement.]</w:t>
      </w:r>
    </w:p>
    <w:p>
      <w:pPr>
        <w:pStyle w:val="VEBodyText"/>
        <w:ind w:start="720" w:end="0"/>
        <w:rPr>
          <w:rStyle w:val="VEUnderline"/>
        </w:rPr>
      </w:pPr>
      <w:r>
        <w:rPr/>
        <w:t>5.</w:t>
        <w:tab/>
        <w:t>The Shared Use Agreement shall remain in effect and shall be amended as necessary or appropriate to effectuate the transactions set forth in this Schedule. [This will require the consent of a majority of the Management Committee of HMS and the consent of HM under the HMS Partnership Agreement.]</w:t>
      </w:r>
    </w:p>
    <w:p>
      <w:pPr>
        <w:pStyle w:val="VEBodyText"/>
        <w:keepNext w:val="true"/>
        <w:keepLines/>
        <w:jc w:val="start"/>
        <w:rPr/>
      </w:pPr>
      <w:r>
        <w:rPr>
          <w:b/>
          <w:bCs/>
        </w:rPr>
        <w:t>III.</w:t>
        <w:tab/>
      </w:r>
      <w:r>
        <w:rPr>
          <w:b/>
          <w:bCs/>
          <w:u w:val="single"/>
        </w:rPr>
        <w:t>MidTexas Pipeline — Consents and Approvals</w:t>
      </w:r>
      <w:r>
        <w:rPr>
          <w:b/>
          <w:bCs/>
        </w:rPr>
        <w:t>.</w:t>
      </w:r>
    </w:p>
    <w:p>
      <w:pPr>
        <w:pStyle w:val="VEBodyText"/>
        <w:keepNext w:val="true"/>
        <w:keepLines/>
        <w:rPr/>
      </w:pPr>
      <w:r>
        <w:rPr/>
        <w:t>The following provisions are added to Schedule 4.6 with respect to consents and approvals related to the MidTexas pipeline financing:</w:t>
      </w:r>
    </w:p>
    <w:p>
      <w:pPr>
        <w:pStyle w:val="VEBodyText"/>
        <w:ind w:start="720" w:end="0"/>
        <w:rPr/>
      </w:pPr>
      <w:r>
        <w:rPr>
          <w:u w:val="single"/>
        </w:rPr>
        <w:t>MidTexas Pipeline Financing</w:t>
      </w:r>
      <w:r>
        <w:rPr/>
        <w:t>:</w:t>
      </w:r>
    </w:p>
    <w:p>
      <w:pPr>
        <w:pStyle w:val="VEBodyText"/>
        <w:ind w:start="720" w:end="0"/>
        <w:rPr/>
      </w:pPr>
      <w:r>
        <w:rPr/>
        <w:t>Reference is hereby made to the First Amended and Restated Participation Agreement dated as of October 5, 1998 (the “</w:t>
      </w:r>
      <w:r>
        <w:rPr>
          <w:u w:val="single"/>
        </w:rPr>
        <w:t>Participation Agreement</w:t>
      </w:r>
      <w:r>
        <w:rPr/>
        <w:t>”), by and among Little Piper, L.L.C., Middle Piper, L.L.C., Houston Pipe Line Company, State Street Bank and Trust Company of Connecticut, National Association, not in its individual capacity except as expressly stated therein (in its individual capacity, the “</w:t>
      </w:r>
      <w:r>
        <w:rPr>
          <w:u w:val="single"/>
        </w:rPr>
        <w:t>Trust Institution</w:t>
      </w:r>
      <w:r>
        <w:rPr/>
        <w:t>”) but solely as trustee of the MidTexas TIGER Trust (in such capacity, collectively with any assignees, the “</w:t>
      </w:r>
      <w:r>
        <w:rPr>
          <w:u w:val="single"/>
        </w:rPr>
        <w:t>Trustee</w:t>
      </w:r>
      <w:r>
        <w:rPr/>
        <w:t>”), The Prudential Insurance Company of America, as Administrative Agent, and the Prudential Insurance Company of America, as the Purchaser (in such capacity, the “</w:t>
      </w:r>
      <w:r>
        <w:rPr>
          <w:u w:val="single"/>
        </w:rPr>
        <w:t>Purchaser</w:t>
      </w:r>
      <w:r>
        <w:rPr/>
        <w:t>”).  Capitalized terms defined in the Participation Agreement shall have the same meaning herein.</w:t>
      </w:r>
    </w:p>
    <w:p>
      <w:pPr>
        <w:pStyle w:val="VEBodyText"/>
        <w:ind w:start="720" w:end="0"/>
        <w:rPr/>
      </w:pPr>
      <w:r>
        <w:rPr/>
        <w:t>In connection with the unwind of the MidTexas Pipeline, Enron shall acquire the Notes from the Purchaser (by issuing Enron notes in exchange for the Purchaser’s notes) and effectuate an unwind of the financing.  For clarity, Enron in its capacity as the holder of the Notes after such sale is referred to as the “</w:t>
      </w:r>
      <w:r>
        <w:rPr>
          <w:u w:val="single"/>
        </w:rPr>
        <w:t>Noteholder</w:t>
      </w:r>
      <w:r>
        <w:rPr/>
        <w:t>”.</w:t>
      </w:r>
    </w:p>
    <w:p>
      <w:pPr>
        <w:pStyle w:val="VEBodyText"/>
        <w:ind w:start="720" w:end="0"/>
        <w:rPr/>
      </w:pPr>
      <w:r>
        <w:rPr/>
        <w:t>The following consents are required:</w:t>
      </w:r>
    </w:p>
    <w:p>
      <w:pPr>
        <w:pStyle w:val="VEBodyText"/>
        <w:ind w:start="720" w:end="0"/>
        <w:rPr/>
      </w:pPr>
      <w:r>
        <w:rPr/>
        <w:t>1.</w:t>
        <w:tab/>
        <w:t>Under the Participation Agreement, a consent to an assignment of the Notes by the Purchaser to Enron is required from the Purchaser, Middle Piper, Little Piper, HPL, the Trustee and the Administrative Agent is required.</w:t>
      </w:r>
    </w:p>
    <w:p>
      <w:pPr>
        <w:pStyle w:val="VEBodyText"/>
        <w:ind w:start="720" w:end="0"/>
        <w:rPr/>
      </w:pPr>
      <w:r>
        <w:rPr/>
        <w:t>2.</w:t>
        <w:tab/>
        <w:t>Enron will enter into a credit agreement (or appropriate similar document) with the Purchaser to effectuate the issuance of Enron notes in exchange for the Purchaser’s note).</w:t>
      </w:r>
    </w:p>
    <w:p>
      <w:pPr>
        <w:pStyle w:val="VEBodyText"/>
        <w:ind w:start="720" w:end="0"/>
        <w:rPr/>
      </w:pPr>
      <w:r>
        <w:rPr/>
        <w:t>3.</w:t>
        <w:tab/>
        <w:t>The Purchaser, the Trust Institution, the Trustee, the Administrative Agent and Main Piper shall release HPL and Enron from all obligations under the Project Documents, including indemnification that would otherwise survive the assignment of the Notes in return for Enron indemnities.  [Under the Participation Agreement, assignors of Notes continue to have rights of indemnification from HPL.  Under Appendix B to the Participation Agreement, indemnification and certain other obligations of HPL (and Enron’s guarantee of such obligations) survive the Final Retirement Date.]</w:t>
      </w:r>
    </w:p>
    <w:p>
      <w:pPr>
        <w:pStyle w:val="VEBodyText"/>
        <w:ind w:start="720" w:end="0"/>
        <w:rPr/>
      </w:pPr>
      <w:r>
        <w:rPr/>
        <w:t>4.</w:t>
        <w:tab/>
        <w:t>The Noteholder, Little Piper, Middle Piper, HPL, Enron and the Trustee shall consent to the following actions [the specific document or instrument pursuant to which such consent is required is identified in the bracketed language].  Please note that the actions set forth below shall occur contemporaneously.</w:t>
      </w:r>
    </w:p>
    <w:p>
      <w:pPr>
        <w:pStyle w:val="VEBodyText"/>
        <w:ind w:start="1440" w:end="0"/>
        <w:rPr/>
      </w:pPr>
      <w:r>
        <w:rPr/>
        <w:t>a.</w:t>
        <w:tab/>
        <w:t>HPL shall purchase the Middle Piper Interest from the Trust.  [The Declaration of Trust as written does not permit the Trustee to transfer the Middle Piper Interest.  The Participation Agreement contains restrictions on transfers of the Middle Piper interest.]</w:t>
      </w:r>
    </w:p>
    <w:p>
      <w:pPr>
        <w:pStyle w:val="VEBodyText"/>
        <w:ind w:start="1440" w:end="0"/>
        <w:rPr/>
      </w:pPr>
      <w:r>
        <w:rPr/>
        <w:t>b.</w:t>
        <w:tab/>
        <w:t>The Participation Agreement shall be terminated and all liabilities therein shall be released.</w:t>
      </w:r>
    </w:p>
    <w:p>
      <w:pPr>
        <w:pStyle w:val="VEBodyText"/>
        <w:ind w:start="1440" w:end="0"/>
        <w:rPr/>
      </w:pPr>
      <w:r>
        <w:rPr/>
        <w:t>c.</w:t>
        <w:tab/>
        <w:t>The Trustee, on behalf of the Trust, shall release and terminate its secutity interest in HPL’s right to direct the contracting of the HPL Capacity.  [The Security Agreement is an Operative Document, and consent is required pursuant to the Participation Agreement.]</w:t>
      </w:r>
    </w:p>
    <w:p>
      <w:pPr>
        <w:pStyle w:val="VEBodyText"/>
        <w:ind w:start="1440" w:end="0"/>
        <w:rPr/>
      </w:pPr>
      <w:r>
        <w:rPr/>
        <w:t>d.</w:t>
        <w:tab/>
        <w:t>The Trustee shall pay in full the Notes or Enron as Holder of the Notes shall declare same to be cancelled.  [Neither the Declaration nor the Participation Agreement permit a voluntary prepayment of the Notes.]</w:t>
      </w:r>
    </w:p>
    <w:p>
      <w:pPr>
        <w:pStyle w:val="VEBodyText"/>
        <w:ind w:start="1440" w:end="0"/>
        <w:rPr/>
      </w:pPr>
      <w:r>
        <w:rPr/>
        <w:t>e.</w:t>
        <w:tab/>
        <w:t>The Declaration of Trust shall be terminated and the Trust dissolved.</w:t>
      </w:r>
    </w:p>
    <w:p>
      <w:pPr>
        <w:pStyle w:val="VEBodyText"/>
        <w:ind w:start="1440" w:end="0"/>
        <w:rPr>
          <w:b/>
          <w:bCs/>
          <w:i/>
          <w:i/>
          <w:iCs/>
        </w:rPr>
      </w:pPr>
      <w:r>
        <w:rPr/>
        <w:t>f.</w:t>
        <w:tab/>
        <w:t>Middle Piper shall be dissolved; Main Piper shall be dissolved.</w:t>
      </w:r>
    </w:p>
    <w:p>
      <w:pPr>
        <w:pStyle w:val="VEBodyText"/>
        <w:ind w:start="720" w:end="0"/>
        <w:rPr/>
      </w:pPr>
      <w:r>
        <w:rPr/>
        <w:t>5.</w:t>
        <w:tab/>
        <w:t>Consent of TECO to, as appropriate, (a) amend the MTP Partnership Agreement to delete the HPL Capacity Fee, (b) contribute the HPL Capacity to HPL, (c) terminate the Enron indemnity of HPL’s payment of the Capacity Fee, including terminating Enron’s obligations under the Assumption, Guaranty and Indemnity Agreement dated June 30, 1998 among HPL, Main Piper, TECO, Enron and MTP (the “</w:t>
      </w:r>
      <w:r>
        <w:rPr>
          <w:u w:val="single"/>
        </w:rPr>
        <w:t>Assumption Agreement</w:t>
      </w:r>
      <w:r>
        <w:rPr/>
        <w:t>”) and (d) make corresponding changes to the Operating Agreement dated as of December 15, 1995 and amended as of June 30, 1998 between HPL and MTP and to the Gas Transportation Agreement dated August 14, 1994 and amended June 30, 1998 between HPL and TECO.</w:t>
      </w:r>
    </w:p>
    <w:p>
      <w:pPr>
        <w:pStyle w:val="VEBodyText"/>
        <w:rPr/>
      </w:pPr>
      <w:r>
        <w:rPr>
          <w:b/>
          <w:bCs/>
        </w:rPr>
        <w:t>IV.</w:t>
        <w:tab/>
      </w:r>
      <w:r>
        <w:rPr>
          <w:b/>
          <w:bCs/>
          <w:u w:val="single"/>
        </w:rPr>
        <w:t>Bammel Gas Trust — Consents and Approvals</w:t>
      </w:r>
      <w:r>
        <w:rPr>
          <w:b/>
          <w:bCs/>
        </w:rPr>
        <w:t>.</w:t>
      </w:r>
    </w:p>
    <w:p>
      <w:pPr>
        <w:pStyle w:val="VEBodyText"/>
        <w:rPr/>
      </w:pPr>
      <w:r>
        <w:rPr/>
        <w:t>The following provisions are added to Schedule 4.6 with respect to consents and approvals related to the Bammel gas financing:</w:t>
      </w:r>
    </w:p>
    <w:p>
      <w:pPr>
        <w:pStyle w:val="VEBodyText"/>
        <w:ind w:start="720" w:end="0"/>
        <w:rPr/>
      </w:pPr>
      <w:r>
        <w:rPr/>
        <w:t>Reference is hereby made the Participation Agreement dated as of December 30, 1997 (the “</w:t>
      </w:r>
      <w:r>
        <w:rPr>
          <w:u w:val="single"/>
        </w:rPr>
        <w:t>Participation Agreement</w:t>
      </w:r>
      <w:r>
        <w:rPr/>
        <w:t>”), by and among Houston Pipe Line Company, HPL Resources Company, HPL Asset Holdings L.P., Enron Capital &amp; Trade Resources Corp., The Bank of New York, as Trustee of the Bammel Gas Trust, NationsBank, N.A., as Administrative Agent, Kitty Hawk Funding Corporation, as Initial Purchaser, and the Purchasers named therein. Capitalized terms defined in the Participation Agreement shall have the same meaning herein.</w:t>
      </w:r>
    </w:p>
    <w:p>
      <w:pPr>
        <w:pStyle w:val="VEBodyText"/>
        <w:ind w:start="720" w:end="0"/>
        <w:rPr/>
      </w:pPr>
      <w:r>
        <w:rPr>
          <w:b/>
          <w:bCs/>
        </w:rPr>
        <w:t>A.</w:t>
        <w:tab/>
      </w:r>
      <w:r>
        <w:rPr>
          <w:b/>
          <w:bCs/>
          <w:u w:val="single"/>
        </w:rPr>
        <w:t>Partial Unwind</w:t>
      </w:r>
      <w:r>
        <w:rPr>
          <w:b/>
          <w:bCs/>
        </w:rPr>
        <w:t xml:space="preserve">. </w:t>
      </w:r>
      <w:r>
        <w:rPr/>
        <w:t>Consent of the Purchasers, HPLC, HPLR, the Marketer, the Administrative Agent and the Trustee is required pursuant to the Participation Agreement to amend any of the Operative Documents, and the Operative Documents as written do not permit a partial unwind of the Bammel Gas financing; therefore, consent of all such Persons is required with respect to each of the following:</w:t>
      </w:r>
    </w:p>
    <w:p>
      <w:pPr>
        <w:pStyle w:val="VEBodyText"/>
        <w:ind w:start="720" w:end="0"/>
        <w:rPr/>
      </w:pPr>
      <w:r>
        <w:rPr/>
        <w:t>1.</w:t>
        <w:tab/>
        <w:t>The Trust shall sell to HPL 25 mm MMBtu of Natural Gas.</w:t>
      </w:r>
    </w:p>
    <w:p>
      <w:pPr>
        <w:pStyle w:val="VEBodyText"/>
        <w:ind w:start="720" w:end="0"/>
        <w:rPr/>
      </w:pPr>
      <w:r>
        <w:rPr/>
        <w:t>2.</w:t>
        <w:tab/>
        <w:t>The Trust and the Bank of America, N.A. (“</w:t>
      </w:r>
      <w:r>
        <w:rPr>
          <w:u w:val="single"/>
        </w:rPr>
        <w:t>BOA</w:t>
      </w:r>
      <w:r>
        <w:rPr/>
        <w:t>”) shall amend the Commodity Swap Agreement to reflect the reduced volume of 55 mm MMBtu of Natural Gas to be owned by the Trust.</w:t>
      </w:r>
    </w:p>
    <w:p>
      <w:pPr>
        <w:pStyle w:val="VEBodyText"/>
        <w:ind w:start="720" w:end="0"/>
        <w:rPr/>
      </w:pPr>
      <w:r>
        <w:rPr/>
        <w:t>3.</w:t>
        <w:tab/>
        <w:t>The Purchasers, HPLC, HPLR, the Trustee, the Marketer, the Purchasers and the Administrative Agent shall amend the Participation Agreement to reflect the reduced volume of 55 mm MMBtu of Natural Gas to be owned by the Trust.</w:t>
      </w:r>
    </w:p>
    <w:p>
      <w:pPr>
        <w:pStyle w:val="VEBodyText"/>
        <w:ind w:start="720" w:end="0"/>
        <w:rPr/>
      </w:pPr>
      <w:r>
        <w:rPr/>
        <w:t>4.</w:t>
        <w:tab/>
        <w:t>The Sellers and the Trustee shall amend the Option Agreement to reflect the reduced volume of 55 mm MMBtu of Natural Gas to be owned by the Trust.</w:t>
      </w:r>
    </w:p>
    <w:p>
      <w:pPr>
        <w:pStyle w:val="VEBodyText"/>
        <w:ind w:start="720" w:end="0"/>
        <w:rPr/>
      </w:pPr>
      <w:r>
        <w:rPr/>
        <w:t>5.</w:t>
        <w:tab/>
        <w:t>The Declaration of Trust shall be amended to reflect the reduced volume of 55.5 mm MMBtu of Natural Gas to be owned by the Trust.</w:t>
      </w:r>
    </w:p>
    <w:p>
      <w:pPr>
        <w:pStyle w:val="VEBodyText"/>
        <w:ind w:start="720" w:end="0"/>
        <w:rPr/>
      </w:pPr>
      <w:r>
        <w:rPr/>
        <w:t>6.</w:t>
        <w:tab/>
        <w:t>The Trustee and the Administrative Agent shall amend the Security Agreement to reflect the reduced volume of 55 mm MMBtu of Natural Gas to be owned by the Trust, and the Administrative Agent shall release the lean on 25 mm MMBtu of Natural Gas and file UCC-3 partial terminate statements in connection therewith;</w:t>
      </w:r>
    </w:p>
    <w:p>
      <w:pPr>
        <w:pStyle w:val="VEBodyText"/>
        <w:ind w:start="720" w:end="0"/>
        <w:rPr/>
      </w:pPr>
      <w:r>
        <w:rPr/>
        <w:t>7.</w:t>
        <w:tab/>
        <w:t>ECT and the Trustee shall amend the Marketing Agreement to reflect the reduced volume of 55 mm MMBtu of Natural Gas to be owned by the Trust.</w:t>
      </w:r>
    </w:p>
    <w:p>
      <w:pPr>
        <w:pStyle w:val="VEBodyText"/>
        <w:ind w:start="720" w:end="0"/>
        <w:rPr/>
      </w:pPr>
      <w:r>
        <w:rPr/>
        <w:t>8.</w:t>
        <w:tab/>
        <w:t>HPL, HPLR, Holdings, and the Trustee shall amend the Pressurization and Storage Gas Borrowing Agreement to reflect the reduced volume of 55 mm MMBtu of Natural Gas to be owned by the Trust and to release the Demand Charge.</w:t>
      </w:r>
    </w:p>
    <w:p>
      <w:pPr>
        <w:pStyle w:val="VEBodyText"/>
        <w:ind w:start="720" w:end="0"/>
        <w:rPr/>
      </w:pPr>
      <w:r>
        <w:rPr/>
        <w:t>9.</w:t>
        <w:tab/>
        <w:t>The Purchasers shall execute the Consent and Acknowledgement attached hereto as Exhibit 3.2(j).</w:t>
      </w:r>
    </w:p>
    <w:p>
      <w:pPr>
        <w:pStyle w:val="VEBodyText"/>
        <w:rPr>
          <w:rStyle w:val="VEUnderline"/>
        </w:rPr>
      </w:pPr>
      <w:r>
        <w:rPr>
          <w:rStyle w:val="VEBold"/>
        </w:rPr>
        <w:t>V.</w:t>
        <w:tab/>
      </w:r>
      <w:r>
        <w:rPr>
          <w:rStyle w:val="VEBoldUnderline"/>
        </w:rPr>
        <w:t>Performance Agreement in Favor of Entex</w:t>
      </w:r>
      <w:r>
        <w:rPr>
          <w:rStyle w:val="VEBold"/>
        </w:rPr>
        <w:t>.</w:t>
      </w:r>
    </w:p>
    <w:p>
      <w:pPr>
        <w:pStyle w:val="VEBodyText"/>
        <w:ind w:start="720" w:end="0"/>
        <w:rPr/>
      </w:pPr>
      <w:r>
        <w:rPr>
          <w:rStyle w:val="VEUnderline"/>
          <w:u w:val="none"/>
        </w:rPr>
        <w:t>Ratification or amendment of the Performance Agreement (the “Performance Agreement”) dated as of April 1, 1999, among Entex (“Entex”), a division of Noram Energy Corp., Unit Gas Transmission Company (“Unit”), and HPL sufficient to provide assurance to Entex and Unit that HPL’s obligations under the Performance Agreement will remain effective to guaranty Lodisco LLC’s performance under the Transaction Agreements (as referenced in the Performance Agreement) following the assignment of such contracts by Enron North America Corp. to Lodisco LLC.</w:t>
      </w:r>
    </w:p>
    <w:p>
      <w:pPr>
        <w:pStyle w:val="VEBodyText"/>
        <w:keepNext w:val="true"/>
        <w:keepLines/>
        <w:rPr>
          <w:rStyle w:val="VEUnderline"/>
          <w:u w:val="none"/>
        </w:rPr>
      </w:pPr>
      <w:r>
        <w:rPr>
          <w:rStyle w:val="VEUnderline"/>
          <w:b/>
          <w:bCs/>
          <w:u w:val="none"/>
        </w:rPr>
        <w:t>VI.</w:t>
        <w:tab/>
      </w:r>
      <w:r>
        <w:rPr>
          <w:rStyle w:val="VEUnderline"/>
          <w:b/>
          <w:bCs/>
        </w:rPr>
        <w:t>Inter-company Note</w:t>
      </w:r>
      <w:r>
        <w:rPr>
          <w:rStyle w:val="VEUnderline"/>
          <w:b/>
          <w:bCs/>
          <w:u w:val="none"/>
        </w:rPr>
        <w:t>.</w:t>
      </w:r>
    </w:p>
    <w:p>
      <w:pPr>
        <w:pStyle w:val="VEBodyText"/>
        <w:keepNext w:val="true"/>
        <w:keepLines/>
        <w:ind w:start="720" w:end="0"/>
        <w:rPr/>
      </w:pPr>
      <w:r>
        <w:rPr>
          <w:rStyle w:val="VEUnderline"/>
          <w:u w:val="none"/>
        </w:rPr>
        <w:t>In connection with the assumption by Enron Corp. of that certain Promissory Note dated March 21, 1997  (the “Note”) payable by Houston Pipe Line Company (“HPL") to Enron Pipeline Holding Company, f/k/a/ Enron Liquids Holding Corp. (“Enron Pipeline"), the consent of Enron Pipeline is required.   Enron Corp. is the Guarantor of the Note.  Enron Pipeline must also agree to release HPL from any and all liability under the Note.</w:t>
      </w:r>
    </w:p>
    <w:p>
      <w:pPr>
        <w:pStyle w:val="VEBodyText"/>
        <w:keepNext w:val="true"/>
        <w:keepLines/>
        <w:ind w:start="720" w:end="0"/>
        <w:rPr/>
      </w:pPr>
      <w:r>
        <w:rPr>
          <w:rStyle w:val="VEUnderline"/>
          <w:u w:val="none"/>
        </w:rPr>
        <w:t>In connection with the assumption by Enron Corp. of that certain Promissory Note dated October 31, 1997 (the “Note”) payable by HPL to ECT Equity Corp. (“ECT”), the consent of ECT is required.  ECT must also agree to release HPL from any and all liability under the Note.</w:t>
      </w:r>
    </w:p>
    <w:p>
      <w:pPr>
        <w:pStyle w:val="Normal"/>
        <w:rPr/>
      </w:pPr>
      <w:r>
        <w:rPr>
          <w:rStyle w:val="VEUnderline"/>
          <w:b/>
          <w:bCs/>
          <w:u w:val="none"/>
        </w:rPr>
        <w:t>VII.</w:t>
        <w:tab/>
      </w:r>
      <w:r>
        <w:rPr>
          <w:rStyle w:val="VEUnderline"/>
          <w:b/>
          <w:bCs/>
        </w:rPr>
        <w:t>Sublease</w:t>
      </w:r>
      <w:r>
        <w:rPr>
          <w:rStyle w:val="VEUnderline"/>
          <w:b/>
          <w:bCs/>
          <w:u w:val="none"/>
        </w:rPr>
        <w:t>.</w:t>
      </w:r>
    </w:p>
    <w:p>
      <w:pPr>
        <w:pStyle w:val="Header"/>
        <w:tabs>
          <w:tab w:val="clear" w:pos="4680"/>
          <w:tab w:val="clear" w:pos="9360"/>
        </w:tabs>
        <w:rPr/>
      </w:pPr>
      <w:r>
        <w:rPr/>
      </w:r>
    </w:p>
    <w:p>
      <w:pPr>
        <w:pStyle w:val="VEBodyText"/>
        <w:keepNext w:val="true"/>
        <w:keepLines/>
        <w:ind w:start="720" w:end="0"/>
        <w:rPr/>
      </w:pPr>
      <w:r>
        <w:rPr>
          <w:rStyle w:val="VEUnderline"/>
          <w:u w:val="none"/>
        </w:rPr>
        <w:t>See Consent and Acknowledgment (Leased Facilities) attached as Exhibit 3.2(j) –1 to the Purchase and Sale Agreement.</w:t>
      </w:r>
    </w:p>
    <w:p>
      <w:pPr>
        <w:pStyle w:val="Normal"/>
        <w:jc w:val="center"/>
        <w:rPr/>
      </w:pPr>
      <w:r>
        <w:rPr/>
        <w:t>PURCHASE AND SALE AGREEMENT</w:t>
      </w:r>
    </w:p>
    <w:p>
      <w:pPr>
        <w:pStyle w:val="Normal"/>
        <w:jc w:val="center"/>
        <w:rPr/>
      </w:pPr>
      <w:r>
        <w:rPr/>
      </w:r>
    </w:p>
    <w:p>
      <w:pPr>
        <w:pStyle w:val="Normal"/>
        <w:jc w:val="center"/>
        <w:rPr/>
      </w:pPr>
      <w:r>
        <w:rPr/>
        <w:t>Schedule 4.7(a)</w:t>
      </w:r>
    </w:p>
    <w:p>
      <w:pPr>
        <w:pStyle w:val="Normal"/>
        <w:jc w:val="center"/>
        <w:rPr/>
      </w:pPr>
      <w:r>
        <w:rPr/>
        <w:t>Houston Pipe Line Company Balance Sheet</w:t>
      </w:r>
    </w:p>
    <w:p>
      <w:pPr>
        <w:pStyle w:val="Normal"/>
        <w:jc w:val="center"/>
        <w:rPr/>
      </w:pPr>
      <w:r>
        <w:rPr/>
        <w:t>As of 07/31/00</w:t>
      </w:r>
    </w:p>
    <w:p>
      <w:pPr>
        <w:pStyle w:val="Normal"/>
        <w:jc w:val="center"/>
        <w:rPr>
          <w:sz w:val="20"/>
          <w:szCs w:val="20"/>
        </w:rPr>
      </w:pPr>
      <w:r>
        <w:rPr>
          <w:sz w:val="20"/>
          <w:szCs w:val="20"/>
        </w:rPr>
        <w:t>(Dollars in Thousands)</w:t>
      </w:r>
    </w:p>
    <w:p>
      <w:pPr>
        <w:pStyle w:val="Normal"/>
        <w:jc w:val="center"/>
        <w:rPr>
          <w:sz w:val="20"/>
          <w:szCs w:val="20"/>
        </w:rPr>
      </w:pPr>
      <w:r>
        <w:rPr>
          <w:sz w:val="20"/>
          <w:szCs w:val="20"/>
        </w:rPr>
      </w:r>
    </w:p>
    <w:tbl>
      <w:tblPr>
        <w:tblW w:w="7636" w:type="dxa"/>
        <w:jc w:val="center"/>
        <w:tblInd w:w="0" w:type="dxa"/>
        <w:tblLayout w:type="fixed"/>
        <w:tblCellMar>
          <w:top w:w="15" w:type="dxa"/>
          <w:start w:w="15" w:type="dxa"/>
          <w:bottom w:w="0" w:type="dxa"/>
          <w:end w:w="15" w:type="dxa"/>
        </w:tblCellMar>
      </w:tblPr>
      <w:tblGrid>
        <w:gridCol w:w="570"/>
        <w:gridCol w:w="330"/>
        <w:gridCol w:w="4718"/>
        <w:gridCol w:w="128"/>
        <w:gridCol w:w="1890"/>
      </w:tblGrid>
      <w:tr>
        <w:trPr>
          <w:trHeight w:val="255" w:hRule="atLeast"/>
        </w:trPr>
        <w:tc>
          <w:tcPr>
            <w:tcW w:w="900" w:type="dxa"/>
            <w:gridSpan w:val="2"/>
            <w:tcBorders/>
            <w:vAlign w:val="bottom"/>
          </w:tcPr>
          <w:p>
            <w:pPr>
              <w:pStyle w:val="Normal"/>
              <w:rPr>
                <w:rFonts w:ascii="Arial" w:hAnsi="Arial" w:eastAsia="Arial Unicode MS;Tahoma" w:cs="Arial"/>
                <w:b/>
                <w:bCs/>
                <w:sz w:val="20"/>
                <w:szCs w:val="20"/>
              </w:rPr>
            </w:pPr>
            <w:r>
              <w:rPr>
                <w:rFonts w:cs="Arial" w:ascii="Arial" w:hAnsi="Arial"/>
                <w:b/>
                <w:bCs/>
                <w:sz w:val="20"/>
                <w:szCs w:val="20"/>
              </w:rPr>
              <w:t>Assets</w:t>
            </w:r>
          </w:p>
        </w:tc>
        <w:tc>
          <w:tcPr>
            <w:tcW w:w="4718"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128" w:type="dxa"/>
            <w:tcBorders/>
            <w:vAlign w:val="bottom"/>
          </w:tcPr>
          <w:p>
            <w:pPr>
              <w:pStyle w:val="Normal"/>
              <w:snapToGrid w:val="false"/>
              <w:jc w:val="center"/>
              <w:rPr>
                <w:rFonts w:ascii="Arial" w:hAnsi="Arial" w:eastAsia="Arial Unicode MS;Tahoma" w:cs="Arial"/>
                <w:b/>
                <w:bCs/>
                <w:sz w:val="20"/>
                <w:szCs w:val="20"/>
              </w:rPr>
            </w:pPr>
            <w:r>
              <w:rPr>
                <w:rFonts w:eastAsia="Arial Unicode MS;Tahoma" w:cs="Arial" w:ascii="Arial" w:hAnsi="Arial"/>
                <w:b/>
                <w:bCs/>
                <w:sz w:val="20"/>
                <w:szCs w:val="20"/>
              </w:rPr>
            </w:r>
          </w:p>
        </w:tc>
        <w:tc>
          <w:tcPr>
            <w:tcW w:w="1890" w:type="dxa"/>
            <w:tcBorders/>
            <w:vAlign w:val="bottom"/>
          </w:tcPr>
          <w:p>
            <w:pPr>
              <w:pStyle w:val="Normal"/>
              <w:snapToGrid w:val="false"/>
              <w:jc w:val="center"/>
              <w:rPr>
                <w:rFonts w:ascii="Arial" w:hAnsi="Arial" w:eastAsia="Arial Unicode MS;Tahoma" w:cs="Arial"/>
                <w:b/>
                <w:bCs/>
                <w:sz w:val="20"/>
                <w:szCs w:val="20"/>
              </w:rPr>
            </w:pPr>
            <w:r>
              <w:rPr>
                <w:rFonts w:eastAsia="Arial Unicode MS;Tahoma" w:cs="Arial" w:ascii="Arial" w:hAnsi="Arial"/>
                <w:b/>
                <w:bCs/>
                <w:sz w:val="20"/>
                <w:szCs w:val="20"/>
              </w:rPr>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5048" w:type="dxa"/>
            <w:gridSpan w:val="2"/>
            <w:tcBorders/>
            <w:vAlign w:val="bottom"/>
          </w:tcPr>
          <w:p>
            <w:pPr>
              <w:pStyle w:val="Normal"/>
              <w:rPr>
                <w:rFonts w:ascii="Arial" w:hAnsi="Arial" w:eastAsia="Arial Unicode MS;Tahoma" w:cs="Arial"/>
                <w:b/>
                <w:bCs/>
                <w:sz w:val="20"/>
                <w:szCs w:val="20"/>
              </w:rPr>
            </w:pPr>
            <w:r>
              <w:rPr>
                <w:rFonts w:cs="Arial" w:ascii="Arial" w:hAnsi="Arial"/>
                <w:b/>
                <w:bCs/>
                <w:sz w:val="20"/>
                <w:szCs w:val="20"/>
              </w:rPr>
              <w:t>Current Assets</w:t>
            </w:r>
          </w:p>
        </w:tc>
        <w:tc>
          <w:tcPr>
            <w:tcW w:w="128" w:type="dxa"/>
            <w:tcBorders/>
            <w:vAlign w:val="bottom"/>
          </w:tcPr>
          <w:p>
            <w:pPr>
              <w:pStyle w:val="Normal"/>
              <w:snapToGrid w:val="false"/>
              <w:jc w:val="center"/>
              <w:rPr>
                <w:rFonts w:ascii="Arial" w:hAnsi="Arial" w:eastAsia="Arial Unicode MS;Tahoma" w:cs="Arial"/>
                <w:b/>
                <w:bCs/>
                <w:sz w:val="20"/>
                <w:szCs w:val="20"/>
              </w:rPr>
            </w:pPr>
            <w:r>
              <w:rPr>
                <w:rFonts w:eastAsia="Arial Unicode MS;Tahoma" w:cs="Arial" w:ascii="Arial" w:hAnsi="Arial"/>
                <w:b/>
                <w:bCs/>
                <w:sz w:val="20"/>
                <w:szCs w:val="20"/>
              </w:rPr>
            </w:r>
          </w:p>
        </w:tc>
        <w:tc>
          <w:tcPr>
            <w:tcW w:w="1890" w:type="dxa"/>
            <w:tcBorders/>
            <w:vAlign w:val="bottom"/>
          </w:tcPr>
          <w:p>
            <w:pPr>
              <w:pStyle w:val="Normal"/>
              <w:snapToGrid w:val="false"/>
              <w:jc w:val="center"/>
              <w:rPr>
                <w:rFonts w:ascii="Arial" w:hAnsi="Arial" w:eastAsia="Arial Unicode MS;Tahoma" w:cs="Arial"/>
                <w:b/>
                <w:bCs/>
                <w:sz w:val="20"/>
                <w:szCs w:val="20"/>
              </w:rPr>
            </w:pPr>
            <w:r>
              <w:rPr>
                <w:rFonts w:eastAsia="Arial Unicode MS;Tahoma" w:cs="Arial" w:ascii="Arial" w:hAnsi="Arial"/>
                <w:b/>
                <w:bCs/>
                <w:sz w:val="20"/>
                <w:szCs w:val="20"/>
              </w:rPr>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sz w:val="20"/>
                <w:szCs w:val="20"/>
              </w:rPr>
            </w:pPr>
            <w:r>
              <w:rPr>
                <w:rFonts w:cs="Arial" w:ascii="Arial" w:hAnsi="Arial"/>
                <w:sz w:val="20"/>
                <w:szCs w:val="20"/>
              </w:rPr>
              <w:t>Working Gas</w:t>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           271,635 </w:t>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sz w:val="20"/>
                <w:szCs w:val="20"/>
              </w:rPr>
            </w:pPr>
            <w:r>
              <w:rPr>
                <w:rFonts w:cs="Arial" w:ascii="Arial" w:hAnsi="Arial"/>
                <w:sz w:val="20"/>
                <w:szCs w:val="20"/>
              </w:rPr>
              <w:t>Linepack</w:t>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8,952 </w:t>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sz w:val="20"/>
                <w:szCs w:val="20"/>
              </w:rPr>
            </w:pPr>
            <w:r>
              <w:rPr>
                <w:rFonts w:cs="Arial" w:ascii="Arial" w:hAnsi="Arial"/>
                <w:sz w:val="20"/>
                <w:szCs w:val="20"/>
              </w:rPr>
              <w:t>Liquids Inventory</w:t>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6 </w:t>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sz w:val="20"/>
                <w:szCs w:val="20"/>
              </w:rPr>
            </w:pPr>
            <w:r>
              <w:rPr>
                <w:rFonts w:cs="Arial" w:ascii="Arial" w:hAnsi="Arial"/>
                <w:sz w:val="20"/>
                <w:szCs w:val="20"/>
              </w:rPr>
              <w:t>Materials and Supplies</w:t>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2,676 </w:t>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b/>
                <w:bCs/>
                <w:sz w:val="20"/>
                <w:szCs w:val="20"/>
              </w:rPr>
            </w:pPr>
            <w:r>
              <w:rPr>
                <w:rFonts w:eastAsia="Arial" w:cs="Arial" w:ascii="Arial" w:hAnsi="Arial"/>
                <w:b/>
                <w:bCs/>
                <w:sz w:val="20"/>
                <w:szCs w:val="20"/>
              </w:rPr>
              <w:t xml:space="preserve">     </w:t>
            </w:r>
            <w:r>
              <w:rPr>
                <w:rFonts w:cs="Arial" w:ascii="Arial" w:hAnsi="Arial"/>
                <w:b/>
                <w:bCs/>
                <w:sz w:val="20"/>
                <w:szCs w:val="20"/>
              </w:rPr>
              <w:t>Total Inventories</w:t>
            </w:r>
          </w:p>
        </w:tc>
        <w:tc>
          <w:tcPr>
            <w:tcW w:w="128"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1890" w:type="dxa"/>
            <w:tcBorders>
              <w:top w:val="single" w:sz="4" w:space="0" w:color="000000"/>
              <w:bottom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11,634 </w:t>
            </w:r>
          </w:p>
        </w:tc>
      </w:tr>
      <w:tr>
        <w:trPr>
          <w:trHeight w:val="120"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sz w:val="20"/>
                <w:szCs w:val="20"/>
              </w:rPr>
            </w:pPr>
            <w:r>
              <w:rPr>
                <w:rFonts w:cs="Arial" w:ascii="Arial" w:hAnsi="Arial"/>
                <w:sz w:val="20"/>
                <w:szCs w:val="20"/>
              </w:rPr>
              <w:t>Prepayments:</w:t>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American Energy Partners, Inc.</w:t>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150 </w:t>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Carriz Oil &amp; Gas, Inc.</w:t>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243 </w:t>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Hydrocarbon Operating Inc.</w:t>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34 </w:t>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Sterling Bank Inc.</w:t>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3 </w:t>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Verus Energy, Inc.</w:t>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132 </w:t>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Transportation</w:t>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310 </w:t>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Subtotal Prepayments</w:t>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top w:val="single" w:sz="4" w:space="0" w:color="000000"/>
              <w:bottom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872 </w:t>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sz w:val="20"/>
                <w:szCs w:val="20"/>
              </w:rPr>
            </w:pPr>
            <w:r>
              <w:rPr>
                <w:rFonts w:cs="Arial" w:ascii="Arial" w:hAnsi="Arial"/>
                <w:sz w:val="20"/>
                <w:szCs w:val="20"/>
              </w:rPr>
              <w:t>Deferred Unaccounted For Gas - Current Month</w:t>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34,370 </w:t>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sz w:val="20"/>
                <w:szCs w:val="20"/>
              </w:rPr>
            </w:pPr>
            <w:r>
              <w:rPr>
                <w:rFonts w:cs="Arial" w:ascii="Arial" w:hAnsi="Arial"/>
                <w:sz w:val="20"/>
                <w:szCs w:val="20"/>
              </w:rPr>
              <w:t>Deferred Unaccounted For Gas - Prior Months</w:t>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4,042 </w:t>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sz w:val="20"/>
                <w:szCs w:val="20"/>
              </w:rPr>
            </w:pPr>
            <w:r>
              <w:rPr>
                <w:rFonts w:cs="Arial" w:ascii="Arial" w:hAnsi="Arial"/>
                <w:sz w:val="20"/>
                <w:szCs w:val="20"/>
              </w:rPr>
              <w:t>Other</w:t>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70 </w:t>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b/>
                <w:bCs/>
                <w:sz w:val="20"/>
                <w:szCs w:val="20"/>
              </w:rPr>
            </w:pPr>
            <w:r>
              <w:rPr>
                <w:rFonts w:eastAsia="Arial" w:cs="Arial" w:ascii="Arial" w:hAnsi="Arial"/>
                <w:b/>
                <w:bCs/>
                <w:sz w:val="20"/>
                <w:szCs w:val="20"/>
              </w:rPr>
              <w:t xml:space="preserve">     </w:t>
            </w:r>
            <w:r>
              <w:rPr>
                <w:rFonts w:cs="Arial" w:ascii="Arial" w:hAnsi="Arial"/>
                <w:b/>
                <w:bCs/>
                <w:sz w:val="20"/>
                <w:szCs w:val="20"/>
              </w:rPr>
              <w:t>Total Other</w:t>
            </w:r>
          </w:p>
        </w:tc>
        <w:tc>
          <w:tcPr>
            <w:tcW w:w="128"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1890" w:type="dxa"/>
            <w:tcBorders>
              <w:top w:val="single" w:sz="4" w:space="0" w:color="000000"/>
              <w:bottom w:val="single" w:sz="4" w:space="0" w:color="000000"/>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39,354 </w:t>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5048" w:type="dxa"/>
            <w:gridSpan w:val="2"/>
            <w:tcBorders/>
            <w:vAlign w:val="bottom"/>
          </w:tcPr>
          <w:p>
            <w:pPr>
              <w:pStyle w:val="Normal"/>
              <w:rPr>
                <w:rFonts w:ascii="Arial" w:hAnsi="Arial" w:eastAsia="Arial Unicode MS;Tahoma" w:cs="Arial"/>
                <w:b/>
                <w:bCs/>
                <w:sz w:val="20"/>
                <w:szCs w:val="20"/>
              </w:rPr>
            </w:pPr>
            <w:r>
              <w:rPr>
                <w:rFonts w:cs="Arial" w:ascii="Arial" w:hAnsi="Arial"/>
                <w:b/>
                <w:bCs/>
                <w:sz w:val="20"/>
                <w:szCs w:val="20"/>
              </w:rPr>
              <w:t>Total Current Assets</w:t>
            </w:r>
          </w:p>
        </w:tc>
        <w:tc>
          <w:tcPr>
            <w:tcW w:w="128"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1890" w:type="dxa"/>
            <w:tcBorders>
              <w:top w:val="single" w:sz="4" w:space="0" w:color="000000"/>
              <w:bottom w:val="single" w:sz="4" w:space="0" w:color="000000"/>
            </w:tcBorders>
            <w:vAlign w:val="bottom"/>
          </w:tcPr>
          <w:p>
            <w:pPr>
              <w:pStyle w:val="Normal"/>
              <w:rPr>
                <w:rFonts w:ascii="Arial" w:hAnsi="Arial" w:eastAsia="Arial Unicode MS;Tahoma"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322,623 </w:t>
            </w:r>
          </w:p>
        </w:tc>
      </w:tr>
      <w:tr>
        <w:trPr>
          <w:trHeight w:val="102"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128"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189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5048" w:type="dxa"/>
            <w:gridSpan w:val="2"/>
            <w:tcBorders/>
            <w:vAlign w:val="bottom"/>
          </w:tcPr>
          <w:p>
            <w:pPr>
              <w:pStyle w:val="Normal"/>
              <w:rPr>
                <w:rFonts w:ascii="Arial" w:hAnsi="Arial" w:eastAsia="Arial Unicode MS;Tahoma" w:cs="Arial"/>
                <w:b/>
                <w:bCs/>
                <w:sz w:val="20"/>
                <w:szCs w:val="20"/>
              </w:rPr>
            </w:pPr>
            <w:r>
              <w:rPr>
                <w:rFonts w:cs="Arial" w:ascii="Arial" w:hAnsi="Arial"/>
                <w:b/>
                <w:bCs/>
                <w:sz w:val="20"/>
                <w:szCs w:val="20"/>
              </w:rPr>
              <w:t>Net PP&amp;E</w:t>
            </w:r>
          </w:p>
        </w:tc>
        <w:tc>
          <w:tcPr>
            <w:tcW w:w="128"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1890" w:type="dxa"/>
            <w:tcBorders/>
            <w:vAlign w:val="bottom"/>
          </w:tcPr>
          <w:p>
            <w:pPr>
              <w:pStyle w:val="Normal"/>
              <w:rPr>
                <w:rFonts w:ascii="Arial" w:hAnsi="Arial" w:eastAsia="Arial Unicode MS;Tahoma"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372,330 </w:t>
            </w:r>
          </w:p>
        </w:tc>
      </w:tr>
      <w:tr>
        <w:trPr>
          <w:trHeight w:val="138"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5048" w:type="dxa"/>
            <w:gridSpan w:val="2"/>
            <w:tcBorders/>
            <w:vAlign w:val="bottom"/>
          </w:tcPr>
          <w:p>
            <w:pPr>
              <w:pStyle w:val="Normal"/>
              <w:rPr>
                <w:rFonts w:ascii="Arial" w:hAnsi="Arial" w:eastAsia="Arial Unicode MS;Tahoma" w:cs="Arial"/>
                <w:b/>
                <w:bCs/>
                <w:sz w:val="20"/>
                <w:szCs w:val="20"/>
              </w:rPr>
            </w:pPr>
            <w:r>
              <w:rPr>
                <w:rFonts w:cs="Arial" w:ascii="Arial" w:hAnsi="Arial"/>
                <w:b/>
                <w:bCs/>
                <w:sz w:val="20"/>
                <w:szCs w:val="20"/>
              </w:rPr>
              <w:t>Other Assets</w:t>
            </w:r>
          </w:p>
        </w:tc>
        <w:tc>
          <w:tcPr>
            <w:tcW w:w="128"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1890"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sz w:val="20"/>
                <w:szCs w:val="20"/>
              </w:rPr>
            </w:pPr>
            <w:r>
              <w:rPr>
                <w:rFonts w:cs="Arial" w:ascii="Arial" w:hAnsi="Arial"/>
                <w:sz w:val="20"/>
                <w:szCs w:val="20"/>
              </w:rPr>
              <w:t>Prepaid Reservation Fee - MidTexas</w:t>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7,645 </w:t>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sz w:val="20"/>
                <w:szCs w:val="20"/>
              </w:rPr>
            </w:pPr>
            <w:r>
              <w:rPr>
                <w:rFonts w:cs="Arial" w:ascii="Arial" w:hAnsi="Arial"/>
                <w:sz w:val="20"/>
                <w:szCs w:val="20"/>
              </w:rPr>
              <w:t>Big Cowboy Investment</w:t>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2,709 </w:t>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sz w:val="20"/>
                <w:szCs w:val="20"/>
              </w:rPr>
            </w:pPr>
            <w:r>
              <w:rPr>
                <w:rFonts w:cs="Arial" w:ascii="Arial" w:hAnsi="Arial"/>
                <w:sz w:val="20"/>
                <w:szCs w:val="20"/>
              </w:rPr>
              <w:t>Texas Department of Transportation Receivable</w:t>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1,564 </w:t>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sz w:val="20"/>
                <w:szCs w:val="20"/>
              </w:rPr>
            </w:pPr>
            <w:r>
              <w:rPr>
                <w:rFonts w:cs="Arial" w:ascii="Arial" w:hAnsi="Arial"/>
                <w:sz w:val="20"/>
                <w:szCs w:val="20"/>
              </w:rPr>
              <w:t>Entex Facility Additions</w:t>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992 </w:t>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sz w:val="20"/>
                <w:szCs w:val="20"/>
              </w:rPr>
            </w:pPr>
            <w:r>
              <w:rPr>
                <w:rFonts w:cs="Arial" w:ascii="Arial" w:hAnsi="Arial"/>
                <w:sz w:val="20"/>
                <w:szCs w:val="20"/>
              </w:rPr>
              <w:t>HMS Labor Fees</w:t>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434 </w:t>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sz w:val="20"/>
                <w:szCs w:val="20"/>
              </w:rPr>
            </w:pPr>
            <w:r>
              <w:rPr>
                <w:rFonts w:cs="Arial" w:ascii="Arial" w:hAnsi="Arial"/>
                <w:sz w:val="20"/>
                <w:szCs w:val="20"/>
              </w:rPr>
              <w:t>Lyondell Discount Prepayment</w:t>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rPr>
                <w:rFonts w:ascii="Arial" w:hAnsi="Arial" w:eastAsia="Arial Unicode MS;Tahoma" w:cs="Arial"/>
                <w:sz w:val="20"/>
                <w:szCs w:val="20"/>
              </w:rPr>
            </w:pPr>
            <w:r>
              <w:rPr>
                <w:rFonts w:eastAsia="Arial" w:cs="Arial" w:ascii="Arial" w:hAnsi="Arial"/>
                <w:sz w:val="20"/>
                <w:szCs w:val="20"/>
              </w:rPr>
              <w:t xml:space="preserve">                    </w:t>
            </w:r>
            <w:r>
              <w:rPr>
                <w:rFonts w:cs="Arial" w:ascii="Arial" w:hAnsi="Arial"/>
                <w:sz w:val="20"/>
                <w:szCs w:val="20"/>
              </w:rPr>
              <w:t xml:space="preserve">409 </w:t>
            </w:r>
          </w:p>
        </w:tc>
      </w:tr>
      <w:tr>
        <w:trPr/>
        <w:tc>
          <w:tcPr>
            <w:tcW w:w="570" w:type="dxa"/>
            <w:tcBorders/>
            <w:vAlign w:val="bottom"/>
          </w:tcPr>
          <w:p>
            <w:pPr>
              <w:pStyle w:val="Normal"/>
              <w:snapToGrid w:val="false"/>
              <w:rPr>
                <w:rFonts w:ascii="Arial" w:hAnsi="Arial" w:eastAsia="Arial Unicode MS;Tahoma" w:cs="Arial"/>
                <w:vanish/>
                <w:sz w:val="20"/>
                <w:szCs w:val="20"/>
              </w:rPr>
            </w:pPr>
            <w:r>
              <w:rPr>
                <w:rFonts w:eastAsia="Arial Unicode MS;Tahoma" w:cs="Arial" w:ascii="Arial" w:hAnsi="Arial"/>
                <w:vanish/>
                <w:sz w:val="20"/>
                <w:szCs w:val="20"/>
              </w:rPr>
            </w:r>
          </w:p>
        </w:tc>
        <w:tc>
          <w:tcPr>
            <w:tcW w:w="330" w:type="dxa"/>
            <w:tcBorders/>
            <w:vAlign w:val="bottom"/>
          </w:tcPr>
          <w:p>
            <w:pPr>
              <w:pStyle w:val="Normal"/>
              <w:snapToGrid w:val="false"/>
              <w:rPr>
                <w:rFonts w:ascii="Arial" w:hAnsi="Arial" w:eastAsia="Arial Unicode MS;Tahoma" w:cs="Arial"/>
                <w:vanish/>
                <w:sz w:val="20"/>
                <w:szCs w:val="20"/>
              </w:rPr>
            </w:pPr>
            <w:r>
              <w:rPr>
                <w:rFonts w:eastAsia="Arial Unicode MS;Tahoma" w:cs="Arial" w:ascii="Arial" w:hAnsi="Arial"/>
                <w:vanish/>
                <w:sz w:val="20"/>
                <w:szCs w:val="20"/>
              </w:rPr>
            </w:r>
          </w:p>
        </w:tc>
        <w:tc>
          <w:tcPr>
            <w:tcW w:w="4718" w:type="dxa"/>
            <w:tcBorders/>
            <w:vAlign w:val="bottom"/>
          </w:tcPr>
          <w:p>
            <w:pPr>
              <w:pStyle w:val="Normal"/>
              <w:rPr>
                <w:rFonts w:ascii="Arial" w:hAnsi="Arial" w:eastAsia="Arial Unicode MS;Tahoma" w:cs="Arial"/>
                <w:vanish/>
                <w:sz w:val="20"/>
                <w:szCs w:val="20"/>
              </w:rPr>
            </w:pPr>
            <w:r>
              <w:rPr>
                <w:rFonts w:cs="Arial" w:ascii="Arial" w:hAnsi="Arial"/>
                <w:vanish/>
                <w:sz w:val="20"/>
                <w:szCs w:val="20"/>
              </w:rPr>
              <w:t>Deferred Bammel Costs</w:t>
            </w:r>
          </w:p>
        </w:tc>
        <w:tc>
          <w:tcPr>
            <w:tcW w:w="128" w:type="dxa"/>
            <w:tcBorders/>
            <w:vAlign w:val="bottom"/>
          </w:tcPr>
          <w:p>
            <w:pPr>
              <w:pStyle w:val="Normal"/>
              <w:snapToGrid w:val="false"/>
              <w:rPr>
                <w:rFonts w:ascii="Arial" w:hAnsi="Arial" w:eastAsia="Arial Unicode MS;Tahoma" w:cs="Arial"/>
                <w:vanish/>
                <w:sz w:val="20"/>
                <w:szCs w:val="20"/>
              </w:rPr>
            </w:pPr>
            <w:r>
              <w:rPr>
                <w:rFonts w:eastAsia="Arial Unicode MS;Tahoma" w:cs="Arial" w:ascii="Arial" w:hAnsi="Arial"/>
                <w:vanish/>
                <w:sz w:val="20"/>
                <w:szCs w:val="20"/>
              </w:rPr>
            </w:r>
          </w:p>
        </w:tc>
        <w:tc>
          <w:tcPr>
            <w:tcW w:w="1890" w:type="dxa"/>
            <w:tcBorders/>
            <w:vAlign w:val="bottom"/>
          </w:tcPr>
          <w:p>
            <w:pPr>
              <w:pStyle w:val="Normal"/>
              <w:rPr>
                <w:rFonts w:ascii="Arial" w:hAnsi="Arial" w:eastAsia="Arial Unicode MS;Tahoma" w:cs="Arial"/>
                <w:vanish/>
                <w:sz w:val="20"/>
                <w:szCs w:val="20"/>
              </w:rPr>
            </w:pPr>
            <w:r>
              <w:rPr>
                <w:rFonts w:eastAsia="Arial" w:cs="Arial" w:ascii="Arial" w:hAnsi="Arial"/>
                <w:vanish/>
                <w:sz w:val="20"/>
                <w:szCs w:val="20"/>
              </w:rPr>
              <w:t xml:space="preserve">                      </w:t>
            </w:r>
            <w:r>
              <w:rPr>
                <w:rFonts w:cs="Arial" w:ascii="Arial" w:hAnsi="Arial"/>
                <w:vanish/>
                <w:sz w:val="20"/>
                <w:szCs w:val="20"/>
              </w:rPr>
              <w:t xml:space="preserve">-   </w:t>
            </w:r>
          </w:p>
        </w:tc>
      </w:tr>
      <w:tr>
        <w:trPr>
          <w:trHeight w:val="255" w:hRule="atLeast"/>
        </w:trPr>
        <w:tc>
          <w:tcPr>
            <w:tcW w:w="570" w:type="dxa"/>
            <w:tcBorders/>
            <w:vAlign w:val="bottom"/>
          </w:tcPr>
          <w:p>
            <w:pPr>
              <w:pStyle w:val="Normal"/>
              <w:snapToGrid w:val="false"/>
              <w:rPr>
                <w:rFonts w:ascii="Arial" w:hAnsi="Arial" w:eastAsia="Arial Unicode MS;Tahoma" w:cs="Arial"/>
                <w:b/>
                <w:bCs/>
                <w:vanish/>
                <w:sz w:val="20"/>
                <w:szCs w:val="20"/>
              </w:rPr>
            </w:pPr>
            <w:r>
              <w:rPr>
                <w:rFonts w:eastAsia="Arial Unicode MS;Tahoma" w:cs="Arial" w:ascii="Arial" w:hAnsi="Arial"/>
                <w:b/>
                <w:bCs/>
                <w:vanish/>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rPr>
                <w:rFonts w:ascii="Arial" w:hAnsi="Arial" w:eastAsia="Arial Unicode MS;Tahoma" w:cs="Arial"/>
                <w:b/>
                <w:bCs/>
                <w:sz w:val="20"/>
                <w:szCs w:val="20"/>
              </w:rPr>
            </w:pPr>
            <w:r>
              <w:rPr>
                <w:rFonts w:eastAsia="Arial" w:cs="Arial" w:ascii="Arial" w:hAnsi="Arial"/>
                <w:b/>
                <w:bCs/>
                <w:sz w:val="20"/>
                <w:szCs w:val="20"/>
              </w:rPr>
              <w:t xml:space="preserve">     </w:t>
            </w:r>
            <w:r>
              <w:rPr>
                <w:rFonts w:cs="Arial" w:ascii="Arial" w:hAnsi="Arial"/>
                <w:b/>
                <w:bCs/>
                <w:sz w:val="20"/>
                <w:szCs w:val="20"/>
              </w:rPr>
              <w:t>Total Other Assets</w:t>
            </w:r>
          </w:p>
        </w:tc>
        <w:tc>
          <w:tcPr>
            <w:tcW w:w="128"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1890" w:type="dxa"/>
            <w:tcBorders>
              <w:top w:val="single" w:sz="4" w:space="0" w:color="000000"/>
              <w:bottom w:val="single" w:sz="4" w:space="0" w:color="000000"/>
            </w:tcBorders>
            <w:vAlign w:val="bottom"/>
          </w:tcPr>
          <w:p>
            <w:pPr>
              <w:pStyle w:val="Normal"/>
              <w:rPr>
                <w:rFonts w:ascii="Arial" w:hAnsi="Arial" w:eastAsia="Arial Unicode MS;Tahoma"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13,753 </w:t>
            </w:r>
          </w:p>
        </w:tc>
      </w:tr>
      <w:tr>
        <w:trPr>
          <w:trHeight w:val="147"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r>
      <w:tr>
        <w:trPr>
          <w:trHeight w:val="270" w:hRule="atLeast"/>
        </w:trPr>
        <w:tc>
          <w:tcPr>
            <w:tcW w:w="5618" w:type="dxa"/>
            <w:gridSpan w:val="3"/>
            <w:tcBorders/>
            <w:vAlign w:val="bottom"/>
          </w:tcPr>
          <w:p>
            <w:pPr>
              <w:pStyle w:val="Normal"/>
              <w:rPr>
                <w:rFonts w:ascii="Arial" w:hAnsi="Arial" w:eastAsia="Arial Unicode MS;Tahoma" w:cs="Arial"/>
                <w:b/>
                <w:bCs/>
                <w:sz w:val="20"/>
                <w:szCs w:val="20"/>
              </w:rPr>
            </w:pPr>
            <w:r>
              <w:rPr>
                <w:rFonts w:cs="Arial" w:ascii="Arial" w:hAnsi="Arial"/>
                <w:b/>
                <w:bCs/>
                <w:sz w:val="20"/>
                <w:szCs w:val="20"/>
              </w:rPr>
              <w:t>Total Assets</w:t>
            </w:r>
          </w:p>
        </w:tc>
        <w:tc>
          <w:tcPr>
            <w:tcW w:w="128"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1890" w:type="dxa"/>
            <w:tcBorders>
              <w:top w:val="single" w:sz="4" w:space="0" w:color="000000"/>
              <w:bottom w:val="double" w:sz="6" w:space="0" w:color="000000"/>
            </w:tcBorders>
            <w:vAlign w:val="bottom"/>
          </w:tcPr>
          <w:p>
            <w:pPr>
              <w:pStyle w:val="Normal"/>
              <w:rPr>
                <w:rFonts w:ascii="Arial" w:hAnsi="Arial" w:eastAsia="Arial Unicode MS;Tahoma"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           708,706 </w:t>
            </w:r>
          </w:p>
        </w:tc>
      </w:tr>
      <w:tr>
        <w:trPr>
          <w:trHeight w:val="72"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r>
      <w:tr>
        <w:trPr>
          <w:trHeight w:val="255" w:hRule="atLeast"/>
        </w:trPr>
        <w:tc>
          <w:tcPr>
            <w:tcW w:w="5618" w:type="dxa"/>
            <w:gridSpan w:val="3"/>
            <w:tcBorders/>
            <w:vAlign w:val="bottom"/>
          </w:tcPr>
          <w:p>
            <w:pPr>
              <w:pStyle w:val="Normal"/>
              <w:rPr>
                <w:rFonts w:ascii="Arial" w:hAnsi="Arial" w:eastAsia="Arial Unicode MS;Tahoma" w:cs="Arial"/>
                <w:b/>
                <w:bCs/>
                <w:sz w:val="20"/>
                <w:szCs w:val="20"/>
              </w:rPr>
            </w:pPr>
            <w:r>
              <w:rPr>
                <w:rFonts w:cs="Arial" w:ascii="Arial" w:hAnsi="Arial"/>
                <w:b/>
                <w:bCs/>
                <w:sz w:val="20"/>
                <w:szCs w:val="20"/>
              </w:rPr>
              <w:t>Liabilities</w:t>
            </w:r>
          </w:p>
        </w:tc>
        <w:tc>
          <w:tcPr>
            <w:tcW w:w="128"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1890" w:type="dxa"/>
            <w:tcBorders/>
            <w:vAlign w:val="bottom"/>
          </w:tcPr>
          <w:p>
            <w:pPr>
              <w:pStyle w:val="Normal"/>
              <w:rPr>
                <w:rFonts w:ascii="Arial" w:hAnsi="Arial" w:eastAsia="Arial Unicode MS;Tahoma"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                   -   </w:t>
            </w:r>
          </w:p>
        </w:tc>
      </w:tr>
      <w:tr>
        <w:trPr>
          <w:trHeight w:val="16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r>
      <w:tr>
        <w:trPr>
          <w:trHeight w:val="255" w:hRule="atLeast"/>
        </w:trPr>
        <w:tc>
          <w:tcPr>
            <w:tcW w:w="5618" w:type="dxa"/>
            <w:gridSpan w:val="3"/>
            <w:tcBorders/>
            <w:vAlign w:val="bottom"/>
          </w:tcPr>
          <w:p>
            <w:pPr>
              <w:pStyle w:val="Normal"/>
              <w:rPr>
                <w:rFonts w:ascii="Arial" w:hAnsi="Arial" w:eastAsia="Arial Unicode MS;Tahoma" w:cs="Arial"/>
                <w:b/>
                <w:bCs/>
                <w:sz w:val="20"/>
                <w:szCs w:val="20"/>
              </w:rPr>
            </w:pPr>
            <w:r>
              <w:rPr>
                <w:rFonts w:cs="Arial" w:ascii="Arial" w:hAnsi="Arial"/>
                <w:b/>
                <w:bCs/>
                <w:sz w:val="20"/>
                <w:szCs w:val="20"/>
              </w:rPr>
              <w:t>Total Stockholder's Equity</w:t>
            </w:r>
          </w:p>
        </w:tc>
        <w:tc>
          <w:tcPr>
            <w:tcW w:w="128"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1890" w:type="dxa"/>
            <w:tcBorders/>
            <w:vAlign w:val="bottom"/>
          </w:tcPr>
          <w:p>
            <w:pPr>
              <w:pStyle w:val="Normal"/>
              <w:rPr>
                <w:rFonts w:ascii="Arial" w:hAnsi="Arial" w:eastAsia="Arial Unicode MS;Tahoma"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           708,706 </w:t>
            </w:r>
          </w:p>
        </w:tc>
      </w:tr>
      <w:tr>
        <w:trPr>
          <w:trHeight w:val="255" w:hRule="atLeast"/>
        </w:trPr>
        <w:tc>
          <w:tcPr>
            <w:tcW w:w="57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330"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471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28"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c>
          <w:tcPr>
            <w:tcW w:w="1890" w:type="dxa"/>
            <w:tcBorders/>
            <w:vAlign w:val="bottom"/>
          </w:tcPr>
          <w:p>
            <w:pPr>
              <w:pStyle w:val="Normal"/>
              <w:snapToGrid w:val="false"/>
              <w:rPr>
                <w:rFonts w:ascii="Arial" w:hAnsi="Arial" w:eastAsia="Arial Unicode MS;Tahoma" w:cs="Arial"/>
                <w:sz w:val="20"/>
                <w:szCs w:val="20"/>
              </w:rPr>
            </w:pPr>
            <w:r>
              <w:rPr>
                <w:rFonts w:eastAsia="Arial Unicode MS;Tahoma" w:cs="Arial" w:ascii="Arial" w:hAnsi="Arial"/>
                <w:sz w:val="20"/>
                <w:szCs w:val="20"/>
              </w:rPr>
            </w:r>
          </w:p>
        </w:tc>
      </w:tr>
      <w:tr>
        <w:trPr>
          <w:trHeight w:val="270" w:hRule="atLeast"/>
        </w:trPr>
        <w:tc>
          <w:tcPr>
            <w:tcW w:w="5618" w:type="dxa"/>
            <w:gridSpan w:val="3"/>
            <w:tcBorders/>
            <w:vAlign w:val="bottom"/>
          </w:tcPr>
          <w:p>
            <w:pPr>
              <w:pStyle w:val="Normal"/>
              <w:rPr>
                <w:rFonts w:ascii="Arial" w:hAnsi="Arial" w:eastAsia="Arial Unicode MS;Tahoma" w:cs="Arial"/>
                <w:b/>
                <w:bCs/>
                <w:sz w:val="20"/>
                <w:szCs w:val="20"/>
              </w:rPr>
            </w:pPr>
            <w:r>
              <w:rPr>
                <w:rFonts w:cs="Arial" w:ascii="Arial" w:hAnsi="Arial"/>
                <w:b/>
                <w:bCs/>
                <w:sz w:val="20"/>
                <w:szCs w:val="20"/>
              </w:rPr>
              <w:t>Total Liabilities and Stockholder's Equity</w:t>
            </w:r>
          </w:p>
        </w:tc>
        <w:tc>
          <w:tcPr>
            <w:tcW w:w="128" w:type="dxa"/>
            <w:tcBorders/>
            <w:vAlign w:val="bottom"/>
          </w:tcPr>
          <w:p>
            <w:pPr>
              <w:pStyle w:val="Normal"/>
              <w:snapToGrid w:val="false"/>
              <w:rPr>
                <w:rFonts w:ascii="Arial" w:hAnsi="Arial" w:eastAsia="Arial Unicode MS;Tahoma" w:cs="Arial"/>
                <w:b/>
                <w:bCs/>
                <w:sz w:val="20"/>
                <w:szCs w:val="20"/>
              </w:rPr>
            </w:pPr>
            <w:r>
              <w:rPr>
                <w:rFonts w:eastAsia="Arial Unicode MS;Tahoma" w:cs="Arial" w:ascii="Arial" w:hAnsi="Arial"/>
                <w:b/>
                <w:bCs/>
                <w:sz w:val="20"/>
                <w:szCs w:val="20"/>
              </w:rPr>
            </w:r>
          </w:p>
        </w:tc>
        <w:tc>
          <w:tcPr>
            <w:tcW w:w="1890" w:type="dxa"/>
            <w:tcBorders>
              <w:top w:val="single" w:sz="4" w:space="0" w:color="000000"/>
              <w:bottom w:val="double" w:sz="6" w:space="0" w:color="000000"/>
            </w:tcBorders>
            <w:vAlign w:val="bottom"/>
          </w:tcPr>
          <w:p>
            <w:pPr>
              <w:pStyle w:val="Normal"/>
              <w:rPr>
                <w:rFonts w:ascii="Arial" w:hAnsi="Arial" w:eastAsia="Arial Unicode MS;Tahoma"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           708,706 </w:t>
            </w:r>
          </w:p>
        </w:tc>
      </w:tr>
    </w:tbl>
    <w:p>
      <w:pPr>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pStyle w:val="Normal"/>
        <w:tabs>
          <w:tab w:val="clear" w:pos="720"/>
          <w:tab w:val="left" w:pos="1080" w:leader="none"/>
        </w:tabs>
        <w:rPr/>
      </w:pPr>
      <w:r>
        <w:rPr/>
      </w:r>
    </w:p>
    <w:p>
      <w:pPr>
        <w:pStyle w:val="Normal"/>
        <w:jc w:val="center"/>
        <w:rPr/>
      </w:pPr>
      <w:r>
        <w:rPr/>
        <w:t>PURCHASE AND SALE AGREEMENT</w:t>
      </w:r>
    </w:p>
    <w:p>
      <w:pPr>
        <w:pStyle w:val="Normal"/>
        <w:jc w:val="center"/>
        <w:rPr/>
      </w:pPr>
      <w:r>
        <w:rPr/>
      </w:r>
    </w:p>
    <w:p>
      <w:pPr>
        <w:pStyle w:val="Normal"/>
        <w:jc w:val="center"/>
        <w:rPr/>
      </w:pPr>
      <w:r>
        <w:rPr/>
        <w:t>Schedule 4.7(b)</w:t>
      </w:r>
    </w:p>
    <w:p>
      <w:pPr>
        <w:pStyle w:val="Normal"/>
        <w:jc w:val="center"/>
        <w:rPr/>
      </w:pPr>
      <w:r>
        <w:rPr/>
        <w:t>Exceptions to Balance Sheet</w:t>
      </w:r>
    </w:p>
    <w:p>
      <w:pPr>
        <w:pStyle w:val="Normal"/>
        <w:jc w:val="center"/>
        <w:rPr/>
      </w:pPr>
      <w:r>
        <w:rPr/>
      </w:r>
    </w:p>
    <w:p>
      <w:pPr>
        <w:pStyle w:val="Normal"/>
        <w:jc w:val="center"/>
        <w:rPr/>
      </w:pPr>
      <w:r>
        <w:rPr/>
      </w:r>
    </w:p>
    <w:p>
      <w:pPr>
        <w:pStyle w:val="Normal"/>
        <w:numPr>
          <w:ilvl w:val="0"/>
          <w:numId w:val="13"/>
        </w:numPr>
        <w:rPr/>
      </w:pPr>
      <w:r>
        <w:rPr/>
        <w:t>The Balance Sheet assumes that (i) the Excluded Assets and Retained Liabilities have been transferred out of HPL (or, with respect to certain subsidiaries associated with the unwind of the “MidTexas”, “Project Rock” and “Looper” monetizations, dissolved), (ii) that the “MidTexas”, “Project Rock” and “Looper” monetizations have been unwound; and (iii) the portion of the “Bammel Gas” monetization applicable to working gas has been unwound.</w:t>
      </w:r>
    </w:p>
    <w:p>
      <w:pPr>
        <w:pStyle w:val="Normal"/>
        <w:ind w:start="360" w:end="0"/>
        <w:rPr/>
      </w:pPr>
      <w:r>
        <w:rPr/>
      </w:r>
    </w:p>
    <w:p>
      <w:pPr>
        <w:pStyle w:val="Normal"/>
        <w:tabs>
          <w:tab w:val="clear" w:pos="720"/>
          <w:tab w:val="left" w:pos="1080" w:leader="none"/>
        </w:tabs>
        <w:ind w:hanging="720" w:start="1080" w:end="0"/>
        <w:rPr/>
      </w:pPr>
      <w:r>
        <w:rPr/>
        <w:t>2.</w:t>
        <w:tab/>
        <w:t>Working Gas and Linepack Inventory are reflected at market value (based on          Houston Ship Channel prices as of September 13, 2000) rather than at cost.</w:t>
      </w:r>
    </w:p>
    <w:p>
      <w:pPr>
        <w:pStyle w:val="Normal"/>
        <w:tabs>
          <w:tab w:val="clear" w:pos="720"/>
          <w:tab w:val="left" w:pos="1080" w:leader="none"/>
        </w:tabs>
        <w:ind w:hanging="720" w:start="1080" w:end="0"/>
        <w:rPr/>
      </w:pPr>
      <w:r>
        <w:rPr/>
      </w:r>
    </w:p>
    <w:p>
      <w:pPr>
        <w:pStyle w:val="Normal"/>
        <w:tabs>
          <w:tab w:val="clear" w:pos="720"/>
          <w:tab w:val="left" w:pos="1080" w:leader="none"/>
        </w:tabs>
        <w:ind w:hanging="720" w:start="1080" w:end="0"/>
        <w:rPr/>
      </w:pPr>
      <w:r>
        <w:rPr/>
        <w:t>3.</w:t>
        <w:tab/>
        <w:t>The Balance Sheet does not include any reserves (whether or not required by GAAP) for potential liabilities resulting from pending or threatened litigation, environmental, health or safety matters or any accrual for any Taxes.</w:t>
      </w:r>
    </w:p>
    <w:p>
      <w:pPr>
        <w:pStyle w:val="Normal"/>
        <w:tabs>
          <w:tab w:val="clear" w:pos="720"/>
          <w:tab w:val="left" w:pos="1080" w:leader="none"/>
        </w:tabs>
        <w:ind w:hanging="720" w:start="1080" w:end="0"/>
        <w:rPr/>
      </w:pPr>
      <w:r>
        <w:rPr/>
      </w:r>
    </w:p>
    <w:p>
      <w:pPr>
        <w:pStyle w:val="Normal"/>
        <w:tabs>
          <w:tab w:val="clear" w:pos="720"/>
          <w:tab w:val="left" w:pos="1080" w:leader="none"/>
        </w:tabs>
        <w:ind w:hanging="720" w:start="1080" w:end="0"/>
        <w:rPr/>
      </w:pPr>
      <w:r>
        <w:rPr/>
        <w:t>4.</w:t>
        <w:tab/>
        <w:t>The accrued incentive payment to Hanover Measurement Services Company L.P. for the year 2000 is not reflected on the Balance Sheet.  As of July 31, 2000, the accrued amount was $1,269,077.  The incentive payment for 2000 is due and payable in March 2001 and will be a Retained Liability.  The obligation to pay the accrued incentive payment for the year 2001 will not be a Retained Liability.</w:t>
      </w:r>
    </w:p>
    <w:p>
      <w:pPr>
        <w:pStyle w:val="Normal"/>
        <w:tabs>
          <w:tab w:val="clear" w:pos="720"/>
          <w:tab w:val="left" w:pos="1080" w:leader="none"/>
        </w:tabs>
        <w:ind w:hanging="720" w:start="1080" w:end="0"/>
        <w:rPr/>
      </w:pPr>
      <w:r>
        <w:rPr/>
      </w:r>
    </w:p>
    <w:p>
      <w:pPr>
        <w:pStyle w:val="Normal"/>
        <w:tabs>
          <w:tab w:val="clear" w:pos="720"/>
          <w:tab w:val="left" w:pos="1080" w:leader="none"/>
        </w:tabs>
        <w:ind w:hanging="720" w:start="1080" w:end="0"/>
        <w:rPr/>
      </w:pPr>
      <w:r>
        <w:rPr/>
        <w:t>5.</w:t>
        <w:tab/>
        <w:t>Certain customers have made deposits with HPL as security for future defaults; these deposits are not reflected on the Balance Sheet.  The responsibility for refunding such deposits will be retained by HPL post-Closing.  As of July 31, the aggregate amount of such deposits was $42,947.  As of December 18, the aggregate amount was $61,345.</w:t>
      </w:r>
    </w:p>
    <w:p>
      <w:pPr>
        <w:pStyle w:val="Normal"/>
        <w:tabs>
          <w:tab w:val="clear" w:pos="720"/>
          <w:tab w:val="left" w:pos="1080" w:leader="none"/>
        </w:tabs>
        <w:ind w:hanging="720" w:start="1080" w:end="0"/>
        <w:rPr/>
      </w:pPr>
      <w:r>
        <w:rPr/>
      </w:r>
    </w:p>
    <w:p>
      <w:pPr>
        <w:pStyle w:val="Normal"/>
        <w:tabs>
          <w:tab w:val="clear" w:pos="720"/>
          <w:tab w:val="left" w:pos="1080" w:leader="none"/>
        </w:tabs>
        <w:ind w:hanging="720" w:start="1080" w:end="0"/>
        <w:rPr/>
      </w:pPr>
      <w:r>
        <w:rPr/>
        <w:t>6.</w:t>
        <w:tab/>
        <w:t xml:space="preserve">Certain right of way rentals to the Port of Houston are unpaid as of this time and are not reflected on the Balance Sheet; HPL, along with several other pipeline companies, have filed suit against the Port seeking reimbursement of costs incurred as a result of improvements made to the Houston Ship Channel [See Schedule 4.11] and until the litigation is complete or settled the Port will not address the renewals of expired permits or the costs associated therewith; the estimated amount that will need to be paid is approximately $50,000, based upon prior amounts charged.  </w:t>
      </w:r>
    </w:p>
    <w:p>
      <w:pPr>
        <w:pStyle w:val="Normal"/>
        <w:tabs>
          <w:tab w:val="clear" w:pos="720"/>
          <w:tab w:val="left" w:pos="1080" w:leader="none"/>
        </w:tabs>
        <w:ind w:hanging="720" w:start="1080" w:end="0"/>
        <w:rPr/>
      </w:pPr>
      <w:r>
        <w:rPr/>
      </w:r>
    </w:p>
    <w:p>
      <w:pPr>
        <w:pStyle w:val="Normal"/>
        <w:tabs>
          <w:tab w:val="clear" w:pos="720"/>
          <w:tab w:val="left" w:pos="1080" w:leader="none"/>
        </w:tabs>
        <w:ind w:hanging="720" w:start="1080" w:end="0"/>
        <w:rPr/>
      </w:pPr>
      <w:r>
        <w:rPr/>
        <w:t>7.</w:t>
        <w:tab/>
        <w:t>The Balance Sheet does not reflect two Notes Payable that will not be Retained Liabilities.  These Notes represent a portion of the purchase price on two properties acquired by HPL.  The amount of the Notes and their respective payment terms are as follows:</w:t>
      </w:r>
    </w:p>
    <w:p>
      <w:pPr>
        <w:pStyle w:val="Normal"/>
        <w:tabs>
          <w:tab w:val="clear" w:pos="720"/>
          <w:tab w:val="left" w:pos="1080" w:leader="none"/>
        </w:tabs>
        <w:ind w:hanging="720" w:start="1080" w:end="0"/>
        <w:rPr/>
      </w:pPr>
      <w:r>
        <w:rPr/>
      </w:r>
    </w:p>
    <w:p>
      <w:pPr>
        <w:pStyle w:val="Normal"/>
        <w:tabs>
          <w:tab w:val="clear" w:pos="720"/>
          <w:tab w:val="left" w:pos="1080" w:leader="none"/>
        </w:tabs>
        <w:ind w:hanging="2520" w:start="2880" w:end="0"/>
        <w:rPr/>
      </w:pPr>
      <w:r>
        <w:rPr/>
        <w:tab/>
        <w:t>Alvin Note:</w:t>
        <w:tab/>
        <w:t>$73,790   10 year note at 10% interest.  Last payment due May 2001</w:t>
      </w:r>
    </w:p>
    <w:p>
      <w:pPr>
        <w:pStyle w:val="Normal"/>
        <w:tabs>
          <w:tab w:val="clear" w:pos="720"/>
          <w:tab w:val="left" w:pos="1080" w:leader="none"/>
        </w:tabs>
        <w:ind w:hanging="720" w:start="1080" w:end="0"/>
        <w:rPr/>
      </w:pPr>
      <w:r>
        <w:rPr/>
      </w:r>
    </w:p>
    <w:p>
      <w:pPr>
        <w:pStyle w:val="Normal"/>
        <w:tabs>
          <w:tab w:val="clear" w:pos="720"/>
          <w:tab w:val="left" w:pos="1080" w:leader="none"/>
        </w:tabs>
        <w:ind w:hanging="2520" w:start="2880" w:end="0"/>
        <w:rPr/>
      </w:pPr>
      <w:r>
        <w:rPr/>
        <w:tab/>
        <w:t>Tivoli Note:</w:t>
        <w:tab/>
        <w:t>$80,000   4 year note at 5% interest.  Last payment due August 2003</w:t>
      </w:r>
    </w:p>
    <w:p>
      <w:pPr>
        <w:pStyle w:val="Normal"/>
        <w:tabs>
          <w:tab w:val="clear" w:pos="720"/>
          <w:tab w:val="left" w:pos="1080" w:leader="none"/>
        </w:tabs>
        <w:ind w:hanging="720" w:start="1080" w:end="0"/>
        <w:rPr/>
      </w:pPr>
      <w:r>
        <w:rPr/>
      </w:r>
    </w:p>
    <w:p>
      <w:pPr>
        <w:pStyle w:val="Normal"/>
        <w:autoSpaceDE w:val="false"/>
        <w:ind w:hanging="720" w:start="1080" w:end="0"/>
        <w:rPr/>
      </w:pPr>
      <w:r>
        <w:rPr/>
        <w:t>8.</w:t>
        <w:tab/>
        <w:t>The Net PP&amp;E account balance shown on the Balance Sheet does not include the book value of the Tivoli Property of $112,387.28 which was acquired in August, 2000.</w:t>
      </w:r>
    </w:p>
    <w:p>
      <w:pPr>
        <w:pStyle w:val="Normal"/>
        <w:tabs>
          <w:tab w:val="clear" w:pos="720"/>
          <w:tab w:val="left" w:pos="1080" w:leader="none"/>
        </w:tabs>
        <w:ind w:hanging="720" w:start="1080" w:end="0"/>
        <w:rPr/>
      </w:pPr>
      <w:r>
        <w:rPr/>
      </w:r>
    </w:p>
    <w:p>
      <w:pPr>
        <w:pStyle w:val="Normal"/>
        <w:tabs>
          <w:tab w:val="clear" w:pos="720"/>
          <w:tab w:val="left" w:pos="1080" w:leader="none"/>
        </w:tabs>
        <w:ind w:hanging="720" w:start="1080" w:end="0"/>
        <w:rPr/>
      </w:pPr>
      <w:r>
        <w:rPr/>
        <w:t>9.</w:t>
        <w:tab/>
        <w:t>The Net PP&amp;E account balance shown on the Balance Sheet includes certain Excluded Assets as detailed below.</w:t>
      </w:r>
    </w:p>
    <w:p>
      <w:pPr>
        <w:pStyle w:val="Normal"/>
        <w:tabs>
          <w:tab w:val="clear" w:pos="720"/>
          <w:tab w:val="left" w:pos="1080" w:leader="none"/>
        </w:tabs>
        <w:ind w:hanging="720" w:start="1080" w:end="0"/>
        <w:rPr/>
      </w:pPr>
      <w:r>
        <w:rPr/>
      </w:r>
    </w:p>
    <w:tbl>
      <w:tblPr>
        <w:tblW w:w="7382" w:type="dxa"/>
        <w:jc w:val="start"/>
        <w:tblInd w:w="1092" w:type="dxa"/>
        <w:tblLayout w:type="fixed"/>
        <w:tblCellMar>
          <w:top w:w="12" w:type="dxa"/>
          <w:start w:w="12" w:type="dxa"/>
          <w:bottom w:w="0" w:type="dxa"/>
          <w:end w:w="12" w:type="dxa"/>
        </w:tblCellMar>
      </w:tblPr>
      <w:tblGrid>
        <w:gridCol w:w="7382"/>
      </w:tblGrid>
      <w:tr>
        <w:trPr>
          <w:trHeight w:val="255" w:hRule="atLeast"/>
        </w:trPr>
        <w:tc>
          <w:tcPr>
            <w:tcW w:w="7382" w:type="dxa"/>
            <w:tcBorders/>
            <w:vAlign w:val="bottom"/>
          </w:tcPr>
          <w:p>
            <w:pPr>
              <w:pStyle w:val="Normal"/>
              <w:tabs>
                <w:tab w:val="clear" w:pos="720"/>
                <w:tab w:val="left" w:pos="5028" w:leader="none"/>
                <w:tab w:val="left" w:pos="5208" w:leader="none"/>
                <w:tab w:val="left" w:pos="6038" w:leader="none"/>
                <w:tab w:val="left" w:pos="6095" w:leader="none"/>
              </w:tabs>
              <w:ind w:start="15" w:end="0"/>
              <w:rPr/>
            </w:pPr>
            <w:r>
              <w:rPr>
                <w:rFonts w:eastAsia="Arial Unicode MS;Tahoma" w:cs="Arial" w:ascii="Arial" w:hAnsi="Arial"/>
                <w:b/>
                <w:bCs/>
              </w:rPr>
              <w:tab/>
              <w:tab/>
            </w:r>
            <w:r>
              <w:rPr>
                <w:rFonts w:cs="Arial" w:ascii="Arial" w:hAnsi="Arial"/>
                <w:b/>
                <w:bCs/>
              </w:rPr>
              <w:t>NBV as of</w:t>
            </w:r>
            <w:r>
              <w:rPr>
                <w:rFonts w:eastAsia="Arial Unicode MS;Tahoma" w:cs="Arial" w:ascii="Arial" w:hAnsi="Arial"/>
                <w:b/>
                <w:bCs/>
              </w:rPr>
              <w:tab/>
            </w:r>
          </w:p>
          <w:p>
            <w:pPr>
              <w:pStyle w:val="Normal"/>
              <w:tabs>
                <w:tab w:val="clear" w:pos="720"/>
                <w:tab w:val="left" w:pos="5028" w:leader="none"/>
                <w:tab w:val="left" w:pos="5208" w:leader="none"/>
                <w:tab w:val="left" w:pos="6038" w:leader="none"/>
                <w:tab w:val="left" w:pos="6095" w:leader="none"/>
              </w:tabs>
              <w:ind w:start="15" w:end="0"/>
              <w:rPr/>
            </w:pPr>
            <w:r>
              <w:rPr>
                <w:rFonts w:cs="Arial" w:ascii="Arial" w:hAnsi="Arial"/>
                <w:b/>
                <w:bCs/>
                <w:sz w:val="20"/>
                <w:szCs w:val="20"/>
              </w:rPr>
              <w:t>Site</w:t>
            </w:r>
            <w:r>
              <w:rPr>
                <w:rFonts w:eastAsia="Arial Unicode MS;Tahoma" w:cs="Arial" w:ascii="Arial" w:hAnsi="Arial"/>
                <w:b/>
                <w:bCs/>
                <w:sz w:val="20"/>
                <w:szCs w:val="20"/>
              </w:rPr>
              <w:tab/>
              <w:tab/>
            </w:r>
            <w:r>
              <w:rPr>
                <w:rFonts w:cs="Arial" w:ascii="Arial" w:hAnsi="Arial"/>
                <w:b/>
                <w:bCs/>
                <w:sz w:val="20"/>
                <w:szCs w:val="20"/>
              </w:rPr>
              <w:t>3/31/2001</w:t>
            </w:r>
            <w:r>
              <w:rPr>
                <w:rFonts w:eastAsia="Arial Unicode MS;Tahoma" w:cs="Arial" w:ascii="Arial" w:hAnsi="Arial"/>
                <w:b/>
                <w:bCs/>
                <w:sz w:val="20"/>
                <w:szCs w:val="20"/>
              </w:rPr>
              <w:tab/>
            </w:r>
          </w:p>
          <w:p>
            <w:pPr>
              <w:pStyle w:val="Normal"/>
              <w:tabs>
                <w:tab w:val="clear" w:pos="720"/>
                <w:tab w:val="left" w:pos="5028" w:leader="none"/>
                <w:tab w:val="left" w:pos="5208" w:leader="none"/>
                <w:tab w:val="left" w:pos="6038" w:leader="none"/>
                <w:tab w:val="left" w:pos="6095" w:leader="none"/>
              </w:tabs>
              <w:ind w:start="15" w:end="0"/>
              <w:rPr/>
            </w:pPr>
            <w:r>
              <w:rPr>
                <w:rFonts w:cs="Arial" w:ascii="Arial" w:hAnsi="Arial"/>
                <w:sz w:val="20"/>
                <w:szCs w:val="20"/>
              </w:rPr>
              <w:t>Tuleta Gas Plant</w:t>
            </w:r>
            <w:r>
              <w:rPr>
                <w:rFonts w:eastAsia="Arial Unicode MS;Tahoma" w:cs="Arial" w:ascii="Arial" w:hAnsi="Arial"/>
                <w:sz w:val="20"/>
                <w:szCs w:val="20"/>
              </w:rPr>
              <w:tab/>
              <w:tab/>
            </w:r>
            <w:r>
              <w:rPr>
                <w:rFonts w:cs="Arial" w:ascii="Arial" w:hAnsi="Arial"/>
                <w:sz w:val="20"/>
                <w:szCs w:val="20"/>
              </w:rPr>
              <w:t xml:space="preserve">  137,103.00 </w:t>
            </w:r>
            <w:r>
              <w:rPr>
                <w:rFonts w:eastAsia="Arial Unicode MS;Tahoma" w:cs="Arial" w:ascii="Arial" w:hAnsi="Arial"/>
                <w:sz w:val="20"/>
                <w:szCs w:val="20"/>
              </w:rPr>
              <w:tab/>
            </w:r>
          </w:p>
          <w:p>
            <w:pPr>
              <w:pStyle w:val="Normal"/>
              <w:tabs>
                <w:tab w:val="clear" w:pos="720"/>
                <w:tab w:val="left" w:pos="5028" w:leader="none"/>
                <w:tab w:val="left" w:pos="5208" w:leader="none"/>
                <w:tab w:val="left" w:pos="6038" w:leader="none"/>
                <w:tab w:val="left" w:pos="6095" w:leader="none"/>
              </w:tabs>
              <w:ind w:start="15" w:end="0"/>
              <w:rPr/>
            </w:pPr>
            <w:r>
              <w:rPr>
                <w:rFonts w:cs="Arial" w:ascii="Arial" w:hAnsi="Arial"/>
                <w:sz w:val="20"/>
                <w:szCs w:val="20"/>
              </w:rPr>
              <w:t>Magnolia City Gas Plant</w:t>
            </w:r>
            <w:r>
              <w:rPr>
                <w:rFonts w:eastAsia="Arial Unicode MS;Tahoma" w:cs="Arial" w:ascii="Arial" w:hAnsi="Arial"/>
                <w:sz w:val="20"/>
                <w:szCs w:val="20"/>
              </w:rPr>
              <w:tab/>
              <w:tab/>
            </w:r>
            <w:r>
              <w:rPr>
                <w:rFonts w:cs="Arial" w:ascii="Arial" w:hAnsi="Arial"/>
                <w:sz w:val="20"/>
                <w:szCs w:val="20"/>
              </w:rPr>
              <w:t xml:space="preserve">  248,175.77 </w:t>
            </w:r>
            <w:r>
              <w:rPr>
                <w:rFonts w:eastAsia="Arial Unicode MS;Tahoma" w:cs="Arial" w:ascii="Arial" w:hAnsi="Arial"/>
                <w:sz w:val="20"/>
                <w:szCs w:val="20"/>
              </w:rPr>
              <w:tab/>
            </w:r>
          </w:p>
          <w:p>
            <w:pPr>
              <w:pStyle w:val="Normal"/>
              <w:tabs>
                <w:tab w:val="clear" w:pos="720"/>
                <w:tab w:val="left" w:pos="5028" w:leader="none"/>
                <w:tab w:val="left" w:pos="5208" w:leader="none"/>
                <w:tab w:val="left" w:pos="6038" w:leader="none"/>
                <w:tab w:val="left" w:pos="6095" w:leader="none"/>
              </w:tabs>
              <w:ind w:start="15" w:end="0"/>
              <w:rPr/>
            </w:pPr>
            <w:r>
              <w:rPr>
                <w:rFonts w:cs="Arial" w:ascii="Arial" w:hAnsi="Arial"/>
                <w:sz w:val="20"/>
                <w:szCs w:val="20"/>
              </w:rPr>
              <w:t>Robstown Gas Plant</w:t>
            </w:r>
            <w:r>
              <w:rPr>
                <w:rFonts w:eastAsia="Arial Unicode MS;Tahoma" w:cs="Arial" w:ascii="Arial" w:hAnsi="Arial"/>
                <w:sz w:val="20"/>
                <w:szCs w:val="20"/>
              </w:rPr>
              <w:tab/>
              <w:tab/>
            </w:r>
            <w:r>
              <w:rPr>
                <w:rFonts w:cs="Arial" w:ascii="Arial" w:hAnsi="Arial"/>
                <w:sz w:val="20"/>
                <w:szCs w:val="20"/>
              </w:rPr>
              <w:t xml:space="preserve">   41,758.37 </w:t>
            </w:r>
            <w:r>
              <w:rPr>
                <w:rFonts w:eastAsia="Arial Unicode MS;Tahoma" w:cs="Arial" w:ascii="Arial" w:hAnsi="Arial"/>
                <w:sz w:val="20"/>
                <w:szCs w:val="20"/>
              </w:rPr>
              <w:tab/>
            </w:r>
          </w:p>
          <w:p>
            <w:pPr>
              <w:pStyle w:val="Normal"/>
              <w:tabs>
                <w:tab w:val="clear" w:pos="720"/>
                <w:tab w:val="left" w:pos="5028" w:leader="none"/>
                <w:tab w:val="left" w:pos="5208" w:leader="none"/>
                <w:tab w:val="left" w:pos="6038" w:leader="none"/>
                <w:tab w:val="left" w:pos="6095" w:leader="none"/>
              </w:tabs>
              <w:ind w:start="15" w:end="0"/>
              <w:rPr/>
            </w:pPr>
            <w:r>
              <w:rPr>
                <w:rFonts w:cs="Arial" w:ascii="Arial" w:hAnsi="Arial"/>
                <w:sz w:val="20"/>
                <w:szCs w:val="20"/>
              </w:rPr>
              <w:t>Daggs #2 Dehydrator Site</w:t>
            </w:r>
            <w:r>
              <w:rPr>
                <w:rFonts w:eastAsia="Arial Unicode MS;Tahoma" w:cs="Arial" w:ascii="Arial" w:hAnsi="Arial"/>
                <w:sz w:val="20"/>
                <w:szCs w:val="20"/>
              </w:rPr>
              <w:tab/>
              <w:tab/>
            </w:r>
            <w:r>
              <w:rPr>
                <w:rFonts w:cs="Arial" w:ascii="Arial" w:hAnsi="Arial"/>
                <w:sz w:val="20"/>
                <w:szCs w:val="20"/>
              </w:rPr>
              <w:t xml:space="preserve">   28,682.75 </w:t>
            </w:r>
            <w:r>
              <w:rPr>
                <w:rFonts w:eastAsia="Arial Unicode MS;Tahoma" w:cs="Arial" w:ascii="Arial" w:hAnsi="Arial"/>
                <w:sz w:val="20"/>
                <w:szCs w:val="20"/>
              </w:rPr>
              <w:tab/>
            </w:r>
          </w:p>
          <w:p>
            <w:pPr>
              <w:pStyle w:val="Normal"/>
              <w:tabs>
                <w:tab w:val="clear" w:pos="720"/>
                <w:tab w:val="left" w:pos="5028" w:leader="none"/>
                <w:tab w:val="left" w:pos="5208" w:leader="none"/>
                <w:tab w:val="left" w:pos="6038" w:leader="none"/>
                <w:tab w:val="left" w:pos="6095" w:leader="none"/>
              </w:tabs>
              <w:ind w:start="15" w:end="0"/>
              <w:rPr/>
            </w:pPr>
            <w:r>
              <w:rPr>
                <w:rFonts w:cs="Arial" w:ascii="Arial" w:hAnsi="Arial"/>
                <w:sz w:val="20"/>
                <w:szCs w:val="20"/>
              </w:rPr>
              <w:t>Smith Production (formery Amoco) Dehy Site</w:t>
            </w:r>
            <w:r>
              <w:rPr>
                <w:rFonts w:eastAsia="Arial Unicode MS;Tahoma" w:cs="Arial" w:ascii="Arial" w:hAnsi="Arial"/>
                <w:sz w:val="20"/>
                <w:szCs w:val="20"/>
              </w:rPr>
              <w:tab/>
              <w:tab/>
            </w:r>
            <w:r>
              <w:rPr>
                <w:rFonts w:cs="Arial" w:ascii="Arial" w:hAnsi="Arial"/>
                <w:sz w:val="20"/>
                <w:szCs w:val="20"/>
              </w:rPr>
              <w:t xml:space="preserve">   24,408.00 </w:t>
            </w:r>
            <w:r>
              <w:rPr>
                <w:rFonts w:eastAsia="Arial Unicode MS;Tahoma" w:cs="Arial" w:ascii="Arial" w:hAnsi="Arial"/>
                <w:sz w:val="20"/>
                <w:szCs w:val="20"/>
              </w:rPr>
              <w:tab/>
            </w:r>
          </w:p>
          <w:p>
            <w:pPr>
              <w:pStyle w:val="Normal"/>
              <w:tabs>
                <w:tab w:val="clear" w:pos="720"/>
                <w:tab w:val="left" w:pos="5028" w:leader="none"/>
                <w:tab w:val="left" w:pos="5208" w:leader="none"/>
                <w:tab w:val="left" w:pos="6038" w:leader="none"/>
                <w:tab w:val="left" w:pos="6095" w:leader="none"/>
              </w:tabs>
              <w:ind w:start="15" w:end="0"/>
              <w:rPr/>
            </w:pPr>
            <w:r>
              <w:rPr>
                <w:rFonts w:cs="Arial" w:ascii="Arial" w:hAnsi="Arial"/>
                <w:sz w:val="20"/>
                <w:szCs w:val="20"/>
              </w:rPr>
              <w:t>Conoco "Headquarters Field" Dehydrator Site</w:t>
            </w:r>
            <w:r>
              <w:rPr>
                <w:rFonts w:eastAsia="Arial Unicode MS;Tahoma" w:cs="Arial" w:ascii="Arial" w:hAnsi="Arial"/>
                <w:sz w:val="20"/>
                <w:szCs w:val="20"/>
              </w:rPr>
              <w:tab/>
              <w:tab/>
            </w:r>
            <w:r>
              <w:rPr>
                <w:rFonts w:cs="Arial" w:ascii="Arial" w:hAnsi="Arial"/>
                <w:sz w:val="20"/>
                <w:szCs w:val="20"/>
              </w:rPr>
              <w:t xml:space="preserve">               -   </w:t>
            </w:r>
            <w:r>
              <w:rPr>
                <w:rFonts w:eastAsia="Arial Unicode MS;Tahoma" w:cs="Arial" w:ascii="Arial" w:hAnsi="Arial"/>
                <w:sz w:val="20"/>
                <w:szCs w:val="20"/>
              </w:rPr>
              <w:tab/>
            </w:r>
          </w:p>
          <w:p>
            <w:pPr>
              <w:pStyle w:val="Normal"/>
              <w:tabs>
                <w:tab w:val="clear" w:pos="720"/>
                <w:tab w:val="left" w:pos="5028" w:leader="none"/>
                <w:tab w:val="left" w:pos="5208" w:leader="none"/>
                <w:tab w:val="left" w:pos="6038" w:leader="none"/>
                <w:tab w:val="left" w:pos="6095" w:leader="none"/>
              </w:tabs>
              <w:ind w:start="15" w:end="0"/>
              <w:rPr/>
            </w:pPr>
            <w:r>
              <w:rPr>
                <w:rFonts w:cs="Arial" w:ascii="Arial" w:hAnsi="Arial"/>
                <w:sz w:val="20"/>
                <w:szCs w:val="20"/>
              </w:rPr>
              <w:t>Total</w:t>
            </w:r>
            <w:r>
              <w:rPr>
                <w:rFonts w:eastAsia="Arial Unicode MS;Tahoma" w:cs="Arial" w:ascii="Arial" w:hAnsi="Arial"/>
                <w:sz w:val="20"/>
                <w:szCs w:val="20"/>
              </w:rPr>
              <w:tab/>
              <w:tab/>
            </w:r>
            <w:r>
              <w:rPr>
                <w:rFonts w:cs="Arial" w:ascii="Arial" w:hAnsi="Arial"/>
                <w:sz w:val="20"/>
                <w:szCs w:val="20"/>
              </w:rPr>
              <w:t xml:space="preserve">  480,127.89 </w:t>
            </w:r>
            <w:r>
              <w:rPr>
                <w:rFonts w:eastAsia="Arial Unicode MS;Tahoma" w:cs="Arial" w:ascii="Arial" w:hAnsi="Arial"/>
                <w:sz w:val="20"/>
                <w:szCs w:val="20"/>
              </w:rPr>
              <w:tab/>
            </w:r>
          </w:p>
          <w:p>
            <w:pPr>
              <w:pStyle w:val="Normal"/>
              <w:tabs>
                <w:tab w:val="clear" w:pos="720"/>
                <w:tab w:val="left" w:pos="4652" w:leader="none"/>
                <w:tab w:val="left" w:pos="4709" w:leader="none"/>
                <w:tab w:val="left" w:pos="6038" w:leader="none"/>
                <w:tab w:val="left" w:pos="6095" w:leader="none"/>
              </w:tabs>
              <w:ind w:start="15" w:end="0"/>
              <w:rPr>
                <w:rFonts w:ascii="Arial" w:hAnsi="Arial" w:eastAsia="Arial Unicode MS;Tahoma" w:cs="Arial"/>
                <w:sz w:val="20"/>
                <w:szCs w:val="20"/>
              </w:rPr>
            </w:pPr>
            <w:r>
              <w:rPr>
                <w:rFonts w:eastAsia="Arial Unicode MS;Tahoma" w:cs="Arial" w:ascii="Arial" w:hAnsi="Arial"/>
                <w:sz w:val="20"/>
                <w:szCs w:val="20"/>
              </w:rPr>
              <w:tab/>
              <w:tab/>
              <w:tab/>
            </w:r>
          </w:p>
          <w:p>
            <w:pPr>
              <w:pStyle w:val="Normal"/>
              <w:rPr>
                <w:rFonts w:ascii="Arial" w:hAnsi="Arial" w:eastAsia="Arial Unicode MS;Tahoma" w:cs="Arial"/>
                <w:sz w:val="20"/>
                <w:szCs w:val="20"/>
              </w:rPr>
            </w:pPr>
            <w:r>
              <w:rPr>
                <w:rFonts w:eastAsia="Arial Unicode MS;Tahoma" w:cs="Arial" w:ascii="Arial" w:hAnsi="Arial"/>
                <w:sz w:val="20"/>
                <w:szCs w:val="20"/>
              </w:rPr>
            </w:r>
          </w:p>
        </w:tc>
      </w:tr>
    </w:tbl>
    <w:p>
      <w:pPr>
        <w:pStyle w:val="Normal"/>
        <w:tabs>
          <w:tab w:val="clear" w:pos="720"/>
          <w:tab w:val="left" w:pos="1080" w:leader="none"/>
        </w:tabs>
        <w:rPr>
          <w:u w:val="double"/>
        </w:rPr>
      </w:pPr>
      <w:r>
        <w:rPr>
          <w:u w:val="double"/>
        </w:rPr>
      </w:r>
    </w:p>
    <w:p>
      <w:pPr>
        <w:pStyle w:val="Normal"/>
        <w:numPr>
          <w:ilvl w:val="0"/>
          <w:numId w:val="15"/>
        </w:numPr>
        <w:rPr/>
      </w:pPr>
      <w:r>
        <w:rPr/>
        <w:t>The Net PP&amp;E account balance includes $76,401,000 representing the Company’s 50% net investment in MidTexas Pipeline Company.</w:t>
      </w:r>
    </w:p>
    <w:p>
      <w:pPr>
        <w:pStyle w:val="Normal"/>
        <w:rPr/>
      </w:pPr>
      <w:r>
        <w:rPr/>
      </w:r>
    </w:p>
    <w:p>
      <w:pPr>
        <w:pStyle w:val="Normal"/>
        <w:numPr>
          <w:ilvl w:val="0"/>
          <w:numId w:val="15"/>
        </w:numPr>
        <w:rPr/>
      </w:pPr>
      <w:r>
        <w:rPr/>
        <w:t>The Deferred Unaccounted For Gas-Current Month of $34,370 and the Deferred Unaccounted For Gas-Prior Months of $4,042 reflected on the Balance Sheet will become receivables and payables or be written off prior to Closing</w:t>
      </w:r>
    </w:p>
    <w:p>
      <w:pPr>
        <w:pStyle w:val="Normal"/>
        <w:tabs>
          <w:tab w:val="clear" w:pos="720"/>
          <w:tab w:val="left" w:pos="1080" w:leader="none"/>
        </w:tabs>
        <w:ind w:hanging="720" w:start="1080" w:end="0"/>
        <w:rPr/>
      </w:pPr>
      <w:r>
        <w:rPr/>
      </w:r>
    </w:p>
    <w:p>
      <w:pPr>
        <w:pStyle w:val="Normal"/>
        <w:jc w:val="center"/>
        <w:rPr/>
      </w:pPr>
      <w:r>
        <w:rPr/>
        <w:t>PURCHASE AND SALE AGREEMENT</w:t>
      </w:r>
    </w:p>
    <w:p>
      <w:pPr>
        <w:pStyle w:val="Normal"/>
        <w:jc w:val="center"/>
        <w:rPr/>
      </w:pPr>
      <w:r>
        <w:rPr/>
      </w:r>
    </w:p>
    <w:p>
      <w:pPr>
        <w:pStyle w:val="Normal"/>
        <w:tabs>
          <w:tab w:val="clear" w:pos="720"/>
          <w:tab w:val="left" w:pos="1080" w:leader="none"/>
        </w:tabs>
        <w:ind w:hanging="720" w:start="1080" w:end="0"/>
        <w:jc w:val="center"/>
        <w:rPr/>
      </w:pPr>
      <w:r>
        <w:rPr/>
        <w:t>Schedule 4.7(c)</w:t>
      </w:r>
    </w:p>
    <w:p>
      <w:pPr>
        <w:pStyle w:val="Normal"/>
        <w:tabs>
          <w:tab w:val="clear" w:pos="720"/>
          <w:tab w:val="left" w:pos="1080" w:leader="none"/>
        </w:tabs>
        <w:ind w:hanging="720" w:start="1080" w:end="0"/>
        <w:jc w:val="center"/>
        <w:rPr/>
      </w:pPr>
      <w:r>
        <w:rPr/>
        <w:t>Liabilities</w:t>
      </w:r>
    </w:p>
    <w:p>
      <w:pPr>
        <w:pStyle w:val="Normal"/>
        <w:tabs>
          <w:tab w:val="clear" w:pos="720"/>
          <w:tab w:val="left" w:pos="1080" w:leader="none"/>
        </w:tabs>
        <w:ind w:hanging="720" w:start="1080" w:end="0"/>
        <w:rPr/>
      </w:pPr>
      <w:r>
        <w:rPr/>
      </w:r>
    </w:p>
    <w:p>
      <w:pPr>
        <w:pStyle w:val="Normal"/>
        <w:ind w:firstLine="720" w:end="0"/>
        <w:rPr/>
      </w:pPr>
      <w:r>
        <w:rPr/>
        <w:t>Liabilities associated with the A/S Line rupture that are not part of the Retained A/S Line Liabilities as described in Section 13.01 of the Agreement.</w:t>
      </w:r>
    </w:p>
    <w:p>
      <w:pPr>
        <w:pStyle w:val="Normal"/>
        <w:tabs>
          <w:tab w:val="clear" w:pos="720"/>
          <w:tab w:val="left" w:pos="1080" w:leader="none"/>
        </w:tabs>
        <w:ind w:hanging="720" w:start="1080" w:end="0"/>
        <w:jc w:val="center"/>
        <w:rPr/>
      </w:pPr>
      <w:r>
        <w:rPr/>
        <w:t>PURCHASE AND SALE AGREEMENT</w:t>
      </w:r>
    </w:p>
    <w:p>
      <w:pPr>
        <w:pStyle w:val="Normal"/>
        <w:jc w:val="center"/>
        <w:rPr/>
      </w:pPr>
      <w:r>
        <w:rPr/>
      </w:r>
    </w:p>
    <w:p>
      <w:pPr>
        <w:pStyle w:val="Normal"/>
        <w:jc w:val="center"/>
        <w:rPr/>
      </w:pPr>
      <w:r>
        <w:rPr/>
        <w:t>Schedule 4.8</w:t>
      </w:r>
    </w:p>
    <w:p>
      <w:pPr>
        <w:pStyle w:val="Normal"/>
        <w:jc w:val="center"/>
        <w:rPr/>
      </w:pPr>
      <w:r>
        <w:rPr/>
        <w:t>Absence of Certain Changes</w:t>
      </w:r>
    </w:p>
    <w:p>
      <w:pPr>
        <w:pStyle w:val="Normal"/>
        <w:jc w:val="center"/>
        <w:rPr/>
      </w:pPr>
      <w:r>
        <w:rPr/>
      </w:r>
    </w:p>
    <w:p>
      <w:pPr>
        <w:pStyle w:val="Normal"/>
        <w:jc w:val="center"/>
        <w:rPr/>
      </w:pPr>
      <w:r>
        <w:rPr/>
      </w:r>
    </w:p>
    <w:p>
      <w:pPr>
        <w:pStyle w:val="Normal"/>
        <w:rPr/>
      </w:pPr>
      <w:r>
        <w:rPr/>
        <w:t>See Schedules 4.13 and 6.2 for descriptions of certain changes that may occur before the Closing Date.</w:t>
      </w:r>
    </w:p>
    <w:p>
      <w:pPr>
        <w:pStyle w:val="Normal"/>
        <w:rPr/>
      </w:pPr>
      <w:r>
        <w:rPr/>
      </w:r>
    </w:p>
    <w:p>
      <w:pPr>
        <w:pStyle w:val="Normal"/>
        <w:rPr/>
      </w:pPr>
      <w:r>
        <w:rPr/>
        <w:t>On or about December 4, 2000, a rupture occurred in the A/S Line.</w:t>
      </w:r>
    </w:p>
    <w:p>
      <w:pPr>
        <w:pStyle w:val="Normal"/>
        <w:rPr/>
      </w:pPr>
      <w:r>
        <w:rPr/>
      </w:r>
    </w:p>
    <w:p>
      <w:pPr>
        <w:pStyle w:val="Normal"/>
        <w:rPr/>
      </w:pPr>
      <w:r>
        <w:rPr/>
        <w:t>In November, 2000, all employees of the Company were offered a retention bonus payable at the earlier of (i) the Closing Date or (ii) July 1, 2001 to all employees still employed by the Company as of such date. The cost of the retention bonus payment plan was increased pursuant to that certain HPL Employment Transition Protocol dated February 9, 2001 between Buyer and Seller. Enron will be responsible for paying the retention bonus to the employees of the Company.</w:t>
      </w:r>
    </w:p>
    <w:p>
      <w:pPr>
        <w:pStyle w:val="Normal"/>
        <w:rPr/>
      </w:pPr>
      <w:r>
        <w:rPr/>
      </w:r>
    </w:p>
    <w:p>
      <w:pPr>
        <w:pStyle w:val="Normal"/>
        <w:rPr/>
      </w:pPr>
      <w:r>
        <w:rPr/>
        <w:t>The following Mechanic’s and Materialman’s Liens were filed by Coastline Resources, Inc.against Houston Pipe Line Company:</w:t>
      </w:r>
    </w:p>
    <w:p>
      <w:pPr>
        <w:pStyle w:val="Normal"/>
        <w:rPr/>
      </w:pPr>
      <w:r>
        <w:rPr/>
      </w:r>
    </w:p>
    <w:p>
      <w:pPr>
        <w:pStyle w:val="Normal"/>
        <w:rPr/>
      </w:pPr>
      <w:r>
        <w:rPr/>
        <w:tab/>
        <w:t>1. Document number 237483 filed in Kleberg County, Texas on April 16, 2001.</w:t>
      </w:r>
    </w:p>
    <w:p>
      <w:pPr>
        <w:pStyle w:val="Normal"/>
        <w:rPr/>
      </w:pPr>
      <w:r>
        <w:rPr/>
        <w:tab/>
        <w:t>2. Document number 6756 filed in Kenedy County, Texas on April 16, 2001.</w:t>
      </w:r>
    </w:p>
    <w:p>
      <w:pPr>
        <w:pStyle w:val="Normal"/>
        <w:rPr/>
      </w:pPr>
      <w:r>
        <w:rPr/>
        <w:tab/>
        <w:t>3. Document number 284844 filed in Willacy County, Texas on April 16, 2001.</w:t>
      </w:r>
    </w:p>
    <w:p>
      <w:pPr>
        <w:pStyle w:val="Normal"/>
        <w:rPr/>
      </w:pPr>
      <w:r>
        <w:rPr/>
      </w:r>
    </w:p>
    <w:p>
      <w:pPr>
        <w:pStyle w:val="Normal"/>
        <w:jc w:val="center"/>
        <w:rPr/>
      </w:pPr>
      <w:r>
        <w:rPr/>
        <w:t>PURCHASE AND SALE AGREEMENT</w:t>
      </w:r>
    </w:p>
    <w:p>
      <w:pPr>
        <w:pStyle w:val="Normal"/>
        <w:jc w:val="center"/>
        <w:rPr/>
      </w:pPr>
      <w:r>
        <w:rPr/>
      </w:r>
    </w:p>
    <w:p>
      <w:pPr>
        <w:pStyle w:val="Normal"/>
        <w:jc w:val="center"/>
        <w:rPr/>
      </w:pPr>
      <w:r>
        <w:rPr/>
        <w:t>Schedule 4.9</w:t>
      </w:r>
    </w:p>
    <w:p>
      <w:pPr>
        <w:pStyle w:val="Normal"/>
        <w:jc w:val="center"/>
        <w:rPr/>
      </w:pPr>
      <w:r>
        <w:rPr/>
        <w:t>Tax Matters</w:t>
      </w:r>
    </w:p>
    <w:p>
      <w:pPr>
        <w:pStyle w:val="Normal"/>
        <w:jc w:val="center"/>
        <w:rPr/>
      </w:pPr>
      <w:r>
        <w:rPr/>
      </w:r>
    </w:p>
    <w:p>
      <w:pPr>
        <w:pStyle w:val="Header"/>
        <w:tabs>
          <w:tab w:val="clear" w:pos="4680"/>
          <w:tab w:val="clear" w:pos="9360"/>
        </w:tabs>
        <w:rPr/>
      </w:pPr>
      <w:r>
        <w:rPr/>
        <w:t>Pending Audits</w:t>
      </w:r>
    </w:p>
    <w:tbl>
      <w:tblPr>
        <w:tblW w:w="9576" w:type="dxa"/>
        <w:jc w:val="start"/>
        <w:tblInd w:w="0" w:type="dxa"/>
        <w:tblLayout w:type="fixed"/>
        <w:tblCellMar>
          <w:top w:w="0" w:type="dxa"/>
          <w:start w:w="108" w:type="dxa"/>
          <w:bottom w:w="0" w:type="dxa"/>
          <w:end w:w="108" w:type="dxa"/>
        </w:tblCellMar>
      </w:tblPr>
      <w:tblGrid>
        <w:gridCol w:w="2358"/>
        <w:gridCol w:w="1350"/>
        <w:gridCol w:w="1530"/>
        <w:gridCol w:w="1710"/>
        <w:gridCol w:w="2628"/>
      </w:tblGrid>
      <w:tr>
        <w:trPr/>
        <w:tc>
          <w:tcPr>
            <w:tcW w:w="235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rPr>
                <w:b/>
                <w:bCs/>
              </w:rPr>
            </w:pPr>
            <w:r>
              <w:rPr>
                <w:b/>
                <w:bCs/>
              </w:rPr>
            </w:r>
          </w:p>
          <w:p>
            <w:pPr>
              <w:pStyle w:val="Header"/>
              <w:tabs>
                <w:tab w:val="clear" w:pos="4680"/>
                <w:tab w:val="clear" w:pos="9360"/>
              </w:tabs>
              <w:rPr>
                <w:b/>
                <w:bCs/>
              </w:rPr>
            </w:pPr>
            <w:r>
              <w:rPr>
                <w:b/>
                <w:bCs/>
              </w:rPr>
              <w:t>Company</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p>
            <w:pPr>
              <w:pStyle w:val="Normal"/>
              <w:rPr>
                <w:b/>
                <w:bCs/>
              </w:rPr>
            </w:pPr>
            <w:r>
              <w:rPr>
                <w:b/>
                <w:bCs/>
              </w:rPr>
              <w:t>Tax Type</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p>
            <w:pPr>
              <w:pStyle w:val="Normal"/>
              <w:rPr>
                <w:b/>
                <w:bCs/>
              </w:rPr>
            </w:pPr>
            <w:r>
              <w:rPr>
                <w:b/>
                <w:bCs/>
              </w:rPr>
              <w:t>Jurisdiction</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p>
            <w:pPr>
              <w:pStyle w:val="Normal"/>
              <w:rPr>
                <w:b/>
                <w:bCs/>
              </w:rPr>
            </w:pPr>
            <w:r>
              <w:rPr>
                <w:b/>
                <w:bCs/>
              </w:rPr>
              <w:t>Audit Period</w:t>
            </w:r>
          </w:p>
        </w:tc>
        <w:tc>
          <w:tcPr>
            <w:tcW w:w="262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p>
            <w:pPr>
              <w:pStyle w:val="Normal"/>
              <w:rPr>
                <w:b/>
                <w:bCs/>
              </w:rPr>
            </w:pPr>
            <w:r>
              <w:rPr>
                <w:b/>
                <w:bCs/>
              </w:rPr>
              <w:t>Status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6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rPr/>
            </w:pPr>
            <w:r>
              <w:rPr/>
              <w:t>HPL</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Direct Pay</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Texas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7/93 – 9/97</w:t>
            </w:r>
          </w:p>
        </w:tc>
        <w:tc>
          <w:tcPr>
            <w:tcW w:w="2628" w:type="dxa"/>
            <w:tcBorders>
              <w:top w:val="single" w:sz="4" w:space="0" w:color="000000"/>
              <w:start w:val="single" w:sz="4" w:space="0" w:color="000000"/>
              <w:bottom w:val="single" w:sz="4" w:space="0" w:color="000000"/>
              <w:end w:val="single" w:sz="4" w:space="0" w:color="000000"/>
            </w:tcBorders>
          </w:tcPr>
          <w:p>
            <w:pPr>
              <w:pStyle w:val="Normal"/>
              <w:rPr/>
            </w:pPr>
            <w:r>
              <w:rPr/>
              <w:t>Assessment rendered. Redetermination Period ends July 2, 2001</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6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rPr/>
            </w:pPr>
            <w:r>
              <w:rPr/>
              <w:t>HPL</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Sales</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Texas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4/94 – 9/96</w:t>
            </w:r>
          </w:p>
        </w:tc>
        <w:tc>
          <w:tcPr>
            <w:tcW w:w="2628" w:type="dxa"/>
            <w:tcBorders>
              <w:top w:val="single" w:sz="4" w:space="0" w:color="000000"/>
              <w:start w:val="single" w:sz="4" w:space="0" w:color="000000"/>
              <w:bottom w:val="single" w:sz="4" w:space="0" w:color="000000"/>
              <w:end w:val="single" w:sz="4" w:space="0" w:color="000000"/>
            </w:tcBorders>
          </w:tcPr>
          <w:p>
            <w:pPr>
              <w:pStyle w:val="Normal"/>
              <w:rPr/>
            </w:pPr>
            <w:r>
              <w:rPr/>
              <w:t>Assessment rendered. Redetermination Period ends July 2, 2001</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6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rPr/>
            </w:pPr>
            <w:r>
              <w:rPr/>
              <w:t>HPL</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Gas Utility Tax</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Texas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3rd Quarter 97 - 1st Qtr 00</w:t>
            </w:r>
          </w:p>
        </w:tc>
        <w:tc>
          <w:tcPr>
            <w:tcW w:w="2628" w:type="dxa"/>
            <w:tcBorders>
              <w:top w:val="single" w:sz="4" w:space="0" w:color="000000"/>
              <w:start w:val="single" w:sz="4" w:space="0" w:color="000000"/>
              <w:bottom w:val="single" w:sz="4" w:space="0" w:color="000000"/>
              <w:end w:val="single" w:sz="4" w:space="0" w:color="000000"/>
            </w:tcBorders>
          </w:tcPr>
          <w:p>
            <w:pPr>
              <w:pStyle w:val="Normal"/>
              <w:rPr/>
            </w:pPr>
            <w:r>
              <w:rPr/>
              <w:t>Determining Tax Status of past transaction involving monetization of cushion gas</w:t>
            </w:r>
          </w:p>
        </w:tc>
      </w:tr>
    </w:tbl>
    <w:p>
      <w:pPr>
        <w:pStyle w:val="Normal"/>
        <w:rPr/>
      </w:pPr>
      <w:r>
        <w:rPr/>
      </w:r>
    </w:p>
    <w:p>
      <w:pPr>
        <w:pStyle w:val="Normal"/>
        <w:jc w:val="center"/>
        <w:rPr/>
      </w:pPr>
      <w:r>
        <w:rPr/>
        <w:t>See Schedule 4.11 for disclosure regarding 2 tax appraisal suits in Webb and Zapata Counties.PURCHASE AND SALE AGREEMENT</w:t>
      </w:r>
    </w:p>
    <w:p>
      <w:pPr>
        <w:pStyle w:val="Normal"/>
        <w:jc w:val="center"/>
        <w:rPr/>
      </w:pPr>
      <w:r>
        <w:rPr/>
      </w:r>
    </w:p>
    <w:p>
      <w:pPr>
        <w:pStyle w:val="Normal"/>
        <w:jc w:val="center"/>
        <w:rPr/>
      </w:pPr>
      <w:r>
        <w:rPr/>
        <w:t>Schedule 4.10(a)</w:t>
      </w:r>
    </w:p>
    <w:p>
      <w:pPr>
        <w:pStyle w:val="Normal"/>
        <w:jc w:val="center"/>
        <w:rPr/>
      </w:pPr>
      <w:r>
        <w:rPr/>
        <w:t>Compliance with Laws</w:t>
      </w:r>
    </w:p>
    <w:p>
      <w:pPr>
        <w:pStyle w:val="Normal"/>
        <w:jc w:val="center"/>
        <w:rPr/>
      </w:pPr>
      <w:r>
        <w:rPr/>
      </w:r>
    </w:p>
    <w:p>
      <w:pPr>
        <w:pStyle w:val="Normal"/>
        <w:jc w:val="center"/>
        <w:rPr/>
      </w:pPr>
      <w:r>
        <w:rPr/>
      </w:r>
    </w:p>
    <w:p>
      <w:pPr>
        <w:pStyle w:val="Normal"/>
        <w:rPr/>
      </w:pPr>
      <w:r>
        <w:rPr/>
        <w:t>Discussions continue with the Texas Railroad Commission regarding the gas utility tax</w:t>
      </w:r>
      <w:r>
        <w:rPr>
          <w:b/>
          <w:bCs/>
          <w:u w:val="double"/>
        </w:rPr>
        <w:t xml:space="preserve">. </w:t>
      </w:r>
      <w:r>
        <w:rPr>
          <w:b/>
          <w:bCs/>
          <w:strike/>
          <w:u w:val="double"/>
        </w:rPr>
        <w:t>and tariff</w:t>
      </w:r>
      <w:r>
        <w:rPr>
          <w:b/>
          <w:bCs/>
          <w:u w:val="double"/>
        </w:rPr>
        <w:t xml:space="preserve"> Tariff</w:t>
      </w:r>
      <w:r>
        <w:rPr/>
        <w:t xml:space="preserve"> issues cited by the Commission’s audit of HPL </w:t>
      </w:r>
      <w:r>
        <w:rPr>
          <w:b/>
          <w:bCs/>
          <w:u w:val="double"/>
        </w:rPr>
        <w:t>appear to have been resolved as evidenced by that letter dated May 17, 2001 from the Railroad Commission of Texas, Gas Services Division</w:t>
      </w:r>
      <w:r>
        <w:rPr/>
        <w:t>.</w:t>
      </w:r>
    </w:p>
    <w:p>
      <w:pPr>
        <w:pStyle w:val="Normal"/>
        <w:rPr/>
      </w:pPr>
      <w:r>
        <w:rPr/>
      </w:r>
    </w:p>
    <w:p>
      <w:pPr>
        <w:pStyle w:val="Normal"/>
        <w:jc w:val="center"/>
        <w:rPr/>
      </w:pPr>
      <w:r>
        <w:rPr/>
        <w:t>PURCHASE AND SALE AGREEMENT</w:t>
      </w:r>
    </w:p>
    <w:p>
      <w:pPr>
        <w:pStyle w:val="Normal"/>
        <w:jc w:val="center"/>
        <w:rPr/>
      </w:pPr>
      <w:r>
        <w:rPr/>
      </w:r>
    </w:p>
    <w:p>
      <w:pPr>
        <w:pStyle w:val="Normal"/>
        <w:jc w:val="center"/>
        <w:rPr/>
      </w:pPr>
      <w:r>
        <w:rPr/>
        <w:t>Schedule 4.10(b)</w:t>
      </w:r>
    </w:p>
    <w:p>
      <w:pPr>
        <w:pStyle w:val="Normal"/>
        <w:jc w:val="center"/>
        <w:rPr/>
      </w:pPr>
      <w:r>
        <w:rPr/>
        <w:t>Permits</w:t>
      </w:r>
    </w:p>
    <w:p>
      <w:pPr>
        <w:pStyle w:val="Normal"/>
        <w:jc w:val="center"/>
        <w:rPr/>
      </w:pPr>
      <w:r>
        <w:rPr/>
      </w:r>
    </w:p>
    <w:p>
      <w:pPr>
        <w:pStyle w:val="Normal"/>
        <w:rPr/>
      </w:pPr>
      <w:r>
        <w:rPr/>
        <w:t>See item 6 on Schedule 4.7(b).</w:t>
      </w:r>
    </w:p>
    <w:p>
      <w:pPr>
        <w:pStyle w:val="Normal"/>
        <w:jc w:val="center"/>
        <w:rPr/>
      </w:pPr>
      <w:r>
        <w:rPr/>
      </w:r>
    </w:p>
    <w:p>
      <w:pPr>
        <w:pStyle w:val="Normal"/>
        <w:jc w:val="center"/>
        <w:rPr/>
      </w:pPr>
      <w:r>
        <w:rPr/>
        <w:t xml:space="preserve"> </w:t>
      </w:r>
      <w:r>
        <w:rPr/>
        <w:t>PURCHASE AND SALE AGREEMENT</w:t>
      </w:r>
    </w:p>
    <w:p>
      <w:pPr>
        <w:pStyle w:val="Normal"/>
        <w:jc w:val="center"/>
        <w:rPr/>
      </w:pPr>
      <w:r>
        <w:rPr/>
      </w:r>
    </w:p>
    <w:p>
      <w:pPr>
        <w:pStyle w:val="Normal"/>
        <w:jc w:val="center"/>
        <w:rPr/>
      </w:pPr>
      <w:r>
        <w:rPr/>
        <w:t>Schedule 4.10(c)</w:t>
      </w:r>
    </w:p>
    <w:p>
      <w:pPr>
        <w:pStyle w:val="Normal"/>
        <w:jc w:val="center"/>
        <w:rPr/>
      </w:pPr>
      <w:r>
        <w:rPr/>
        <w:t>Companies Subject to Regulation</w:t>
      </w:r>
    </w:p>
    <w:p>
      <w:pPr>
        <w:pStyle w:val="Normal"/>
        <w:jc w:val="center"/>
        <w:rPr/>
      </w:pPr>
      <w:r>
        <w:rPr/>
      </w:r>
    </w:p>
    <w:p>
      <w:pPr>
        <w:pStyle w:val="Normal"/>
        <w:rPr/>
      </w:pPr>
      <w:r>
        <w:rPr/>
      </w:r>
    </w:p>
    <w:p>
      <w:pPr>
        <w:pStyle w:val="Normal"/>
        <w:rPr/>
      </w:pPr>
      <w:r>
        <w:rPr/>
        <w:t>Transportation of gas in interstate commerce is conducted by the Company pursuant to the safe harbors provided by § 311(a)(ii) of the Natural Gas Policy Act of 1978, as amended and § 284.227 of FERC’s regulations found in 18 CFR 284.227.</w:t>
      </w:r>
    </w:p>
    <w:p>
      <w:pPr>
        <w:pStyle w:val="Normal"/>
        <w:jc w:val="center"/>
        <w:rPr/>
      </w:pPr>
      <w:r>
        <w:rPr/>
        <w:t>PURCHASE AND SALE AGREEMENT</w:t>
      </w:r>
    </w:p>
    <w:p>
      <w:pPr>
        <w:pStyle w:val="Normal"/>
        <w:jc w:val="center"/>
        <w:rPr/>
      </w:pPr>
      <w:r>
        <w:rPr/>
      </w:r>
    </w:p>
    <w:p>
      <w:pPr>
        <w:pStyle w:val="Normal"/>
        <w:jc w:val="center"/>
        <w:rPr/>
      </w:pPr>
      <w:r>
        <w:rPr/>
        <w:t>Schedule 4.11</w:t>
      </w:r>
    </w:p>
    <w:p>
      <w:pPr>
        <w:pStyle w:val="Normal"/>
        <w:jc w:val="center"/>
        <w:rPr/>
      </w:pPr>
      <w:r>
        <w:rPr/>
        <w:t>Legal Proceedings</w:t>
      </w:r>
    </w:p>
    <w:p>
      <w:pPr>
        <w:pStyle w:val="Normal"/>
        <w:jc w:val="center"/>
        <w:rPr/>
      </w:pPr>
      <w:r>
        <w:rPr/>
      </w:r>
    </w:p>
    <w:p>
      <w:pPr>
        <w:pStyle w:val="Normal"/>
        <w:ind w:hanging="720" w:start="720" w:end="0"/>
        <w:jc w:val="both"/>
        <w:rPr/>
      </w:pPr>
      <w:r>
        <w:rPr/>
        <w:t>A.</w:t>
        <w:tab/>
        <w:t>LITIGATION PENDING OR THREATENED AGAINST OR INVOLVING THE ACQUIRED COMPANIES THAT WILL BE RETAINED BY SELLER</w:t>
      </w:r>
    </w:p>
    <w:p>
      <w:pPr>
        <w:pStyle w:val="Normal"/>
        <w:ind w:hanging="720" w:start="720" w:end="0"/>
        <w:jc w:val="both"/>
        <w:rPr/>
      </w:pPr>
      <w:r>
        <w:rPr/>
      </w:r>
    </w:p>
    <w:p>
      <w:pPr>
        <w:pStyle w:val="Normal"/>
        <w:numPr>
          <w:ilvl w:val="0"/>
          <w:numId w:val="3"/>
        </w:numPr>
        <w:tabs>
          <w:tab w:val="clear" w:pos="720"/>
        </w:tabs>
        <w:ind w:hanging="720" w:start="1440" w:end="0"/>
        <w:jc w:val="both"/>
        <w:rPr/>
      </w:pPr>
      <w:r>
        <w:rPr/>
        <w:t xml:space="preserve">No. 1998-58066; </w:t>
      </w:r>
      <w:r>
        <w:rPr>
          <w:u w:val="single"/>
        </w:rPr>
        <w:t>Henry Taub, et al. v. EOG, HPL and HPL Resources</w:t>
      </w:r>
      <w:r>
        <w:rPr/>
        <w:t>; In the 80</w:t>
      </w:r>
      <w:r>
        <w:rPr>
          <w:vertAlign w:val="superscript"/>
        </w:rPr>
        <w:t>th</w:t>
      </w:r>
      <w:r>
        <w:rPr/>
        <w:t xml:space="preserve"> District Court of Harris County, Texas; Plaintiffs filed suit against HPL and HPLR for breach of contract, property damage, and trespass as a result of HPL’s alleged abandonment of certain gas wells on their property.  </w:t>
      </w:r>
      <w:r>
        <w:rPr>
          <w:strike/>
        </w:rPr>
        <w:t>Concluded as to</w:t>
      </w:r>
      <w:r>
        <w:rPr/>
        <w:t xml:space="preserve"> HPL and HPLR </w:t>
      </w:r>
      <w:r>
        <w:rPr>
          <w:strike/>
        </w:rPr>
        <w:t>with</w:t>
      </w:r>
      <w:r>
        <w:rPr/>
        <w:t xml:space="preserve"> </w:t>
      </w:r>
      <w:r>
        <w:rPr>
          <w:b/>
          <w:bCs/>
          <w:u w:val="double"/>
        </w:rPr>
        <w:t>granted</w:t>
      </w:r>
      <w:r>
        <w:rPr/>
        <w:t xml:space="preserve"> Summary Judgment on November 27, 2000 </w:t>
      </w:r>
      <w:r>
        <w:rPr>
          <w:b/>
          <w:bCs/>
          <w:u w:val="double"/>
        </w:rPr>
        <w:t>which has been appealed by plaintiffs</w:t>
      </w:r>
      <w:r>
        <w:rPr/>
        <w:t>.</w:t>
      </w:r>
    </w:p>
    <w:p>
      <w:pPr>
        <w:pStyle w:val="Normal"/>
        <w:ind w:hanging="720" w:start="1440" w:end="0"/>
        <w:jc w:val="both"/>
        <w:rPr/>
      </w:pPr>
      <w:r>
        <w:rPr/>
      </w:r>
    </w:p>
    <w:p>
      <w:pPr>
        <w:pStyle w:val="Normal"/>
        <w:numPr>
          <w:ilvl w:val="0"/>
          <w:numId w:val="3"/>
        </w:numPr>
        <w:tabs>
          <w:tab w:val="clear" w:pos="720"/>
        </w:tabs>
        <w:ind w:hanging="720" w:start="1440" w:end="0"/>
        <w:jc w:val="both"/>
        <w:rPr/>
      </w:pPr>
      <w:r>
        <w:rPr/>
        <w:t xml:space="preserve">No. 4,135; </w:t>
      </w:r>
      <w:r>
        <w:rPr>
          <w:u w:val="single"/>
        </w:rPr>
        <w:t>Romeo Vela v. EOG and HPL</w:t>
      </w:r>
      <w:r>
        <w:rPr/>
        <w:t>; In the 49</w:t>
      </w:r>
      <w:r>
        <w:rPr>
          <w:vertAlign w:val="superscript"/>
        </w:rPr>
        <w:t>th</w:t>
      </w:r>
      <w:r>
        <w:rPr/>
        <w:t xml:space="preserve"> Judicial District Court of Zapata County, Texas; Plaintiffs allege that HPL and EOG conspired to defraud Plaintiffs of royalties due on certain gas wells.</w:t>
      </w:r>
    </w:p>
    <w:p>
      <w:pPr>
        <w:pStyle w:val="Normal"/>
        <w:ind w:hanging="720" w:start="1440" w:end="0"/>
        <w:jc w:val="both"/>
        <w:rPr/>
      </w:pPr>
      <w:r>
        <w:rPr/>
      </w:r>
    </w:p>
    <w:p>
      <w:pPr>
        <w:pStyle w:val="Normal"/>
        <w:numPr>
          <w:ilvl w:val="0"/>
          <w:numId w:val="3"/>
        </w:numPr>
        <w:tabs>
          <w:tab w:val="clear" w:pos="720"/>
        </w:tabs>
        <w:ind w:hanging="720" w:start="1440" w:end="0"/>
        <w:jc w:val="both"/>
        <w:rPr/>
      </w:pPr>
      <w:r>
        <w:rPr/>
        <w:t xml:space="preserve">MDL Court 99-MD-1293; </w:t>
      </w:r>
      <w:r>
        <w:rPr>
          <w:u w:val="single"/>
        </w:rPr>
        <w:t>United States of America ex rel. Jack Grynberg v. Enron Corp., et al</w:t>
      </w:r>
      <w:r>
        <w:rPr/>
        <w:t>. Plaintiff filed a qui tam suit alleging that HPL mis-measured gas taken from federal lands, thereby defrauding the United States of royalty payments.</w:t>
      </w:r>
    </w:p>
    <w:p>
      <w:pPr>
        <w:pStyle w:val="Normal"/>
        <w:ind w:hanging="720" w:start="1440" w:end="0"/>
        <w:jc w:val="both"/>
        <w:rPr/>
      </w:pPr>
      <w:r>
        <w:rPr/>
      </w:r>
    </w:p>
    <w:p>
      <w:pPr>
        <w:pStyle w:val="Normal"/>
        <w:numPr>
          <w:ilvl w:val="0"/>
          <w:numId w:val="3"/>
        </w:numPr>
        <w:tabs>
          <w:tab w:val="clear" w:pos="720"/>
        </w:tabs>
        <w:ind w:hanging="720" w:start="1440" w:end="0"/>
        <w:jc w:val="both"/>
        <w:rPr/>
      </w:pPr>
      <w:r>
        <w:rPr>
          <w:u w:val="single"/>
        </w:rPr>
        <w:t>In re The Daniels Corporation Chapter 7 Bankruptcy Proceeding</w:t>
      </w:r>
      <w:r>
        <w:rPr/>
        <w:t>; No. 9933776H17; U. S. Bankruptcy Court, S.D. of Texas, Houston Division; The Daniels Corporation filed a Chapter 7 Bankruptcy.  HPL is a creditor.  A proof of claim was filed on behalf of HPL on December 17, 1999.</w:t>
      </w:r>
    </w:p>
    <w:p>
      <w:pPr>
        <w:pStyle w:val="Normal"/>
        <w:ind w:hanging="720" w:start="1440" w:end="0"/>
        <w:jc w:val="both"/>
        <w:rPr/>
      </w:pPr>
      <w:r>
        <w:rPr/>
      </w:r>
    </w:p>
    <w:p>
      <w:pPr>
        <w:pStyle w:val="Normal"/>
        <w:numPr>
          <w:ilvl w:val="0"/>
          <w:numId w:val="3"/>
        </w:numPr>
        <w:tabs>
          <w:tab w:val="clear" w:pos="720"/>
        </w:tabs>
        <w:ind w:hanging="720" w:start="1440" w:end="0"/>
        <w:jc w:val="both"/>
        <w:rPr/>
      </w:pPr>
      <w:r>
        <w:rPr/>
        <w:t xml:space="preserve">No. 96-25269-C-11; </w:t>
      </w:r>
      <w:r>
        <w:rPr>
          <w:u w:val="single"/>
        </w:rPr>
        <w:t>In re Midcon Offshore, Inc.</w:t>
      </w:r>
      <w:r>
        <w:rPr/>
        <w:t>; In the United States Bankruptcy Court, Corpus Christi Division, Texas; HPL filed a proof of claim in excess $79,500</w:t>
      </w:r>
    </w:p>
    <w:p>
      <w:pPr>
        <w:pStyle w:val="Normal"/>
        <w:ind w:hanging="720" w:start="1440" w:end="0"/>
        <w:jc w:val="both"/>
        <w:rPr/>
      </w:pPr>
      <w:r>
        <w:rPr/>
      </w:r>
    </w:p>
    <w:p>
      <w:pPr>
        <w:pStyle w:val="Normal"/>
        <w:numPr>
          <w:ilvl w:val="0"/>
          <w:numId w:val="3"/>
        </w:numPr>
        <w:tabs>
          <w:tab w:val="clear" w:pos="720"/>
        </w:tabs>
        <w:ind w:hanging="720" w:start="1440" w:end="0"/>
        <w:jc w:val="both"/>
        <w:rPr/>
      </w:pPr>
      <w:r>
        <w:rPr/>
        <w:t xml:space="preserve">No. 2-10,318; </w:t>
      </w:r>
      <w:r>
        <w:rPr>
          <w:u w:val="single"/>
        </w:rPr>
        <w:t>K&amp;N Perforators, Inc. v. PH Exploration Inc. and HPL, Garnishee</w:t>
      </w:r>
      <w:r>
        <w:rPr/>
        <w:t>; In the County Court at Law, Number 2, Victoria County, Texas; This is a post-judgment garnishment filed by K&amp;N  Perforators.  KN holds a judgment against PH Exploration and has alleged that HPL holds funds and/or other property of PH.  Plaintiff seeks $12,575.90, together with interest, costs and post-judgment interest at the rate of 10% per year.</w:t>
      </w:r>
    </w:p>
    <w:p>
      <w:pPr>
        <w:pStyle w:val="Normal"/>
        <w:ind w:hanging="720" w:start="1440" w:end="0"/>
        <w:jc w:val="both"/>
        <w:rPr/>
      </w:pPr>
      <w:r>
        <w:rPr/>
      </w:r>
    </w:p>
    <w:p>
      <w:pPr>
        <w:pStyle w:val="Normal"/>
        <w:numPr>
          <w:ilvl w:val="0"/>
          <w:numId w:val="3"/>
        </w:numPr>
        <w:tabs>
          <w:tab w:val="clear" w:pos="720"/>
        </w:tabs>
        <w:ind w:hanging="720" w:start="1440" w:end="0"/>
        <w:jc w:val="both"/>
        <w:rPr/>
      </w:pPr>
      <w:r>
        <w:rPr/>
        <w:t xml:space="preserve">No. 99C30; </w:t>
      </w:r>
      <w:r>
        <w:rPr>
          <w:u w:val="single"/>
        </w:rPr>
        <w:t>Quinque Operating Company, et al. v. Gas Pipelines, et al</w:t>
      </w:r>
      <w:r>
        <w:rPr/>
        <w:t>; In the District Court of Stevens County, Kansas; class action case in which plaintiffs allege that defendants mis-measured gas taken from non-federal lands, therefore defrauding royalty owners of royalty payment.</w:t>
      </w:r>
    </w:p>
    <w:p>
      <w:pPr>
        <w:pStyle w:val="Normal"/>
        <w:ind w:hanging="720" w:start="1440" w:end="0"/>
        <w:jc w:val="both"/>
        <w:rPr/>
      </w:pPr>
      <w:r>
        <w:rPr/>
      </w:r>
    </w:p>
    <w:p>
      <w:pPr>
        <w:pStyle w:val="Normal"/>
        <w:numPr>
          <w:ilvl w:val="0"/>
          <w:numId w:val="3"/>
        </w:numPr>
        <w:tabs>
          <w:tab w:val="clear" w:pos="720"/>
        </w:tabs>
        <w:ind w:hanging="720" w:start="1440" w:end="0"/>
        <w:jc w:val="both"/>
        <w:rPr/>
      </w:pPr>
      <w:r>
        <w:rPr/>
        <w:t>Pintail matter; no suit has been filed, but demand has been made on HPL.  Pintail is alleging that HPL breached its contract with Pintail.  A settlement offer has been extended but has not been accepted, and Pintail has given notice of termination under the contract.</w:t>
      </w:r>
    </w:p>
    <w:p>
      <w:pPr>
        <w:pStyle w:val="Normal"/>
        <w:ind w:hanging="720" w:start="1440" w:end="0"/>
        <w:jc w:val="both"/>
        <w:rPr/>
      </w:pPr>
      <w:r>
        <w:rPr/>
      </w:r>
    </w:p>
    <w:p>
      <w:pPr>
        <w:pStyle w:val="Normal"/>
        <w:numPr>
          <w:ilvl w:val="0"/>
          <w:numId w:val="3"/>
        </w:numPr>
        <w:tabs>
          <w:tab w:val="clear" w:pos="720"/>
        </w:tabs>
        <w:ind w:hanging="720" w:start="1440" w:end="0"/>
        <w:jc w:val="both"/>
        <w:rPr/>
      </w:pPr>
      <w:r>
        <w:rPr>
          <w:u w:val="single"/>
        </w:rPr>
        <w:t>Margarita Sanchez de Uribe, et al v. Needmore Ranch, Inc.</w:t>
      </w:r>
      <w:r>
        <w:rPr/>
        <w:t xml:space="preserve"> (including HPL); In the 4</w:t>
      </w:r>
      <w:r>
        <w:rPr>
          <w:vertAlign w:val="superscript"/>
        </w:rPr>
        <w:t>th</w:t>
      </w:r>
      <w:r>
        <w:rPr/>
        <w:t xml:space="preserve"> Supreme Judicial District Court of Appeals, Texas; Dispute over ownership and royalty interest of Bracilito Ranch in Zapata County, Texas.  </w:t>
      </w:r>
    </w:p>
    <w:p>
      <w:pPr>
        <w:pStyle w:val="Normal"/>
        <w:ind w:hanging="720" w:start="1440" w:end="0"/>
        <w:jc w:val="both"/>
        <w:rPr/>
      </w:pPr>
      <w:r>
        <w:rPr/>
      </w:r>
    </w:p>
    <w:p>
      <w:pPr>
        <w:pStyle w:val="Normal"/>
        <w:numPr>
          <w:ilvl w:val="0"/>
          <w:numId w:val="3"/>
        </w:numPr>
        <w:tabs>
          <w:tab w:val="clear" w:pos="720"/>
        </w:tabs>
        <w:ind w:hanging="720" w:start="1440" w:end="0"/>
        <w:jc w:val="both"/>
        <w:rPr/>
      </w:pPr>
      <w:r>
        <w:rPr/>
        <w:t>Romasdale LLC gas purchase agreement; Romasdale alleged HPL breached its contract resulting in a claim of $40,000; pursuant to the terms of the contract, Romasdale has requested arbitration.</w:t>
      </w:r>
    </w:p>
    <w:p>
      <w:pPr>
        <w:pStyle w:val="BodyText"/>
        <w:ind w:hanging="720" w:start="1440" w:end="0"/>
        <w:rPr/>
      </w:pPr>
      <w:r>
        <w:rPr/>
      </w:r>
    </w:p>
    <w:p>
      <w:pPr>
        <w:pStyle w:val="Normal"/>
        <w:ind w:hanging="720" w:start="1440" w:end="0"/>
        <w:jc w:val="both"/>
        <w:rPr/>
      </w:pPr>
      <w:r>
        <w:rPr/>
        <w:t>11.</w:t>
        <w:tab/>
        <w:t xml:space="preserve">No. 121-B; </w:t>
      </w:r>
      <w:r>
        <w:rPr>
          <w:u w:val="single"/>
        </w:rPr>
        <w:t>Houston Pipe Line Company and Intrastate Gathering Corporation v. La Mesa Land &amp; Cattle Company and First City Bank of Corpus Christi</w:t>
      </w:r>
      <w:r>
        <w:rPr/>
        <w:t>; In the 156th Judicial District Court, Live Oak County, Texas;  This is a condemnation matter that was filed in 1985.  HPL sought to condemn certain lands owned by La Mesa Land &amp; Cattle Co. for construction of a pipeline.  Special commissioners were appointed, and a hearing held.  The special commissioners entered an award of damages to the landowners of $44,000.  HPL deposited $44,000 into the registry of the court, and took possession of the property and constructed the pipeline.  La Mesa Land &amp; Cattle Co. objected to the award as inadequate, but withdrew the $44,000 from the registry of the court.  La Mesa's objection has never been ruled on.  HPL and Insurance Company of North America have posted a bond to cover any additional damages which might be awarded based upon the objection.  A final judgment of condemnation should be entered upon a ruling or dismissal of the objection.</w:t>
      </w:r>
    </w:p>
    <w:p>
      <w:pPr>
        <w:pStyle w:val="Normal"/>
        <w:ind w:hanging="720" w:start="1440" w:end="0"/>
        <w:jc w:val="both"/>
        <w:rPr/>
      </w:pPr>
      <w:r>
        <w:rPr/>
      </w:r>
    </w:p>
    <w:p>
      <w:pPr>
        <w:pStyle w:val="Normal"/>
        <w:ind w:hanging="720" w:start="1440" w:end="0"/>
        <w:jc w:val="both"/>
        <w:rPr/>
      </w:pPr>
      <w:r>
        <w:rPr/>
        <w:t>12.</w:t>
        <w:tab/>
        <w:t xml:space="preserve">No. H-98-3982 (consolidated); </w:t>
      </w:r>
      <w:r>
        <w:rPr>
          <w:u w:val="single"/>
        </w:rPr>
        <w:t>Air Liquide American Corporation, et al. v. United States Army Corps of Engineers</w:t>
      </w:r>
      <w:r>
        <w:rPr/>
        <w:t>; In the United States District Court for the Southern District of Texas; Houston Division; Plaintiffs, including HPL, initiated suit against Defendants requesting a declaratory judgment that the Port of Houston acted improperly under the Texas Water Code in requesting Plaintiffs to bear costs of the removal of Plaintiffs’ property in a deepening project. Plaintiffs are also seeking declaratory judgment that the notices to remove the pipelines are improper. (If as a result of litigation with the Port of Houston a monetary amount is granted to, or recovered by HPL, such proceeds will be paid to the Port of Houston, to pay any right of way rentals that are then due and owing to the Port of Houston.  Any remaining proceeds from the litigation will belong to Seller.)</w:t>
      </w:r>
    </w:p>
    <w:p>
      <w:pPr>
        <w:pStyle w:val="Normal"/>
        <w:ind w:hanging="720" w:start="1440" w:end="0"/>
        <w:jc w:val="both"/>
        <w:rPr/>
      </w:pPr>
      <w:r>
        <w:rPr/>
      </w:r>
    </w:p>
    <w:p>
      <w:pPr>
        <w:pStyle w:val="Normal"/>
        <w:ind w:hanging="720" w:start="1440" w:end="0"/>
        <w:jc w:val="both"/>
        <w:rPr/>
      </w:pPr>
      <w:r>
        <w:rPr/>
        <w:t>13.</w:t>
        <w:tab/>
        <w:t>Potential claims by Plaintiffs Adrienne Bernard and Roberta Bernard resulting from rupture of the A/S Line.</w:t>
      </w:r>
    </w:p>
    <w:p>
      <w:pPr>
        <w:pStyle w:val="Normal"/>
        <w:ind w:hanging="720" w:start="1440" w:end="0"/>
        <w:jc w:val="both"/>
        <w:rPr/>
      </w:pPr>
      <w:r>
        <w:rPr/>
      </w:r>
    </w:p>
    <w:p>
      <w:pPr>
        <w:pStyle w:val="Normal"/>
        <w:ind w:hanging="720" w:start="1440" w:end="0"/>
        <w:jc w:val="both"/>
        <w:rPr/>
      </w:pPr>
      <w:r>
        <w:rPr/>
        <w:t>14.</w:t>
        <w:tab/>
        <w:t xml:space="preserve">No. 2001-17636 </w:t>
      </w:r>
      <w:r>
        <w:rPr>
          <w:u w:val="single"/>
        </w:rPr>
        <w:t>Houston Pipe Line Company v. Coastline Resources, Inc.</w:t>
      </w:r>
      <w:r>
        <w:rPr/>
        <w:t>; in the 125</w:t>
      </w:r>
      <w:r>
        <w:rPr>
          <w:vertAlign w:val="superscript"/>
        </w:rPr>
        <w:t>th</w:t>
      </w:r>
      <w:r>
        <w:rPr/>
        <w:t xml:space="preserve"> Judicial District Court of Harris County, Texas; HPL has filed a declaratory judgment action seeking clarification of its rules and obligations under a construction contract.</w:t>
      </w:r>
    </w:p>
    <w:p>
      <w:pPr>
        <w:pStyle w:val="Normal"/>
        <w:ind w:hanging="720" w:start="1440" w:end="0"/>
        <w:jc w:val="both"/>
        <w:rPr/>
      </w:pPr>
      <w:r>
        <w:rPr/>
      </w:r>
    </w:p>
    <w:p>
      <w:pPr>
        <w:pStyle w:val="Normal"/>
        <w:ind w:hanging="720" w:start="1440" w:end="0"/>
        <w:jc w:val="both"/>
        <w:rPr/>
      </w:pPr>
      <w:r>
        <w:rPr/>
        <w:t>15.</w:t>
        <w:tab/>
        <w:t xml:space="preserve">Cause No. ________; </w:t>
      </w:r>
      <w:r>
        <w:rPr>
          <w:u w:val="single"/>
        </w:rPr>
        <w:t>Coastline Resources, Inc. v. Houston Pipe Line Company</w:t>
      </w:r>
      <w:r>
        <w:rPr/>
        <w:t>; In the 105</w:t>
      </w:r>
      <w:r>
        <w:rPr>
          <w:vertAlign w:val="superscript"/>
        </w:rPr>
        <w:t>th</w:t>
      </w:r>
      <w:r>
        <w:rPr/>
        <w:t xml:space="preserve"> Judicial District Court of Kleberg County, Texas.  In response to the lawsuit filed by HPL identified in No. 17 above, Coastline has filed a lawsuit against HPL for breach of contract on a quantum merit.  The lawsuit also seeks to foreclose on a mechanic’s lien in Kleberg County.  Coastline has also filed mechanic’s liens in two other Texas counties.</w:t>
      </w:r>
    </w:p>
    <w:p>
      <w:pPr>
        <w:pStyle w:val="Normal"/>
        <w:ind w:hanging="720" w:start="1440" w:end="0"/>
        <w:jc w:val="both"/>
        <w:rPr/>
      </w:pPr>
      <w:r>
        <w:rPr/>
      </w:r>
    </w:p>
    <w:p>
      <w:pPr>
        <w:pStyle w:val="Normal"/>
        <w:ind w:hanging="720" w:start="1440" w:end="0"/>
        <w:jc w:val="both"/>
        <w:rPr/>
      </w:pPr>
      <w:r>
        <w:rPr/>
        <w:t>16.</w:t>
        <w:tab/>
        <w:t>Claims by numerous subcontractors of Coastline, for which no suit has been filed, relating to disputes over sums owed for services rendered to HPL by Coastline.  HPL has filed a declaratory judgment suit relating to this matter (see above).</w:t>
      </w:r>
    </w:p>
    <w:p>
      <w:pPr>
        <w:pStyle w:val="Normal"/>
        <w:ind w:hanging="720" w:start="1440" w:end="0"/>
        <w:jc w:val="both"/>
        <w:rPr/>
      </w:pPr>
      <w:r>
        <w:rPr/>
      </w:r>
    </w:p>
    <w:p>
      <w:pPr>
        <w:pStyle w:val="Normal"/>
        <w:ind w:hanging="720" w:start="1440" w:end="0"/>
        <w:jc w:val="both"/>
        <w:rPr/>
      </w:pPr>
      <w:r>
        <w:rPr/>
        <w:t>17.</w:t>
        <w:tab/>
        <w:t xml:space="preserve">No. 00-78-55070-B </w:t>
      </w:r>
      <w:r>
        <w:rPr>
          <w:u w:val="single"/>
        </w:rPr>
        <w:t>Robert W. Ray, Jr., et al. v. Armstrong World Industries Inc. (successor to Armstrong Cab Company) et al.</w:t>
      </w:r>
      <w:r>
        <w:rPr/>
        <w:t>; In the 135</w:t>
      </w:r>
      <w:r>
        <w:rPr>
          <w:vertAlign w:val="superscript"/>
        </w:rPr>
        <w:t>th</w:t>
      </w:r>
      <w:r>
        <w:rPr/>
        <w:t xml:space="preserve"> Judicial District Court, Victoria, Texas; Asbestos related personal injury case against HPL and numerous other defendants.</w:t>
      </w:r>
    </w:p>
    <w:p>
      <w:pPr>
        <w:pStyle w:val="Normal"/>
        <w:ind w:hanging="720" w:start="1440" w:end="0"/>
        <w:jc w:val="both"/>
        <w:rPr/>
      </w:pPr>
      <w:r>
        <w:rPr/>
      </w:r>
    </w:p>
    <w:p>
      <w:pPr>
        <w:pStyle w:val="BodyTextIndent"/>
        <w:ind w:hanging="720" w:start="1440" w:end="0"/>
        <w:rPr/>
      </w:pPr>
      <w:r>
        <w:rPr/>
        <w:t>18.</w:t>
        <w:tab/>
        <w:t>Dispute with Upstream Energy Services Co., L.L.C. relating to overpayment by HPLR for volumes not received during period of time in which Enron Oil and Gas was operator of the subject wells.  Claim is for $238,508.61.</w:t>
      </w:r>
    </w:p>
    <w:p>
      <w:pPr>
        <w:pStyle w:val="BodyTextIndent"/>
        <w:ind w:hanging="720" w:start="1440" w:end="0"/>
        <w:rPr/>
      </w:pPr>
      <w:r>
        <w:rPr/>
      </w:r>
    </w:p>
    <w:p>
      <w:pPr>
        <w:pStyle w:val="BodyTextIndent"/>
        <w:ind w:hanging="720" w:start="1440" w:end="0"/>
        <w:rPr/>
      </w:pPr>
      <w:r>
        <w:rPr/>
        <w:t>19.</w:t>
        <w:tab/>
        <w:t xml:space="preserve">Cause No. 200001556; </w:t>
      </w:r>
      <w:r>
        <w:rPr>
          <w:u w:val="single"/>
        </w:rPr>
        <w:t>Paul Rodriguez v. Genuine Auto Parts Company d/b/a Napa Distribution Center and Jared Clayton Donahue</w:t>
      </w:r>
      <w:r>
        <w:rPr/>
        <w:t>, In the 234</w:t>
      </w:r>
      <w:r>
        <w:rPr>
          <w:vertAlign w:val="superscript"/>
        </w:rPr>
        <w:t>th</w:t>
      </w:r>
      <w:r>
        <w:rPr/>
        <w:t xml:space="preserve"> District Court, Harris County, Texas.  HPL was brought into this lawsuit on 1/31/01 as a third party defendant, by defendant Donahue.  This case involves a car accident that occurred in August 1998.  Plaintiff Rodriguez was an injured passenger (operated knee injury) in a vehicle that was hit by a vehicle driven by Donahue, while in the course of his employment for Genuine Auto Parts.  Donahue claims that the accident was caused by an HPL construction project being conducted on FM 1960 W at the time of the accident.  HPL made demand for defense and indemnity to its general contractor on the project, Southwest Contractors, Inc. d/b/a Bowman Pipeline Contractor.  Defense and indemnity was accepted by Southwest and its insurer, St. Paul’s.  Thus, HPL has no exposure, except the credit risk of Southwest and St. Paul’s.</w:t>
      </w:r>
    </w:p>
    <w:p>
      <w:pPr>
        <w:pStyle w:val="Normal"/>
        <w:jc w:val="both"/>
        <w:rPr/>
      </w:pPr>
      <w:r>
        <w:rPr/>
      </w:r>
    </w:p>
    <w:p>
      <w:pPr>
        <w:pStyle w:val="BodyTextIndent"/>
        <w:ind w:hanging="720" w:start="1440" w:end="0"/>
        <w:rPr/>
      </w:pPr>
      <w:r>
        <w:rPr>
          <w:b/>
          <w:bCs/>
          <w:u w:val="double"/>
        </w:rPr>
        <w:t xml:space="preserve">20. </w:t>
      </w:r>
      <w:r>
        <w:rPr/>
        <w:tab/>
      </w:r>
      <w:r>
        <w:rPr>
          <w:b/>
          <w:bCs/>
          <w:u w:val="double"/>
        </w:rPr>
        <w:t>HPL Claims against Adonis Energy Corporation, Michael Newsome, Reliant Energy and Central Power &amp; Light Company (not yet filed).  HPL is owed a total of $528,775.00 under certain gas sales contracts with Adonis Energy.   The gas sales were made to Adonis, for resale to other entities, including Reliant and CP&amp;L.  Reliant and CP&amp;L had executed direct pay agreements with Enron Capital &amp; Trade Resources Corp., pursuant to which they were to have paid directly for natural gas sales and deliveries, rather than paying Adonis.  Reliant and CP&amp;L paid Adonis and HPL seeks to recover those sums and may intervene in litigation filed by El Paso Energy Company against Adonis.</w:t>
      </w:r>
    </w:p>
    <w:p>
      <w:pPr>
        <w:pStyle w:val="Normal"/>
        <w:jc w:val="both"/>
        <w:rPr>
          <w:b/>
          <w:bCs/>
          <w:u w:val="double"/>
        </w:rPr>
      </w:pPr>
      <w:r>
        <w:rPr/>
        <w:tab/>
      </w:r>
    </w:p>
    <w:p>
      <w:pPr>
        <w:pStyle w:val="BodyTextIndent"/>
        <w:ind w:hanging="720" w:start="1440" w:end="0"/>
        <w:rPr/>
      </w:pPr>
      <w:r>
        <w:rPr>
          <w:b/>
          <w:bCs/>
          <w:u w:val="double"/>
        </w:rPr>
        <w:t>21.</w:t>
      </w:r>
      <w:r>
        <w:rPr/>
        <w:tab/>
      </w:r>
      <w:r>
        <w:rPr>
          <w:b/>
          <w:bCs/>
          <w:u w:val="double"/>
        </w:rPr>
        <w:t>NO. 2001-21283;Earnestine Neptune v. Charles Thompson, Enron Corp. and Enron Corp. d/b/a Houston Pipeline Company;In the 333</w:t>
      </w:r>
      <w:r>
        <w:rPr>
          <w:b/>
          <w:bCs/>
          <w:u w:val="double"/>
          <w:vertAlign w:val="superscript"/>
        </w:rPr>
        <w:t>rd</w:t>
      </w:r>
      <w:r>
        <w:rPr/>
        <w:t xml:space="preserve"> </w:t>
      </w:r>
      <w:r>
        <w:rPr>
          <w:b/>
          <w:bCs/>
          <w:u w:val="double"/>
        </w:rPr>
        <w:t>District Court of Harris County, Texas; Lawsuit filed on May 7, 2001 and is a car wreck/negligence case claiming neck and back injuries as a result of being hit by a car driven by Charles Thompson in the course and scope of his employment for Enron/HPL.</w:t>
      </w:r>
    </w:p>
    <w:p>
      <w:pPr>
        <w:pStyle w:val="Normal"/>
        <w:ind w:hanging="720" w:start="720" w:end="0"/>
        <w:jc w:val="both"/>
        <w:rPr/>
      </w:pPr>
      <w:r>
        <w:rPr/>
      </w:r>
    </w:p>
    <w:p>
      <w:pPr>
        <w:pStyle w:val="Normal"/>
        <w:ind w:hanging="720" w:start="720" w:end="0"/>
        <w:jc w:val="both"/>
        <w:rPr/>
      </w:pPr>
      <w:r>
        <w:rPr/>
        <w:t>B.</w:t>
        <w:tab/>
        <w:t xml:space="preserve">LITIGATION PENDING OR THREATENED AGAINST OR INVOLVING THE ACQUIRED COMPANIES THAT WILL </w:t>
      </w:r>
      <w:r>
        <w:rPr>
          <w:u w:val="single"/>
        </w:rPr>
        <w:t>NOT</w:t>
      </w:r>
      <w:r>
        <w:rPr/>
        <w:t xml:space="preserve"> BE RETAINED BY SELLER</w:t>
      </w:r>
    </w:p>
    <w:p>
      <w:pPr>
        <w:pStyle w:val="Normal"/>
        <w:ind w:hanging="720" w:start="720" w:end="0"/>
        <w:jc w:val="both"/>
        <w:rPr/>
      </w:pPr>
      <w:r>
        <w:rPr/>
      </w:r>
    </w:p>
    <w:p>
      <w:pPr>
        <w:pStyle w:val="BodyTextIndent"/>
        <w:ind w:hanging="720" w:start="1440" w:end="0"/>
        <w:rPr/>
      </w:pPr>
      <w:r>
        <w:rPr/>
        <w:t>1.</w:t>
        <w:tab/>
        <w:t xml:space="preserve">No. 13634BH00; </w:t>
      </w:r>
      <w:r>
        <w:rPr>
          <w:u w:val="single"/>
        </w:rPr>
        <w:t xml:space="preserve">HPL v. BP Amoco Chemical Company; </w:t>
      </w:r>
      <w:r>
        <w:rPr/>
        <w:t>In the 23</w:t>
      </w:r>
      <w:r>
        <w:rPr>
          <w:vertAlign w:val="superscript"/>
        </w:rPr>
        <w:t>rd</w:t>
      </w:r>
      <w:r>
        <w:rPr/>
        <w:t xml:space="preserve"> Judicial District Court of Brazoria County, Texas; HPL filed suit against BP Amoco Chemical Company for construction of an easement and a declaration that HPL is entitled to lay and operate a new pipeline in accordance with the terms of an existing easement agreement.</w:t>
      </w:r>
    </w:p>
    <w:p>
      <w:pPr>
        <w:pStyle w:val="Normal"/>
        <w:ind w:hanging="720" w:start="1440" w:end="0"/>
        <w:jc w:val="both"/>
        <w:rPr/>
      </w:pPr>
      <w:r>
        <w:rPr/>
      </w:r>
    </w:p>
    <w:p>
      <w:pPr>
        <w:pStyle w:val="BodyTextIndent"/>
        <w:ind w:hanging="720" w:start="1440" w:end="0"/>
        <w:rPr/>
      </w:pPr>
      <w:r>
        <w:rPr/>
        <w:t>2.</w:t>
        <w:tab/>
        <w:t xml:space="preserve">No. 32,305-99-8; </w:t>
      </w:r>
      <w:r>
        <w:rPr>
          <w:u w:val="single"/>
        </w:rPr>
        <w:t>Ralph Nerren v. Thomas Arthur Wallace, II, Beverly A. Wallace and HPL</w:t>
      </w:r>
      <w:r>
        <w:rPr/>
        <w:t>; In the District Court of Angelina County, Texas; Plaintiffs have filed suit seeking an easement and/or right-of-way.  (Settlement documents are circulating – no payment is due from HPL.)</w:t>
      </w:r>
    </w:p>
    <w:p>
      <w:pPr>
        <w:pStyle w:val="Normal"/>
        <w:ind w:hanging="720" w:start="1440" w:end="0"/>
        <w:jc w:val="both"/>
        <w:rPr/>
      </w:pPr>
      <w:r>
        <w:rPr/>
      </w:r>
    </w:p>
    <w:p>
      <w:pPr>
        <w:pStyle w:val="BodyTextIndent"/>
        <w:ind w:hanging="720" w:start="1440" w:end="0"/>
        <w:rPr/>
      </w:pPr>
      <w:r>
        <w:rPr/>
        <w:t>3.</w:t>
        <w:tab/>
        <w:t xml:space="preserve">No. 18378; </w:t>
      </w:r>
      <w:r>
        <w:rPr>
          <w:u w:val="single"/>
        </w:rPr>
        <w:t>HPL v. Kinney Fitzgerald, et al</w:t>
      </w:r>
      <w:r>
        <w:rPr/>
        <w:t>; In the 253</w:t>
      </w:r>
      <w:r>
        <w:rPr>
          <w:vertAlign w:val="superscript"/>
        </w:rPr>
        <w:t>rd</w:t>
      </w:r>
      <w:r>
        <w:rPr/>
        <w:t xml:space="preserve"> Judicial District Court of Chambers County, Texas; Defendants own the fee simple estate where HPL plans to construct a natural gas pipeline.  HPL specifically alleges that it cannot agree and has failed to agree with Defendants on the value of the easement and damages.  Hearing is set for January 24, 2001 and negotiations continue.</w:t>
      </w:r>
    </w:p>
    <w:p>
      <w:pPr>
        <w:pStyle w:val="Normal"/>
        <w:ind w:hanging="720" w:start="1440" w:end="0"/>
        <w:jc w:val="both"/>
        <w:rPr/>
      </w:pPr>
      <w:r>
        <w:rPr/>
      </w:r>
    </w:p>
    <w:p>
      <w:pPr>
        <w:pStyle w:val="Normal"/>
        <w:keepNext w:val="true"/>
        <w:tabs>
          <w:tab w:val="clear" w:pos="720"/>
          <w:tab w:val="left" w:pos="1440" w:leader="none"/>
        </w:tabs>
        <w:ind w:hanging="360" w:start="720" w:end="0"/>
        <w:jc w:val="both"/>
        <w:rPr/>
      </w:pPr>
      <w:r>
        <w:rPr/>
        <w:tab/>
        <w:t>4.</w:t>
        <w:tab/>
        <w:t xml:space="preserve">Mid-Texas eminent domain cases: </w:t>
      </w:r>
    </w:p>
    <w:p>
      <w:pPr>
        <w:pStyle w:val="Normal"/>
        <w:keepNext w:val="true"/>
        <w:ind w:hanging="720" w:start="720" w:end="0"/>
        <w:jc w:val="both"/>
        <w:rPr/>
      </w:pPr>
      <w:r>
        <w:rPr/>
      </w:r>
    </w:p>
    <w:p>
      <w:pPr>
        <w:pStyle w:val="Normal"/>
        <w:numPr>
          <w:ilvl w:val="1"/>
          <w:numId w:val="20"/>
        </w:numPr>
        <w:tabs>
          <w:tab w:val="clear" w:pos="720"/>
        </w:tabs>
        <w:ind w:hanging="540" w:start="1980" w:end="0"/>
        <w:jc w:val="both"/>
        <w:rPr/>
      </w:pPr>
      <w:r>
        <w:rPr/>
        <w:t xml:space="preserve">No. 95-19072; </w:t>
      </w:r>
      <w:r>
        <w:rPr>
          <w:u w:val="single"/>
        </w:rPr>
        <w:t>MidTexas Pipeline Company v. John C. Mercier and W. W. Mercier;</w:t>
      </w:r>
      <w:r>
        <w:rPr/>
        <w:t xml:space="preserve"> In the 25</w:t>
      </w:r>
      <w:r>
        <w:rPr>
          <w:vertAlign w:val="superscript"/>
        </w:rPr>
        <w:t>th</w:t>
      </w:r>
      <w:r>
        <w:rPr/>
        <w:t xml:space="preserve"> Judicial District Court of Gonzales County, Texas </w:t>
      </w:r>
    </w:p>
    <w:p>
      <w:pPr>
        <w:pStyle w:val="Normal"/>
        <w:numPr>
          <w:ilvl w:val="1"/>
          <w:numId w:val="20"/>
        </w:numPr>
        <w:tabs>
          <w:tab w:val="clear" w:pos="720"/>
        </w:tabs>
        <w:ind w:hanging="540" w:start="1980" w:end="0"/>
        <w:jc w:val="both"/>
        <w:rPr/>
      </w:pPr>
      <w:r>
        <w:rPr/>
        <w:t xml:space="preserve">No. 95-18965; </w:t>
      </w:r>
      <w:r>
        <w:rPr>
          <w:u w:val="single"/>
        </w:rPr>
        <w:t xml:space="preserve">MidTexas Pipeline Company v. W. W. Mercier, Betty J. Mercier </w:t>
      </w:r>
      <w:r>
        <w:rPr/>
        <w:t>and</w:t>
      </w:r>
      <w:r>
        <w:rPr>
          <w:u w:val="single"/>
        </w:rPr>
        <w:t xml:space="preserve"> Yoakum Federal Savings and Loan Association</w:t>
      </w:r>
      <w:r>
        <w:rPr/>
        <w:t>; In the 25</w:t>
      </w:r>
      <w:r>
        <w:rPr>
          <w:vertAlign w:val="superscript"/>
        </w:rPr>
        <w:t>th</w:t>
      </w:r>
      <w:r>
        <w:rPr/>
        <w:t xml:space="preserve"> Judicial District Court of Gonzales County, Texas </w:t>
      </w:r>
    </w:p>
    <w:p>
      <w:pPr>
        <w:pStyle w:val="Normal"/>
        <w:numPr>
          <w:ilvl w:val="1"/>
          <w:numId w:val="20"/>
        </w:numPr>
        <w:tabs>
          <w:tab w:val="clear" w:pos="720"/>
        </w:tabs>
        <w:ind w:hanging="540" w:start="1980" w:end="0"/>
        <w:jc w:val="both"/>
        <w:rPr/>
      </w:pPr>
      <w:r>
        <w:rPr/>
        <w:t xml:space="preserve">No. 95-18990; </w:t>
      </w:r>
      <w:r>
        <w:rPr>
          <w:u w:val="single"/>
        </w:rPr>
        <w:t>MidTexas Pipeline Company v. Cusack Ranch Corporation</w:t>
      </w:r>
      <w:r>
        <w:rPr/>
        <w:t>; In the 25</w:t>
      </w:r>
      <w:r>
        <w:rPr>
          <w:vertAlign w:val="superscript"/>
        </w:rPr>
        <w:t>th</w:t>
      </w:r>
      <w:r>
        <w:rPr/>
        <w:t xml:space="preserve"> Judicial District Court of Gonzales County, Texas </w:t>
      </w:r>
    </w:p>
    <w:p>
      <w:pPr>
        <w:pStyle w:val="Normal"/>
        <w:numPr>
          <w:ilvl w:val="1"/>
          <w:numId w:val="20"/>
        </w:numPr>
        <w:tabs>
          <w:tab w:val="clear" w:pos="720"/>
        </w:tabs>
        <w:ind w:hanging="540" w:start="1980" w:end="0"/>
        <w:jc w:val="both"/>
        <w:rPr/>
      </w:pPr>
      <w:r>
        <w:rPr/>
        <w:t xml:space="preserve">No. 95-18982; </w:t>
      </w:r>
      <w:r>
        <w:rPr>
          <w:u w:val="single"/>
        </w:rPr>
        <w:t xml:space="preserve">MidTexas Pipeline Company v. Michael F. Cusack, Trustee of the Michael F. Cusack Special Trust No. One; </w:t>
      </w:r>
      <w:r>
        <w:rPr/>
        <w:t>In the 25</w:t>
      </w:r>
      <w:r>
        <w:rPr>
          <w:vertAlign w:val="superscript"/>
        </w:rPr>
        <w:t>th</w:t>
      </w:r>
      <w:r>
        <w:rPr/>
        <w:t xml:space="preserve"> Judicial District Court of Gonzales County, Texas  </w:t>
      </w:r>
    </w:p>
    <w:p>
      <w:pPr>
        <w:pStyle w:val="Normal"/>
        <w:numPr>
          <w:ilvl w:val="1"/>
          <w:numId w:val="20"/>
        </w:numPr>
        <w:tabs>
          <w:tab w:val="clear" w:pos="720"/>
        </w:tabs>
        <w:ind w:hanging="540" w:start="1980" w:end="0"/>
        <w:jc w:val="both"/>
        <w:rPr/>
      </w:pPr>
      <w:r>
        <w:rPr/>
        <w:t xml:space="preserve">No. </w:t>
      </w:r>
      <w:r>
        <w:rPr>
          <w:u w:val="single"/>
        </w:rPr>
        <w:t>18396</w:t>
      </w:r>
      <w:r>
        <w:rPr/>
        <w:t xml:space="preserve">; </w:t>
      </w:r>
      <w:r>
        <w:rPr>
          <w:u w:val="single"/>
        </w:rPr>
        <w:t>MidTexas Pipeline Company vs. Walter Roy Wright, Jr. and Robbie V. Wright;</w:t>
      </w:r>
      <w:r>
        <w:rPr/>
        <w:t xml:space="preserve"> In the 25</w:t>
      </w:r>
      <w:r>
        <w:rPr>
          <w:vertAlign w:val="superscript"/>
        </w:rPr>
        <w:t>th</w:t>
      </w:r>
      <w:r>
        <w:rPr/>
        <w:t xml:space="preserve"> Judicial District Court of Colorado County, Texas </w:t>
      </w:r>
    </w:p>
    <w:p>
      <w:pPr>
        <w:pStyle w:val="Normal"/>
        <w:numPr>
          <w:ilvl w:val="1"/>
          <w:numId w:val="20"/>
        </w:numPr>
        <w:tabs>
          <w:tab w:val="clear" w:pos="720"/>
        </w:tabs>
        <w:ind w:hanging="540" w:start="1980" w:end="0"/>
        <w:jc w:val="both"/>
        <w:rPr/>
      </w:pPr>
      <w:r>
        <w:rPr/>
        <w:t xml:space="preserve">No. 18398; </w:t>
      </w:r>
      <w:r>
        <w:rPr>
          <w:u w:val="single"/>
        </w:rPr>
        <w:t>MidTexas Pipeline Company vs. Walter Roy Wright, III;</w:t>
      </w:r>
      <w:r>
        <w:rPr/>
        <w:t xml:space="preserve"> In the </w:t>
      </w:r>
      <w:r>
        <w:rPr>
          <w:u w:val="single"/>
        </w:rPr>
        <w:t>25</w:t>
      </w:r>
      <w:r>
        <w:rPr>
          <w:u w:val="single"/>
          <w:vertAlign w:val="superscript"/>
        </w:rPr>
        <w:t>th</w:t>
      </w:r>
      <w:r>
        <w:rPr/>
        <w:t xml:space="preserve"> Judicial District Court of Colorado County, Texas </w:t>
      </w:r>
    </w:p>
    <w:p>
      <w:pPr>
        <w:pStyle w:val="Normal"/>
        <w:numPr>
          <w:ilvl w:val="1"/>
          <w:numId w:val="20"/>
        </w:numPr>
        <w:tabs>
          <w:tab w:val="clear" w:pos="720"/>
        </w:tabs>
        <w:ind w:hanging="540" w:start="1980" w:end="0"/>
        <w:jc w:val="both"/>
        <w:rPr/>
      </w:pPr>
      <w:r>
        <w:rPr/>
        <w:t xml:space="preserve">No. 18395; </w:t>
      </w:r>
      <w:r>
        <w:rPr>
          <w:u w:val="single"/>
        </w:rPr>
        <w:t xml:space="preserve">MidTexas Pipeline Company vs. Wilbert O. Dernehl, Jr. and The First </w:t>
      </w:r>
      <w:r>
        <w:rPr/>
        <w:t>National</w:t>
      </w:r>
      <w:r>
        <w:rPr>
          <w:u w:val="single"/>
        </w:rPr>
        <w:t xml:space="preserve"> Bank of Bellville;</w:t>
      </w:r>
      <w:r>
        <w:rPr/>
        <w:t xml:space="preserve"> In the 25</w:t>
      </w:r>
      <w:r>
        <w:rPr>
          <w:vertAlign w:val="superscript"/>
        </w:rPr>
        <w:t>th</w:t>
      </w:r>
      <w:r>
        <w:rPr/>
        <w:t xml:space="preserve"> Judicial District Court of Colorado County, Texas</w:t>
      </w:r>
    </w:p>
    <w:p>
      <w:pPr>
        <w:pStyle w:val="Normal"/>
        <w:ind w:hanging="720" w:start="720" w:end="0"/>
        <w:jc w:val="both"/>
        <w:rPr/>
      </w:pPr>
      <w:r>
        <w:rPr/>
      </w:r>
    </w:p>
    <w:p>
      <w:pPr>
        <w:pStyle w:val="Normal"/>
        <w:ind w:hanging="720" w:start="1440" w:end="0"/>
        <w:jc w:val="both"/>
        <w:rPr/>
      </w:pPr>
      <w:r>
        <w:rPr/>
        <w:t>5.</w:t>
        <w:tab/>
        <w:t xml:space="preserve">Case No. 4828; </w:t>
      </w:r>
      <w:r>
        <w:rPr>
          <w:u w:val="single"/>
        </w:rPr>
        <w:t>Zapata County and Zapata County Independent School District v. Ms. Rosalva Guerra, in her official capacity as Zapata County Chief Appraiser, et al. (including HPL)</w:t>
      </w:r>
      <w:r>
        <w:rPr/>
        <w:t xml:space="preserve">; In the 48th Judicial District Court, Zapata County, Texas.  Taxing authorities have sued tax appraiser and various pipeline owners, drilling companies, and producers claiming that tax appraiser has undervalued tangible personal property, including pipelines, compressors, drilling equipment and gathering lines within county to the detriment of taxing authorities.  Relief sought for tax years 1998, 1999 and 2000.  Unspecified amount of damages sought, as well as request for reappraisal of values on tax rolls.  HPL answered 11/08/00 with general denial and specific denial of authorities’ right to look back beyond current tax year to contest appraisals.  Discovery recently served on HPL with responses due 1/15/01.  (Note: Claims for Taxes allegedly due for periods prior to the Closing Date are covered by Seller’s obligations under Section 7.8(b)(vi) and Article 11 of the Purchase and Sale Agreement.  In addition, Seller must approve of any settlement agreement in such case pursuant to Article 11 of the Purchase and Sale Agreement.)  </w:t>
      </w:r>
    </w:p>
    <w:p>
      <w:pPr>
        <w:pStyle w:val="Normal"/>
        <w:ind w:hanging="720" w:start="1440" w:end="0"/>
        <w:jc w:val="both"/>
        <w:rPr/>
      </w:pPr>
      <w:r>
        <w:rPr/>
      </w:r>
    </w:p>
    <w:p>
      <w:pPr>
        <w:pStyle w:val="Normal"/>
        <w:ind w:hanging="720" w:start="1440" w:end="0"/>
        <w:jc w:val="both"/>
        <w:rPr/>
      </w:pPr>
      <w:r>
        <w:rPr/>
        <w:t>6.</w:t>
        <w:tab/>
        <w:t xml:space="preserve">Case No. 2000CVQ000819D2; </w:t>
      </w:r>
      <w:r>
        <w:rPr>
          <w:u w:val="single"/>
        </w:rPr>
        <w:t>Webb County, et al., v. Mr. Sergio Delgado in his capacity as Chief Appraiser for Webb County, et al. (including HPL)</w:t>
      </w:r>
      <w:r>
        <w:rPr/>
        <w:t xml:space="preserve">; In the 49th Judicial District Court, Webb County, Texas.  Companion case to Zapata County case—same allegations.  HPL filed answer on 10/19/00.  Discovery recently served and due 1/15/01.  (Note: Claims for Taxes allegedly due for periods prior to the Closing Date are covered by Seller’s obligations under Section 7.8(b)(vi) and Article 11 of the Purchase and Sale Agreement.  In addition, Seller must approve of any settlement agreement in such case pursuant to Article 11 of the Purchase and Sale Agreement.)  </w:t>
      </w:r>
    </w:p>
    <w:p>
      <w:pPr>
        <w:pStyle w:val="Normal"/>
        <w:ind w:hanging="720" w:start="720" w:end="0"/>
        <w:jc w:val="both"/>
        <w:rPr/>
      </w:pPr>
      <w:r>
        <w:rPr/>
      </w:r>
    </w:p>
    <w:p>
      <w:pPr>
        <w:pStyle w:val="Normal"/>
        <w:jc w:val="center"/>
        <w:rPr/>
      </w:pPr>
      <w:r>
        <w:rPr/>
        <w:t>PURCHASE AND SALE AGREEMENT</w:t>
      </w:r>
    </w:p>
    <w:p>
      <w:pPr>
        <w:pStyle w:val="Normal"/>
        <w:jc w:val="center"/>
        <w:rPr/>
      </w:pPr>
      <w:r>
        <w:rPr/>
      </w:r>
    </w:p>
    <w:p>
      <w:pPr>
        <w:pStyle w:val="Normal"/>
        <w:jc w:val="center"/>
        <w:rPr/>
      </w:pPr>
      <w:r>
        <w:rPr/>
        <w:t>Schedule 4.12(a)(i)</w:t>
      </w:r>
    </w:p>
    <w:p>
      <w:pPr>
        <w:pStyle w:val="Normal"/>
        <w:jc w:val="center"/>
        <w:rPr/>
      </w:pPr>
      <w:r>
        <w:rPr/>
        <w:t>Title</w:t>
      </w:r>
    </w:p>
    <w:p>
      <w:pPr>
        <w:pStyle w:val="Normal"/>
        <w:jc w:val="center"/>
        <w:rPr/>
      </w:pPr>
      <w:r>
        <w:rPr/>
      </w:r>
    </w:p>
    <w:p>
      <w:pPr>
        <w:pStyle w:val="Normal"/>
        <w:jc w:val="both"/>
        <w:rPr/>
      </w:pPr>
      <w:r>
        <w:rPr/>
      </w:r>
    </w:p>
    <w:p>
      <w:pPr>
        <w:pStyle w:val="Normal"/>
        <w:numPr>
          <w:ilvl w:val="0"/>
          <w:numId w:val="5"/>
        </w:numPr>
        <w:jc w:val="both"/>
        <w:rPr/>
      </w:pPr>
      <w:r>
        <w:rPr/>
        <w:t>The Excluded Assets will be transferred or assigned by HPL to Seller or one or more affiliates of Seller (or, with respect to certain subsidiaries associated with certain monetizations that will be unwound, dissolved) after the Balance Sheet Date and prior to Closing.</w:t>
      </w:r>
    </w:p>
    <w:p>
      <w:pPr>
        <w:pStyle w:val="Normal"/>
        <w:jc w:val="both"/>
        <w:rPr/>
      </w:pPr>
      <w:r>
        <w:rPr/>
      </w:r>
    </w:p>
    <w:p>
      <w:pPr>
        <w:pStyle w:val="Normal"/>
        <w:numPr>
          <w:ilvl w:val="0"/>
          <w:numId w:val="5"/>
        </w:numPr>
        <w:jc w:val="both"/>
        <w:rPr/>
      </w:pPr>
      <w:r>
        <w:rPr/>
        <w:t>Lien on HPL’s capacity to direct the contracting of the “HPL Capacity” (as defined in the MTP Partnership Agreement (defined below)) under, and in accordance with, Section 7.02(c) of that certain Amended and Restated General Partnership Agreement of MidTexas Pipeline Company, dated as of August 19, 1994, between the Debtor and PG&amp;E Gas Transmission Teco, Inc., as amended by the Amendment to General Partnership Agreement, dated June 30, 1998 (the “MTP Partnership Agreement”).</w:t>
      </w:r>
    </w:p>
    <w:p>
      <w:pPr>
        <w:pStyle w:val="Normal"/>
        <w:ind w:start="720" w:end="0"/>
        <w:jc w:val="both"/>
        <w:rPr/>
      </w:pPr>
      <w:r>
        <w:rPr/>
        <w:t>(This lien will be released in connection with the unwind of the MidTexas monetization.)</w:t>
      </w:r>
    </w:p>
    <w:p>
      <w:pPr>
        <w:pStyle w:val="Normal"/>
        <w:ind w:start="720" w:end="0"/>
        <w:jc w:val="both"/>
        <w:rPr/>
      </w:pPr>
      <w:r>
        <w:rPr/>
      </w:r>
    </w:p>
    <w:p>
      <w:pPr>
        <w:pStyle w:val="Normal"/>
        <w:numPr>
          <w:ilvl w:val="0"/>
          <w:numId w:val="5"/>
        </w:numPr>
        <w:jc w:val="both"/>
        <w:rPr/>
      </w:pPr>
      <w:r>
        <w:rPr/>
        <w:t xml:space="preserve">Liens on accounts receivables and certain related assets of HPL and HPL Resources Company related to accounts receivable financings. </w:t>
      </w:r>
    </w:p>
    <w:p>
      <w:pPr>
        <w:pStyle w:val="Normal"/>
        <w:ind w:start="720" w:end="0"/>
        <w:jc w:val="both"/>
        <w:rPr/>
      </w:pPr>
      <w:r>
        <w:rPr/>
        <w:t>(These liens will be released prior to Closing.)</w:t>
      </w:r>
    </w:p>
    <w:p>
      <w:pPr>
        <w:pStyle w:val="Normal"/>
        <w:jc w:val="both"/>
        <w:rPr/>
      </w:pPr>
      <w:r>
        <w:rPr/>
        <w:tab/>
      </w:r>
    </w:p>
    <w:p>
      <w:pPr>
        <w:pStyle w:val="Normal"/>
        <w:jc w:val="both"/>
        <w:rPr/>
      </w:pPr>
      <w:r>
        <w:rPr/>
      </w:r>
    </w:p>
    <w:p>
      <w:pPr>
        <w:pStyle w:val="Normal"/>
        <w:numPr>
          <w:ilvl w:val="0"/>
          <w:numId w:val="5"/>
        </w:numPr>
        <w:rPr>
          <w:color w:val="FF0000"/>
        </w:rPr>
      </w:pPr>
      <w:r>
        <w:rPr>
          <w:color w:val="FF0000"/>
        </w:rPr>
        <w:t>The following Mechanic’s and Materialman’s Liens were filed by Coastline Resources, Inc.against Houston Pipe Line Company:</w:t>
      </w:r>
    </w:p>
    <w:p>
      <w:pPr>
        <w:pStyle w:val="Normal"/>
        <w:rPr>
          <w:color w:val="FF0000"/>
        </w:rPr>
      </w:pPr>
      <w:r>
        <w:rPr>
          <w:color w:val="FF0000"/>
        </w:rPr>
      </w:r>
    </w:p>
    <w:p>
      <w:pPr>
        <w:pStyle w:val="Normal"/>
        <w:rPr>
          <w:color w:val="FF0000"/>
        </w:rPr>
      </w:pPr>
      <w:r>
        <w:rPr>
          <w:color w:val="FF0000"/>
        </w:rPr>
        <w:tab/>
        <w:t>1. Document number 237483 filed in Kleberg County, Texas on April 16, 2001.</w:t>
      </w:r>
    </w:p>
    <w:p>
      <w:pPr>
        <w:pStyle w:val="Normal"/>
        <w:rPr>
          <w:color w:val="FF0000"/>
        </w:rPr>
      </w:pPr>
      <w:r>
        <w:rPr>
          <w:color w:val="FF0000"/>
        </w:rPr>
        <w:tab/>
        <w:t>2. Document number 6756 filed in Kenedy County, Texas on April 16, 2001.</w:t>
      </w:r>
    </w:p>
    <w:p>
      <w:pPr>
        <w:pStyle w:val="Normal"/>
        <w:rPr>
          <w:color w:val="FF0000"/>
        </w:rPr>
      </w:pPr>
      <w:r>
        <w:rPr>
          <w:color w:val="FF0000"/>
        </w:rPr>
        <w:tab/>
        <w:t>3. Document number 284844 filed in Willacy County, Texas on April 16, 2001.</w:t>
      </w:r>
    </w:p>
    <w:p>
      <w:pPr>
        <w:pStyle w:val="Normal"/>
        <w:jc w:val="both"/>
        <w:rPr>
          <w:color w:val="FF0000"/>
        </w:rPr>
      </w:pPr>
      <w:r>
        <w:rPr>
          <w:color w:val="FF0000"/>
        </w:rPr>
      </w:r>
    </w:p>
    <w:p>
      <w:pPr>
        <w:pStyle w:val="Normal"/>
        <w:jc w:val="both"/>
        <w:rPr>
          <w:u w:val="single"/>
        </w:rPr>
      </w:pPr>
      <w:r>
        <w:rPr>
          <w:u w:val="single"/>
        </w:rPr>
        <w:t>Permitted Encumbrances</w:t>
      </w:r>
    </w:p>
    <w:p>
      <w:pPr>
        <w:pStyle w:val="Normal"/>
        <w:jc w:val="both"/>
        <w:rPr/>
      </w:pPr>
      <w:r>
        <w:rPr/>
      </w:r>
    </w:p>
    <w:p>
      <w:pPr>
        <w:pStyle w:val="Normal"/>
        <w:jc w:val="both"/>
        <w:rPr/>
      </w:pPr>
      <w:r>
        <w:rPr/>
        <w:t>Seven Oaks Lateral Pipeline is subject to a Lease and Operating Agreement dated July 1, 1995, as amended by Amendment dated November 1, 1998, which includes the right of the Lessee, Teco Pipeline Company, to purchase a portion of the pipeline upon giving 90 days notice prior to July 1, 2010, the expiration date of the Lease and Operating Agreement.</w:t>
      </w:r>
    </w:p>
    <w:p>
      <w:pPr>
        <w:pStyle w:val="Normal"/>
        <w:jc w:val="center"/>
        <w:rPr/>
      </w:pPr>
      <w:r>
        <w:rPr/>
        <w:t>PURCHASE AND SALE AGREEMENT</w:t>
      </w:r>
    </w:p>
    <w:p>
      <w:pPr>
        <w:pStyle w:val="Normal"/>
        <w:jc w:val="center"/>
        <w:rPr/>
      </w:pPr>
      <w:r>
        <w:rPr/>
      </w:r>
    </w:p>
    <w:p>
      <w:pPr>
        <w:pStyle w:val="Normal"/>
        <w:jc w:val="center"/>
        <w:rPr/>
      </w:pPr>
      <w:r>
        <w:rPr/>
        <w:t>Schedule 4.12(a)(ii)</w:t>
      </w:r>
    </w:p>
    <w:p>
      <w:pPr>
        <w:pStyle w:val="Normal"/>
        <w:jc w:val="center"/>
        <w:rPr/>
      </w:pPr>
      <w:r>
        <w:rPr/>
        <w:t>Major Assets</w:t>
      </w:r>
    </w:p>
    <w:p>
      <w:pPr>
        <w:pStyle w:val="Normal"/>
        <w:jc w:val="both"/>
        <w:rPr/>
      </w:pPr>
      <w:r>
        <w:rPr/>
      </w:r>
    </w:p>
    <w:p>
      <w:pPr>
        <w:pStyle w:val="Normal"/>
        <w:jc w:val="both"/>
        <w:rPr/>
      </w:pPr>
      <w:r>
        <w:rPr/>
        <w:t>The following facilities, including valves, dehydrators, meters, regulators, and other pipeline equipment associated therewith:</w:t>
      </w:r>
    </w:p>
    <w:p>
      <w:pPr>
        <w:pStyle w:val="Normal"/>
        <w:jc w:val="both"/>
        <w:rPr/>
      </w:pPr>
      <w:r>
        <w:rPr/>
      </w:r>
    </w:p>
    <w:p>
      <w:pPr>
        <w:pStyle w:val="Normal"/>
        <w:jc w:val="center"/>
        <w:rPr>
          <w:b/>
          <w:bCs/>
        </w:rPr>
      </w:pPr>
      <w:r>
        <w:rPr>
          <w:b/>
          <w:bCs/>
        </w:rPr>
        <w:t>Gathering and Processing Assets</w:t>
      </w:r>
    </w:p>
    <w:p>
      <w:pPr>
        <w:pStyle w:val="Normal"/>
        <w:jc w:val="center"/>
        <w:rPr>
          <w:b/>
          <w:bCs/>
        </w:rPr>
      </w:pPr>
      <w:r>
        <w:rPr>
          <w:b/>
          <w:bCs/>
        </w:rPr>
      </w:r>
    </w:p>
    <w:tbl>
      <w:tblPr>
        <w:tblW w:w="8292" w:type="dxa"/>
        <w:jc w:val="start"/>
        <w:tblInd w:w="0" w:type="dxa"/>
        <w:tblLayout w:type="fixed"/>
        <w:tblCellMar>
          <w:top w:w="0" w:type="dxa"/>
          <w:start w:w="108" w:type="dxa"/>
          <w:bottom w:w="0" w:type="dxa"/>
          <w:end w:w="108" w:type="dxa"/>
        </w:tblCellMar>
      </w:tblPr>
      <w:tblGrid>
        <w:gridCol w:w="4158"/>
        <w:gridCol w:w="990"/>
        <w:gridCol w:w="1416"/>
        <w:gridCol w:w="114"/>
        <w:gridCol w:w="1614"/>
      </w:tblGrid>
      <w:tr>
        <w:trPr/>
        <w:tc>
          <w:tcPr>
            <w:tcW w:w="4158" w:type="dxa"/>
            <w:tcBorders>
              <w:bottom w:val="single" w:sz="4" w:space="0" w:color="000000"/>
            </w:tcBorders>
          </w:tcPr>
          <w:p>
            <w:pPr>
              <w:pStyle w:val="Normal"/>
              <w:jc w:val="center"/>
              <w:rPr>
                <w:b/>
                <w:bCs/>
              </w:rPr>
            </w:pPr>
            <w:r>
              <w:rPr>
                <w:b/>
                <w:bCs/>
              </w:rPr>
              <w:t>Description</w:t>
            </w:r>
          </w:p>
        </w:tc>
        <w:tc>
          <w:tcPr>
            <w:tcW w:w="990" w:type="dxa"/>
            <w:tcBorders>
              <w:bottom w:val="single" w:sz="4" w:space="0" w:color="000000"/>
            </w:tcBorders>
          </w:tcPr>
          <w:p>
            <w:pPr>
              <w:pStyle w:val="Normal"/>
              <w:jc w:val="center"/>
              <w:rPr>
                <w:b/>
                <w:bCs/>
              </w:rPr>
            </w:pPr>
            <w:r>
              <w:rPr>
                <w:b/>
                <w:bCs/>
              </w:rPr>
              <w:t>Miles</w:t>
            </w:r>
          </w:p>
        </w:tc>
        <w:tc>
          <w:tcPr>
            <w:tcW w:w="1416" w:type="dxa"/>
            <w:tcBorders>
              <w:bottom w:val="single" w:sz="4" w:space="0" w:color="000000"/>
            </w:tcBorders>
          </w:tcPr>
          <w:p>
            <w:pPr>
              <w:pStyle w:val="Normal"/>
              <w:jc w:val="center"/>
              <w:rPr>
                <w:b/>
                <w:bCs/>
              </w:rPr>
            </w:pPr>
            <w:r>
              <w:rPr>
                <w:b/>
                <w:bCs/>
              </w:rPr>
              <w:t>Diameter</w:t>
            </w:r>
          </w:p>
        </w:tc>
        <w:tc>
          <w:tcPr>
            <w:tcW w:w="1728" w:type="dxa"/>
            <w:gridSpan w:val="2"/>
            <w:tcBorders>
              <w:bottom w:val="single" w:sz="4" w:space="0" w:color="000000"/>
            </w:tcBorders>
          </w:tcPr>
          <w:p>
            <w:pPr>
              <w:pStyle w:val="Normal"/>
              <w:jc w:val="center"/>
              <w:rPr>
                <w:b/>
                <w:bCs/>
              </w:rPr>
            </w:pPr>
            <w:r>
              <w:rPr>
                <w:b/>
                <w:bCs/>
              </w:rPr>
              <w:t>% ownership</w:t>
            </w:r>
          </w:p>
        </w:tc>
      </w:tr>
      <w:tr>
        <w:trPr/>
        <w:tc>
          <w:tcPr>
            <w:tcW w:w="4158" w:type="dxa"/>
            <w:tcBorders>
              <w:top w:val="single" w:sz="4" w:space="0" w:color="000000"/>
            </w:tcBorders>
          </w:tcPr>
          <w:p>
            <w:pPr>
              <w:pStyle w:val="Normal"/>
              <w:snapToGrid w:val="false"/>
              <w:jc w:val="both"/>
              <w:rPr>
                <w:b/>
                <w:bCs/>
              </w:rPr>
            </w:pPr>
            <w:r>
              <w:rPr>
                <w:b/>
                <w:bCs/>
              </w:rPr>
            </w:r>
          </w:p>
          <w:p>
            <w:pPr>
              <w:pStyle w:val="Normal"/>
              <w:jc w:val="both"/>
              <w:rPr/>
            </w:pPr>
            <w:r>
              <w:rPr/>
              <w:t>Zapata Line which runs through Zapata, Webb, and Jim Hogg Counties of Texas.</w:t>
            </w:r>
          </w:p>
        </w:tc>
        <w:tc>
          <w:tcPr>
            <w:tcW w:w="990" w:type="dxa"/>
            <w:tcBorders>
              <w:top w:val="single" w:sz="4" w:space="0" w:color="000000"/>
            </w:tcBorders>
          </w:tcPr>
          <w:p>
            <w:pPr>
              <w:pStyle w:val="Normal"/>
              <w:snapToGrid w:val="false"/>
              <w:jc w:val="center"/>
              <w:rPr/>
            </w:pPr>
            <w:r>
              <w:rPr/>
            </w:r>
          </w:p>
          <w:p>
            <w:pPr>
              <w:pStyle w:val="Normal"/>
              <w:jc w:val="center"/>
              <w:rPr/>
            </w:pPr>
            <w:r>
              <w:rPr/>
              <w:t>25</w:t>
            </w:r>
          </w:p>
          <w:p>
            <w:pPr>
              <w:pStyle w:val="Normal"/>
              <w:jc w:val="center"/>
              <w:rPr/>
            </w:pPr>
            <w:r>
              <w:rPr/>
              <w:t>10</w:t>
            </w:r>
          </w:p>
        </w:tc>
        <w:tc>
          <w:tcPr>
            <w:tcW w:w="1416" w:type="dxa"/>
            <w:tcBorders>
              <w:top w:val="single" w:sz="4" w:space="0" w:color="000000"/>
            </w:tcBorders>
          </w:tcPr>
          <w:p>
            <w:pPr>
              <w:pStyle w:val="Normal"/>
              <w:snapToGrid w:val="false"/>
              <w:jc w:val="center"/>
              <w:rPr/>
            </w:pPr>
            <w:r>
              <w:rPr/>
            </w:r>
          </w:p>
          <w:p>
            <w:pPr>
              <w:pStyle w:val="Normal"/>
              <w:jc w:val="center"/>
              <w:rPr/>
            </w:pPr>
            <w:r>
              <w:rPr/>
              <w:t>12"</w:t>
            </w:r>
          </w:p>
          <w:p>
            <w:pPr>
              <w:pStyle w:val="Normal"/>
              <w:jc w:val="center"/>
              <w:rPr/>
            </w:pPr>
            <w:r>
              <w:rPr/>
              <w:t>10"</w:t>
            </w:r>
          </w:p>
        </w:tc>
        <w:tc>
          <w:tcPr>
            <w:tcW w:w="1728" w:type="dxa"/>
            <w:gridSpan w:val="2"/>
            <w:tcBorders>
              <w:top w:val="single" w:sz="4" w:space="0" w:color="000000"/>
            </w:tcBorders>
          </w:tcPr>
          <w:p>
            <w:pPr>
              <w:pStyle w:val="Normal"/>
              <w:snapToGrid w:val="false"/>
              <w:jc w:val="center"/>
              <w:rPr/>
            </w:pPr>
            <w:r>
              <w:rPr/>
            </w:r>
          </w:p>
          <w:p>
            <w:pPr>
              <w:pStyle w:val="Normal"/>
              <w:jc w:val="center"/>
              <w:rPr/>
            </w:pPr>
            <w:r>
              <w:rPr/>
              <w:t>100%</w:t>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Thompsonville Line located in Webb and Duval Counties of Texas</w:t>
            </w:r>
          </w:p>
        </w:tc>
        <w:tc>
          <w:tcPr>
            <w:tcW w:w="990" w:type="dxa"/>
            <w:tcBorders/>
          </w:tcPr>
          <w:p>
            <w:pPr>
              <w:pStyle w:val="Normal"/>
              <w:snapToGrid w:val="false"/>
              <w:jc w:val="center"/>
              <w:rPr/>
            </w:pPr>
            <w:r>
              <w:rPr/>
            </w:r>
          </w:p>
          <w:p>
            <w:pPr>
              <w:pStyle w:val="Normal"/>
              <w:jc w:val="center"/>
              <w:rPr/>
            </w:pPr>
            <w:r>
              <w:rPr/>
              <w:t>100</w:t>
            </w:r>
          </w:p>
        </w:tc>
        <w:tc>
          <w:tcPr>
            <w:tcW w:w="1416" w:type="dxa"/>
            <w:tcBorders/>
          </w:tcPr>
          <w:p>
            <w:pPr>
              <w:pStyle w:val="Normal"/>
              <w:snapToGrid w:val="false"/>
              <w:jc w:val="center"/>
              <w:rPr/>
            </w:pPr>
            <w:r>
              <w:rPr/>
            </w:r>
          </w:p>
          <w:p>
            <w:pPr>
              <w:pStyle w:val="Normal"/>
              <w:jc w:val="center"/>
              <w:rPr/>
            </w:pPr>
            <w:r>
              <w:rPr/>
              <w:t>12"</w:t>
            </w:r>
          </w:p>
        </w:tc>
        <w:tc>
          <w:tcPr>
            <w:tcW w:w="1728" w:type="dxa"/>
            <w:gridSpan w:val="2"/>
            <w:tcBorders/>
          </w:tcPr>
          <w:p>
            <w:pPr>
              <w:pStyle w:val="Normal"/>
              <w:snapToGrid w:val="false"/>
              <w:jc w:val="center"/>
              <w:rPr/>
            </w:pPr>
            <w:r>
              <w:rPr/>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Edinburg Line located in Hidalgo, Brooks, Jim Wells, and Kleberg Counties of Texas</w:t>
            </w:r>
          </w:p>
        </w:tc>
        <w:tc>
          <w:tcPr>
            <w:tcW w:w="990" w:type="dxa"/>
            <w:tcBorders/>
          </w:tcPr>
          <w:p>
            <w:pPr>
              <w:pStyle w:val="Normal"/>
              <w:snapToGrid w:val="false"/>
              <w:jc w:val="center"/>
              <w:rPr/>
            </w:pPr>
            <w:r>
              <w:rPr/>
            </w:r>
          </w:p>
          <w:p>
            <w:pPr>
              <w:pStyle w:val="Normal"/>
              <w:jc w:val="center"/>
              <w:rPr/>
            </w:pPr>
            <w:r>
              <w:rPr/>
              <w:t>80</w:t>
            </w:r>
          </w:p>
          <w:p>
            <w:pPr>
              <w:pStyle w:val="Normal"/>
              <w:jc w:val="center"/>
              <w:rPr/>
            </w:pPr>
            <w:r>
              <w:rPr/>
              <w:t>30</w:t>
            </w:r>
          </w:p>
        </w:tc>
        <w:tc>
          <w:tcPr>
            <w:tcW w:w="1416" w:type="dxa"/>
            <w:tcBorders/>
          </w:tcPr>
          <w:p>
            <w:pPr>
              <w:pStyle w:val="Normal"/>
              <w:snapToGrid w:val="false"/>
              <w:jc w:val="center"/>
              <w:rPr/>
            </w:pPr>
            <w:r>
              <w:rPr/>
            </w:r>
          </w:p>
          <w:p>
            <w:pPr>
              <w:pStyle w:val="Normal"/>
              <w:jc w:val="center"/>
              <w:rPr>
                <w:rFonts w:ascii="Arial" w:hAnsi="Arial" w:cs="Arial"/>
              </w:rPr>
            </w:pPr>
            <w:r>
              <w:rPr/>
              <w:t>24"</w:t>
            </w:r>
          </w:p>
          <w:p>
            <w:pPr>
              <w:pStyle w:val="Normal"/>
              <w:jc w:val="center"/>
              <w:rPr/>
            </w:pPr>
            <w:r>
              <w:rPr/>
              <w:t>16"</w:t>
            </w:r>
          </w:p>
        </w:tc>
        <w:tc>
          <w:tcPr>
            <w:tcW w:w="1728" w:type="dxa"/>
            <w:gridSpan w:val="2"/>
            <w:tcBorders/>
          </w:tcPr>
          <w:p>
            <w:pPr>
              <w:pStyle w:val="Normal"/>
              <w:snapToGrid w:val="false"/>
              <w:jc w:val="center"/>
              <w:rPr/>
            </w:pPr>
            <w:r>
              <w:rPr/>
            </w:r>
          </w:p>
          <w:p>
            <w:pPr>
              <w:pStyle w:val="Normal"/>
              <w:jc w:val="center"/>
              <w:rPr/>
            </w:pPr>
            <w:r>
              <w:rPr/>
              <w:t>100%</w:t>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Big Cowboy Line located in Webb and Duval Counties of Texas</w:t>
            </w:r>
          </w:p>
        </w:tc>
        <w:tc>
          <w:tcPr>
            <w:tcW w:w="990" w:type="dxa"/>
            <w:tcBorders/>
          </w:tcPr>
          <w:p>
            <w:pPr>
              <w:pStyle w:val="Normal"/>
              <w:snapToGrid w:val="false"/>
              <w:jc w:val="center"/>
              <w:rPr/>
            </w:pPr>
            <w:r>
              <w:rPr/>
            </w:r>
          </w:p>
          <w:p>
            <w:pPr>
              <w:pStyle w:val="Normal"/>
              <w:jc w:val="center"/>
              <w:rPr/>
            </w:pPr>
            <w:r>
              <w:rPr/>
              <w:t>45</w:t>
            </w:r>
          </w:p>
        </w:tc>
        <w:tc>
          <w:tcPr>
            <w:tcW w:w="1416" w:type="dxa"/>
            <w:tcBorders/>
          </w:tcPr>
          <w:p>
            <w:pPr>
              <w:pStyle w:val="Normal"/>
              <w:snapToGrid w:val="false"/>
              <w:jc w:val="center"/>
              <w:rPr/>
            </w:pPr>
            <w:r>
              <w:rPr/>
            </w:r>
          </w:p>
          <w:p>
            <w:pPr>
              <w:pStyle w:val="Normal"/>
              <w:jc w:val="center"/>
              <w:rPr/>
            </w:pPr>
            <w:r>
              <w:rPr/>
              <w:t>16"</w:t>
            </w:r>
          </w:p>
        </w:tc>
        <w:tc>
          <w:tcPr>
            <w:tcW w:w="1728" w:type="dxa"/>
            <w:gridSpan w:val="2"/>
            <w:tcBorders/>
          </w:tcPr>
          <w:p>
            <w:pPr>
              <w:pStyle w:val="Normal"/>
              <w:snapToGrid w:val="false"/>
              <w:jc w:val="center"/>
              <w:rPr/>
            </w:pPr>
            <w:r>
              <w:rPr/>
            </w:r>
          </w:p>
          <w:p>
            <w:pPr>
              <w:pStyle w:val="Normal"/>
              <w:jc w:val="center"/>
              <w:rPr/>
            </w:pPr>
            <w:r>
              <w:rPr/>
              <w:t>50</w:t>
            </w:r>
          </w:p>
        </w:tc>
      </w:tr>
      <w:tr>
        <w:trPr/>
        <w:tc>
          <w:tcPr>
            <w:tcW w:w="4158" w:type="dxa"/>
            <w:tcBorders/>
          </w:tcPr>
          <w:p>
            <w:pPr>
              <w:pStyle w:val="Normal"/>
              <w:snapToGrid w:val="false"/>
              <w:jc w:val="both"/>
              <w:rPr/>
            </w:pPr>
            <w:r>
              <w:rPr/>
            </w:r>
          </w:p>
          <w:p>
            <w:pPr>
              <w:pStyle w:val="Normal"/>
              <w:jc w:val="both"/>
              <w:rPr/>
            </w:pPr>
            <w:r>
              <w:rPr/>
              <w:t>Dubose/Mission Valley Line located in Dewitt, Goliad, and Victoria Counties of Texas</w:t>
            </w:r>
          </w:p>
        </w:tc>
        <w:tc>
          <w:tcPr>
            <w:tcW w:w="4134" w:type="dxa"/>
            <w:gridSpan w:val="4"/>
            <w:tcBorders/>
          </w:tcPr>
          <w:p>
            <w:pPr>
              <w:pStyle w:val="Normal"/>
              <w:tabs>
                <w:tab w:val="clear" w:pos="720"/>
                <w:tab w:val="center" w:pos="432" w:leader="none"/>
                <w:tab w:val="center" w:pos="1602" w:leader="none"/>
                <w:tab w:val="center" w:pos="3132" w:leader="none"/>
              </w:tabs>
              <w:snapToGrid w:val="false"/>
              <w:jc w:val="both"/>
              <w:rPr/>
            </w:pPr>
            <w:r>
              <w:rPr/>
            </w:r>
          </w:p>
          <w:p>
            <w:pPr>
              <w:pStyle w:val="Normal"/>
              <w:tabs>
                <w:tab w:val="clear" w:pos="720"/>
                <w:tab w:val="center" w:pos="432" w:leader="none"/>
                <w:tab w:val="center" w:pos="1602" w:leader="none"/>
                <w:tab w:val="center" w:pos="3132" w:leader="none"/>
              </w:tabs>
              <w:jc w:val="both"/>
              <w:rPr/>
            </w:pPr>
            <w:r>
              <w:rPr/>
              <w:tab/>
              <w:t>89</w:t>
              <w:tab/>
              <w:t>12"</w:t>
            </w:r>
            <w:r>
              <w:rPr>
                <w:rFonts w:cs="Arial" w:ascii="Arial" w:hAnsi="Arial"/>
              </w:rPr>
              <w:tab/>
            </w:r>
            <w:r>
              <w:rPr/>
              <w:t>100%</w:t>
            </w:r>
          </w:p>
          <w:p>
            <w:pPr>
              <w:pStyle w:val="Normal"/>
              <w:tabs>
                <w:tab w:val="clear" w:pos="720"/>
                <w:tab w:val="center" w:pos="432" w:leader="none"/>
                <w:tab w:val="center" w:pos="1422" w:leader="none"/>
                <w:tab w:val="center" w:pos="2862" w:leader="none"/>
              </w:tabs>
              <w:jc w:val="center"/>
              <w:rPr/>
            </w:pPr>
            <w:r>
              <w:rPr/>
              <w:t>plus numerous smaller sections</w:t>
            </w:r>
          </w:p>
          <w:p>
            <w:pPr>
              <w:pStyle w:val="Normal"/>
              <w:tabs>
                <w:tab w:val="clear" w:pos="720"/>
                <w:tab w:val="center" w:pos="2862" w:leader="none"/>
              </w:tabs>
              <w:jc w:val="center"/>
              <w:rPr/>
            </w:pPr>
            <w:r>
              <w:rPr/>
            </w:r>
          </w:p>
        </w:tc>
      </w:tr>
      <w:tr>
        <w:trPr/>
        <w:tc>
          <w:tcPr>
            <w:tcW w:w="4158" w:type="dxa"/>
            <w:tcBorders/>
          </w:tcPr>
          <w:p>
            <w:pPr>
              <w:pStyle w:val="Normal"/>
              <w:snapToGrid w:val="false"/>
              <w:jc w:val="both"/>
              <w:rPr/>
            </w:pPr>
            <w:r>
              <w:rPr/>
            </w:r>
          </w:p>
          <w:p>
            <w:pPr>
              <w:pStyle w:val="Normal"/>
              <w:jc w:val="both"/>
              <w:rPr/>
            </w:pPr>
            <w:r>
              <w:rPr/>
              <w:t>Southwest Speaks Line located in La Vaca and Jackson Counties of Texas</w:t>
            </w:r>
          </w:p>
        </w:tc>
        <w:tc>
          <w:tcPr>
            <w:tcW w:w="990" w:type="dxa"/>
            <w:tcBorders/>
          </w:tcPr>
          <w:p>
            <w:pPr>
              <w:pStyle w:val="Normal"/>
              <w:snapToGrid w:val="false"/>
              <w:jc w:val="center"/>
              <w:rPr/>
            </w:pPr>
            <w:r>
              <w:rPr/>
            </w:r>
          </w:p>
          <w:p>
            <w:pPr>
              <w:pStyle w:val="Normal"/>
              <w:jc w:val="center"/>
              <w:rPr/>
            </w:pPr>
            <w:r>
              <w:rPr/>
              <w:t>32</w:t>
            </w:r>
          </w:p>
        </w:tc>
        <w:tc>
          <w:tcPr>
            <w:tcW w:w="1530" w:type="dxa"/>
            <w:gridSpan w:val="2"/>
            <w:tcBorders/>
          </w:tcPr>
          <w:p>
            <w:pPr>
              <w:pStyle w:val="Normal"/>
              <w:snapToGrid w:val="false"/>
              <w:jc w:val="center"/>
              <w:rPr/>
            </w:pPr>
            <w:r>
              <w:rPr/>
            </w:r>
          </w:p>
          <w:p>
            <w:pPr>
              <w:pStyle w:val="Normal"/>
              <w:jc w:val="center"/>
              <w:rPr/>
            </w:pPr>
            <w:r>
              <w:rPr/>
              <w:t>8" and 12"</w:t>
            </w:r>
          </w:p>
        </w:tc>
        <w:tc>
          <w:tcPr>
            <w:tcW w:w="1614" w:type="dxa"/>
            <w:tcBorders/>
          </w:tcPr>
          <w:p>
            <w:pPr>
              <w:pStyle w:val="Normal"/>
              <w:snapToGrid w:val="false"/>
              <w:jc w:val="center"/>
              <w:rPr/>
            </w:pPr>
            <w:r>
              <w:rPr/>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Bonus/Spanish Camp Line Located in Lavaca and Jackson Counties of Texas</w:t>
            </w:r>
          </w:p>
        </w:tc>
        <w:tc>
          <w:tcPr>
            <w:tcW w:w="990" w:type="dxa"/>
            <w:tcBorders/>
          </w:tcPr>
          <w:p>
            <w:pPr>
              <w:pStyle w:val="Normal"/>
              <w:snapToGrid w:val="false"/>
              <w:jc w:val="center"/>
              <w:rPr/>
            </w:pPr>
            <w:r>
              <w:rPr/>
            </w:r>
          </w:p>
          <w:p>
            <w:pPr>
              <w:pStyle w:val="Normal"/>
              <w:jc w:val="center"/>
              <w:rPr/>
            </w:pPr>
            <w:r>
              <w:rPr/>
              <w:t>37</w:t>
            </w:r>
          </w:p>
        </w:tc>
        <w:tc>
          <w:tcPr>
            <w:tcW w:w="1530" w:type="dxa"/>
            <w:gridSpan w:val="2"/>
            <w:tcBorders/>
          </w:tcPr>
          <w:p>
            <w:pPr>
              <w:pStyle w:val="Normal"/>
              <w:snapToGrid w:val="false"/>
              <w:jc w:val="center"/>
              <w:rPr/>
            </w:pPr>
            <w:r>
              <w:rPr/>
            </w:r>
          </w:p>
          <w:p>
            <w:pPr>
              <w:pStyle w:val="Normal"/>
              <w:jc w:val="center"/>
              <w:rPr/>
            </w:pPr>
            <w:r>
              <w:rPr/>
              <w:t>6"</w:t>
            </w:r>
          </w:p>
        </w:tc>
        <w:tc>
          <w:tcPr>
            <w:tcW w:w="1614" w:type="dxa"/>
            <w:tcBorders/>
          </w:tcPr>
          <w:p>
            <w:pPr>
              <w:pStyle w:val="Normal"/>
              <w:snapToGrid w:val="false"/>
              <w:jc w:val="center"/>
              <w:rPr/>
            </w:pPr>
            <w:r>
              <w:rPr/>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South Padre Island Line located offshore of Padre Island, Texas</w:t>
            </w:r>
          </w:p>
        </w:tc>
        <w:tc>
          <w:tcPr>
            <w:tcW w:w="990" w:type="dxa"/>
            <w:tcBorders/>
          </w:tcPr>
          <w:p>
            <w:pPr>
              <w:pStyle w:val="Normal"/>
              <w:snapToGrid w:val="false"/>
              <w:jc w:val="center"/>
              <w:rPr/>
            </w:pPr>
            <w:r>
              <w:rPr/>
            </w:r>
          </w:p>
          <w:p>
            <w:pPr>
              <w:pStyle w:val="Normal"/>
              <w:jc w:val="center"/>
              <w:rPr/>
            </w:pPr>
            <w:r>
              <w:rPr/>
              <w:t>70</w:t>
            </w:r>
          </w:p>
        </w:tc>
        <w:tc>
          <w:tcPr>
            <w:tcW w:w="1530" w:type="dxa"/>
            <w:gridSpan w:val="2"/>
            <w:tcBorders/>
          </w:tcPr>
          <w:p>
            <w:pPr>
              <w:pStyle w:val="Normal"/>
              <w:snapToGrid w:val="false"/>
              <w:jc w:val="center"/>
              <w:rPr/>
            </w:pPr>
            <w:r>
              <w:rPr/>
            </w:r>
          </w:p>
          <w:p>
            <w:pPr>
              <w:pStyle w:val="Normal"/>
              <w:jc w:val="center"/>
              <w:rPr/>
            </w:pPr>
            <w:r>
              <w:rPr/>
              <w:t>20"</w:t>
            </w:r>
          </w:p>
        </w:tc>
        <w:tc>
          <w:tcPr>
            <w:tcW w:w="1614" w:type="dxa"/>
            <w:tcBorders/>
          </w:tcPr>
          <w:p>
            <w:pPr>
              <w:pStyle w:val="Normal"/>
              <w:snapToGrid w:val="false"/>
              <w:jc w:val="center"/>
              <w:rPr/>
            </w:pPr>
            <w:r>
              <w:rPr/>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Valley Line located in Matagorda and Brazoria County</w:t>
            </w:r>
          </w:p>
        </w:tc>
        <w:tc>
          <w:tcPr>
            <w:tcW w:w="990" w:type="dxa"/>
            <w:tcBorders/>
          </w:tcPr>
          <w:p>
            <w:pPr>
              <w:pStyle w:val="Normal"/>
              <w:snapToGrid w:val="false"/>
              <w:jc w:val="center"/>
              <w:rPr/>
            </w:pPr>
            <w:r>
              <w:rPr/>
            </w:r>
          </w:p>
          <w:p>
            <w:pPr>
              <w:pStyle w:val="Normal"/>
              <w:jc w:val="center"/>
              <w:rPr/>
            </w:pPr>
            <w:r>
              <w:rPr/>
              <w:t>137</w:t>
            </w:r>
          </w:p>
        </w:tc>
        <w:tc>
          <w:tcPr>
            <w:tcW w:w="1530" w:type="dxa"/>
            <w:gridSpan w:val="2"/>
            <w:tcBorders/>
          </w:tcPr>
          <w:p>
            <w:pPr>
              <w:pStyle w:val="Normal"/>
              <w:snapToGrid w:val="false"/>
              <w:jc w:val="center"/>
              <w:rPr/>
            </w:pPr>
            <w:r>
              <w:rPr/>
            </w:r>
          </w:p>
          <w:p>
            <w:pPr>
              <w:pStyle w:val="Normal"/>
              <w:jc w:val="center"/>
              <w:rPr/>
            </w:pPr>
            <w:r>
              <w:rPr/>
              <w:t>combination</w:t>
            </w:r>
          </w:p>
          <w:p>
            <w:pPr>
              <w:pStyle w:val="Normal"/>
              <w:jc w:val="center"/>
              <w:rPr/>
            </w:pPr>
            <w:r>
              <w:rPr/>
              <w:t>of 8",12",16"</w:t>
            </w:r>
          </w:p>
        </w:tc>
        <w:tc>
          <w:tcPr>
            <w:tcW w:w="1614" w:type="dxa"/>
            <w:tcBorders/>
          </w:tcPr>
          <w:p>
            <w:pPr>
              <w:pStyle w:val="Normal"/>
              <w:snapToGrid w:val="false"/>
              <w:jc w:val="center"/>
              <w:rPr/>
            </w:pPr>
            <w:r>
              <w:rPr/>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McMullen/Three River Line</w:t>
            </w:r>
          </w:p>
        </w:tc>
        <w:tc>
          <w:tcPr>
            <w:tcW w:w="990" w:type="dxa"/>
            <w:tcBorders/>
          </w:tcPr>
          <w:p>
            <w:pPr>
              <w:pStyle w:val="Normal"/>
              <w:snapToGrid w:val="false"/>
              <w:jc w:val="center"/>
              <w:rPr/>
            </w:pPr>
            <w:r>
              <w:rPr/>
            </w:r>
          </w:p>
          <w:p>
            <w:pPr>
              <w:pStyle w:val="Normal"/>
              <w:jc w:val="center"/>
              <w:rPr/>
            </w:pPr>
            <w:r>
              <w:rPr/>
              <w:t>80</w:t>
            </w:r>
          </w:p>
        </w:tc>
        <w:tc>
          <w:tcPr>
            <w:tcW w:w="1530" w:type="dxa"/>
            <w:gridSpan w:val="2"/>
            <w:tcBorders/>
          </w:tcPr>
          <w:p>
            <w:pPr>
              <w:pStyle w:val="Normal"/>
              <w:snapToGrid w:val="false"/>
              <w:jc w:val="center"/>
              <w:rPr/>
            </w:pPr>
            <w:r>
              <w:rPr/>
            </w:r>
          </w:p>
          <w:p>
            <w:pPr>
              <w:pStyle w:val="Normal"/>
              <w:jc w:val="center"/>
              <w:rPr/>
            </w:pPr>
            <w:r>
              <w:rPr/>
              <w:t>combination</w:t>
            </w:r>
          </w:p>
          <w:p>
            <w:pPr>
              <w:pStyle w:val="Normal"/>
              <w:jc w:val="center"/>
              <w:rPr/>
            </w:pPr>
            <w:r>
              <w:rPr/>
              <w:t>of 6" and 12"</w:t>
            </w:r>
          </w:p>
        </w:tc>
        <w:tc>
          <w:tcPr>
            <w:tcW w:w="1614" w:type="dxa"/>
            <w:tcBorders/>
          </w:tcPr>
          <w:p>
            <w:pPr>
              <w:pStyle w:val="Normal"/>
              <w:snapToGrid w:val="false"/>
              <w:jc w:val="center"/>
              <w:rPr/>
            </w:pPr>
            <w:r>
              <w:rPr/>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Three River Cryogenic Processing Plant located in Live Oak County, Texas (Not operational; being evaluated for relocation or sale)</w:t>
            </w:r>
          </w:p>
        </w:tc>
        <w:tc>
          <w:tcPr>
            <w:tcW w:w="990" w:type="dxa"/>
            <w:tcBorders/>
          </w:tcPr>
          <w:p>
            <w:pPr>
              <w:pStyle w:val="Normal"/>
              <w:snapToGrid w:val="false"/>
              <w:jc w:val="center"/>
              <w:rPr/>
            </w:pPr>
            <w:r>
              <w:rPr/>
            </w:r>
          </w:p>
        </w:tc>
        <w:tc>
          <w:tcPr>
            <w:tcW w:w="1530" w:type="dxa"/>
            <w:gridSpan w:val="2"/>
            <w:tcBorders/>
          </w:tcPr>
          <w:p>
            <w:pPr>
              <w:pStyle w:val="Normal"/>
              <w:snapToGrid w:val="false"/>
              <w:jc w:val="center"/>
              <w:rPr/>
            </w:pPr>
            <w:r>
              <w:rPr/>
            </w:r>
          </w:p>
        </w:tc>
        <w:tc>
          <w:tcPr>
            <w:tcW w:w="1614" w:type="dxa"/>
            <w:tcBorders/>
          </w:tcPr>
          <w:p>
            <w:pPr>
              <w:pStyle w:val="Normal"/>
              <w:snapToGrid w:val="false"/>
              <w:jc w:val="center"/>
              <w:rPr/>
            </w:pPr>
            <w:r>
              <w:rPr/>
            </w:r>
          </w:p>
        </w:tc>
      </w:tr>
      <w:tr>
        <w:trPr>
          <w:trHeight w:val="144" w:hRule="exact"/>
        </w:trPr>
        <w:tc>
          <w:tcPr>
            <w:tcW w:w="4158" w:type="dxa"/>
            <w:tcBorders/>
          </w:tcPr>
          <w:p>
            <w:pPr>
              <w:pStyle w:val="Normal"/>
              <w:snapToGrid w:val="false"/>
              <w:jc w:val="both"/>
              <w:rPr/>
            </w:pPr>
            <w:r>
              <w:rPr/>
            </w:r>
          </w:p>
        </w:tc>
        <w:tc>
          <w:tcPr>
            <w:tcW w:w="990" w:type="dxa"/>
            <w:tcBorders/>
          </w:tcPr>
          <w:p>
            <w:pPr>
              <w:pStyle w:val="Normal"/>
              <w:snapToGrid w:val="false"/>
              <w:jc w:val="center"/>
              <w:rPr/>
            </w:pPr>
            <w:r>
              <w:rPr/>
            </w:r>
          </w:p>
        </w:tc>
        <w:tc>
          <w:tcPr>
            <w:tcW w:w="1530" w:type="dxa"/>
            <w:gridSpan w:val="2"/>
            <w:tcBorders/>
          </w:tcPr>
          <w:p>
            <w:pPr>
              <w:pStyle w:val="Normal"/>
              <w:snapToGrid w:val="false"/>
              <w:jc w:val="center"/>
              <w:rPr/>
            </w:pPr>
            <w:r>
              <w:rPr/>
            </w:r>
          </w:p>
        </w:tc>
        <w:tc>
          <w:tcPr>
            <w:tcW w:w="1614" w:type="dxa"/>
            <w:tcBorders/>
          </w:tcPr>
          <w:p>
            <w:pPr>
              <w:pStyle w:val="Normal"/>
              <w:snapToGrid w:val="false"/>
              <w:jc w:val="center"/>
              <w:rPr/>
            </w:pPr>
            <w:r>
              <w:rPr/>
            </w:r>
          </w:p>
        </w:tc>
      </w:tr>
    </w:tbl>
    <w:p>
      <w:pPr>
        <w:pStyle w:val="Normal"/>
        <w:jc w:val="both"/>
        <w:rPr/>
      </w:pPr>
      <w:r>
        <w:rPr/>
      </w:r>
    </w:p>
    <w:p>
      <w:pPr>
        <w:pStyle w:val="Normal"/>
        <w:jc w:val="both"/>
        <w:rPr/>
      </w:pPr>
      <w:r>
        <w:rPr/>
        <w:t>The following facilities, including valves, dehydrators, meters, regulators, and other pipeline equipment associated therewith:</w:t>
      </w:r>
    </w:p>
    <w:p>
      <w:pPr>
        <w:pStyle w:val="Normal"/>
        <w:jc w:val="center"/>
        <w:rPr>
          <w:b/>
          <w:bCs/>
        </w:rPr>
      </w:pPr>
      <w:r>
        <w:rPr>
          <w:b/>
          <w:bCs/>
        </w:rPr>
        <w:t>Mainlines</w:t>
      </w:r>
    </w:p>
    <w:p>
      <w:pPr>
        <w:pStyle w:val="Normal"/>
        <w:jc w:val="center"/>
        <w:rPr>
          <w:b/>
          <w:bCs/>
        </w:rPr>
      </w:pPr>
      <w:r>
        <w:rPr>
          <w:b/>
          <w:bCs/>
        </w:rPr>
      </w:r>
    </w:p>
    <w:tbl>
      <w:tblPr>
        <w:tblW w:w="8292" w:type="dxa"/>
        <w:jc w:val="start"/>
        <w:tblInd w:w="0" w:type="dxa"/>
        <w:tblLayout w:type="fixed"/>
        <w:tblCellMar>
          <w:top w:w="0" w:type="dxa"/>
          <w:start w:w="108" w:type="dxa"/>
          <w:bottom w:w="0" w:type="dxa"/>
          <w:end w:w="108" w:type="dxa"/>
        </w:tblCellMar>
      </w:tblPr>
      <w:tblGrid>
        <w:gridCol w:w="4158"/>
        <w:gridCol w:w="990"/>
        <w:gridCol w:w="1416"/>
        <w:gridCol w:w="1728"/>
      </w:tblGrid>
      <w:tr>
        <w:trPr/>
        <w:tc>
          <w:tcPr>
            <w:tcW w:w="4158" w:type="dxa"/>
            <w:tcBorders>
              <w:bottom w:val="single" w:sz="4" w:space="0" w:color="000000"/>
            </w:tcBorders>
          </w:tcPr>
          <w:p>
            <w:pPr>
              <w:pStyle w:val="Normal"/>
              <w:jc w:val="center"/>
              <w:rPr>
                <w:b/>
                <w:bCs/>
              </w:rPr>
            </w:pPr>
            <w:r>
              <w:rPr>
                <w:b/>
                <w:bCs/>
              </w:rPr>
              <w:t>Description</w:t>
            </w:r>
          </w:p>
        </w:tc>
        <w:tc>
          <w:tcPr>
            <w:tcW w:w="990" w:type="dxa"/>
            <w:tcBorders>
              <w:bottom w:val="single" w:sz="4" w:space="0" w:color="000000"/>
            </w:tcBorders>
          </w:tcPr>
          <w:p>
            <w:pPr>
              <w:pStyle w:val="Normal"/>
              <w:jc w:val="center"/>
              <w:rPr>
                <w:b/>
                <w:bCs/>
              </w:rPr>
            </w:pPr>
            <w:r>
              <w:rPr>
                <w:b/>
                <w:bCs/>
              </w:rPr>
              <w:t>Miles</w:t>
            </w:r>
          </w:p>
        </w:tc>
        <w:tc>
          <w:tcPr>
            <w:tcW w:w="1416" w:type="dxa"/>
            <w:tcBorders>
              <w:bottom w:val="single" w:sz="4" w:space="0" w:color="000000"/>
            </w:tcBorders>
          </w:tcPr>
          <w:p>
            <w:pPr>
              <w:pStyle w:val="Normal"/>
              <w:jc w:val="center"/>
              <w:rPr>
                <w:b/>
                <w:bCs/>
              </w:rPr>
            </w:pPr>
            <w:r>
              <w:rPr>
                <w:b/>
                <w:bCs/>
              </w:rPr>
              <w:t>Diameter</w:t>
            </w:r>
          </w:p>
        </w:tc>
        <w:tc>
          <w:tcPr>
            <w:tcW w:w="1728" w:type="dxa"/>
            <w:tcBorders>
              <w:bottom w:val="single" w:sz="4" w:space="0" w:color="000000"/>
            </w:tcBorders>
          </w:tcPr>
          <w:p>
            <w:pPr>
              <w:pStyle w:val="Normal"/>
              <w:jc w:val="center"/>
              <w:rPr>
                <w:b/>
                <w:bCs/>
              </w:rPr>
            </w:pPr>
            <w:r>
              <w:rPr>
                <w:b/>
                <w:bCs/>
              </w:rPr>
              <w:t>% ownership</w:t>
            </w:r>
          </w:p>
        </w:tc>
      </w:tr>
      <w:tr>
        <w:trPr>
          <w:trHeight w:val="144" w:hRule="exact"/>
        </w:trPr>
        <w:tc>
          <w:tcPr>
            <w:tcW w:w="4158" w:type="dxa"/>
            <w:tcBorders>
              <w:top w:val="single" w:sz="4" w:space="0" w:color="000000"/>
            </w:tcBorders>
          </w:tcPr>
          <w:p>
            <w:pPr>
              <w:pStyle w:val="Normal"/>
              <w:snapToGrid w:val="false"/>
              <w:jc w:val="both"/>
              <w:rPr>
                <w:b/>
                <w:bCs/>
              </w:rPr>
            </w:pPr>
            <w:r>
              <w:rPr>
                <w:b/>
                <w:bCs/>
              </w:rPr>
            </w:r>
          </w:p>
        </w:tc>
        <w:tc>
          <w:tcPr>
            <w:tcW w:w="990" w:type="dxa"/>
            <w:tcBorders>
              <w:top w:val="single" w:sz="4" w:space="0" w:color="000000"/>
            </w:tcBorders>
          </w:tcPr>
          <w:p>
            <w:pPr>
              <w:pStyle w:val="Normal"/>
              <w:snapToGrid w:val="false"/>
              <w:jc w:val="center"/>
              <w:rPr/>
            </w:pPr>
            <w:r>
              <w:rPr/>
            </w:r>
          </w:p>
        </w:tc>
        <w:tc>
          <w:tcPr>
            <w:tcW w:w="1416" w:type="dxa"/>
            <w:tcBorders>
              <w:top w:val="single" w:sz="4" w:space="0" w:color="000000"/>
            </w:tcBorders>
          </w:tcPr>
          <w:p>
            <w:pPr>
              <w:pStyle w:val="Normal"/>
              <w:snapToGrid w:val="false"/>
              <w:jc w:val="center"/>
              <w:rPr/>
            </w:pPr>
            <w:r>
              <w:rPr/>
            </w:r>
          </w:p>
        </w:tc>
        <w:tc>
          <w:tcPr>
            <w:tcW w:w="1728" w:type="dxa"/>
            <w:tcBorders>
              <w:top w:val="single" w:sz="4" w:space="0" w:color="000000"/>
            </w:tcBorders>
          </w:tcPr>
          <w:p>
            <w:pPr>
              <w:pStyle w:val="Normal"/>
              <w:snapToGrid w:val="false"/>
              <w:jc w:val="center"/>
              <w:rPr/>
            </w:pPr>
            <w:r>
              <w:rPr/>
            </w:r>
          </w:p>
        </w:tc>
      </w:tr>
      <w:tr>
        <w:trPr/>
        <w:tc>
          <w:tcPr>
            <w:tcW w:w="4158" w:type="dxa"/>
            <w:tcBorders/>
          </w:tcPr>
          <w:p>
            <w:pPr>
              <w:pStyle w:val="Normal"/>
              <w:jc w:val="both"/>
              <w:rPr/>
            </w:pPr>
            <w:r>
              <w:rPr/>
              <w:t>South Texas Line which originates in Jim Hogg County, Texas and terminates in Caldwell County, Texas</w:t>
            </w:r>
          </w:p>
        </w:tc>
        <w:tc>
          <w:tcPr>
            <w:tcW w:w="990" w:type="dxa"/>
            <w:tcBorders/>
          </w:tcPr>
          <w:p>
            <w:pPr>
              <w:pStyle w:val="Normal"/>
              <w:jc w:val="center"/>
              <w:rPr/>
            </w:pPr>
            <w:r>
              <w:rPr/>
              <w:t>193</w:t>
            </w:r>
          </w:p>
        </w:tc>
        <w:tc>
          <w:tcPr>
            <w:tcW w:w="1416" w:type="dxa"/>
            <w:tcBorders/>
          </w:tcPr>
          <w:p>
            <w:pPr>
              <w:pStyle w:val="Normal"/>
              <w:jc w:val="center"/>
              <w:rPr/>
            </w:pPr>
            <w:r>
              <w:rPr/>
              <w:t>24" and 30"</w:t>
            </w:r>
          </w:p>
        </w:tc>
        <w:tc>
          <w:tcPr>
            <w:tcW w:w="1728" w:type="dxa"/>
            <w:tcBorders/>
          </w:tcPr>
          <w:p>
            <w:pPr>
              <w:pStyle w:val="Normal"/>
              <w:jc w:val="center"/>
              <w:rPr/>
            </w:pPr>
            <w:r>
              <w:rPr/>
              <w:t>80%</w:t>
            </w:r>
          </w:p>
        </w:tc>
      </w:tr>
      <w:tr>
        <w:trPr>
          <w:trHeight w:val="144" w:hRule="exact"/>
        </w:trPr>
        <w:tc>
          <w:tcPr>
            <w:tcW w:w="4158" w:type="dxa"/>
            <w:tcBorders/>
          </w:tcPr>
          <w:p>
            <w:pPr>
              <w:pStyle w:val="Normal"/>
              <w:snapToGrid w:val="false"/>
              <w:jc w:val="both"/>
              <w:rPr/>
            </w:pPr>
            <w:r>
              <w:rPr/>
            </w:r>
          </w:p>
        </w:tc>
        <w:tc>
          <w:tcPr>
            <w:tcW w:w="990" w:type="dxa"/>
            <w:tcBorders/>
          </w:tcPr>
          <w:p>
            <w:pPr>
              <w:pStyle w:val="Normal"/>
              <w:snapToGrid w:val="false"/>
              <w:jc w:val="center"/>
              <w:rPr/>
            </w:pPr>
            <w:r>
              <w:rPr/>
            </w:r>
          </w:p>
        </w:tc>
        <w:tc>
          <w:tcPr>
            <w:tcW w:w="1416" w:type="dxa"/>
            <w:tcBorders/>
          </w:tcPr>
          <w:p>
            <w:pPr>
              <w:pStyle w:val="Normal"/>
              <w:snapToGrid w:val="false"/>
              <w:jc w:val="center"/>
              <w:rPr/>
            </w:pPr>
            <w:r>
              <w:rPr/>
            </w:r>
          </w:p>
        </w:tc>
        <w:tc>
          <w:tcPr>
            <w:tcW w:w="1728" w:type="dxa"/>
            <w:tcBorders/>
          </w:tcPr>
          <w:p>
            <w:pPr>
              <w:pStyle w:val="Normal"/>
              <w:snapToGrid w:val="false"/>
              <w:jc w:val="center"/>
              <w:rPr/>
            </w:pPr>
            <w:r>
              <w:rPr/>
            </w:r>
          </w:p>
        </w:tc>
      </w:tr>
      <w:tr>
        <w:trPr/>
        <w:tc>
          <w:tcPr>
            <w:tcW w:w="4158" w:type="dxa"/>
            <w:tcBorders/>
          </w:tcPr>
          <w:p>
            <w:pPr>
              <w:pStyle w:val="Normal"/>
              <w:jc w:val="both"/>
              <w:rPr/>
            </w:pPr>
            <w:r>
              <w:rPr/>
              <w:t>Austin Line which originates in Caldwell County, Texas and terminates in Travis County, Texas</w:t>
            </w:r>
          </w:p>
        </w:tc>
        <w:tc>
          <w:tcPr>
            <w:tcW w:w="990" w:type="dxa"/>
            <w:tcBorders/>
          </w:tcPr>
          <w:p>
            <w:pPr>
              <w:pStyle w:val="Normal"/>
              <w:jc w:val="center"/>
              <w:rPr/>
            </w:pPr>
            <w:r>
              <w:rPr/>
              <w:t>18</w:t>
            </w:r>
          </w:p>
          <w:p>
            <w:pPr>
              <w:pStyle w:val="Normal"/>
              <w:jc w:val="center"/>
              <w:rPr/>
            </w:pPr>
            <w:r>
              <w:rPr/>
              <w:t>20</w:t>
            </w:r>
          </w:p>
        </w:tc>
        <w:tc>
          <w:tcPr>
            <w:tcW w:w="1416" w:type="dxa"/>
            <w:tcBorders/>
          </w:tcPr>
          <w:p>
            <w:pPr>
              <w:pStyle w:val="Normal"/>
              <w:jc w:val="center"/>
              <w:rPr/>
            </w:pPr>
            <w:r>
              <w:rPr/>
              <w:t>20"</w:t>
            </w:r>
          </w:p>
          <w:p>
            <w:pPr>
              <w:pStyle w:val="Normal"/>
              <w:jc w:val="center"/>
              <w:rPr/>
            </w:pPr>
            <w:r>
              <w:rPr/>
              <w:t>16"</w:t>
            </w:r>
          </w:p>
        </w:tc>
        <w:tc>
          <w:tcPr>
            <w:tcW w:w="1728" w:type="dxa"/>
            <w:tcBorders/>
          </w:tcPr>
          <w:p>
            <w:pPr>
              <w:pStyle w:val="Normal"/>
              <w:jc w:val="center"/>
              <w:rPr/>
            </w:pPr>
            <w:r>
              <w:rPr/>
              <w:t>50%</w:t>
            </w:r>
          </w:p>
          <w:p>
            <w:pPr>
              <w:pStyle w:val="Normal"/>
              <w:jc w:val="center"/>
              <w:rPr/>
            </w:pPr>
            <w:r>
              <w:rPr/>
              <w:t>50%</w:t>
            </w:r>
          </w:p>
        </w:tc>
      </w:tr>
      <w:tr>
        <w:trPr>
          <w:trHeight w:val="144" w:hRule="exact"/>
        </w:trPr>
        <w:tc>
          <w:tcPr>
            <w:tcW w:w="4158" w:type="dxa"/>
            <w:tcBorders/>
          </w:tcPr>
          <w:p>
            <w:pPr>
              <w:pStyle w:val="Normal"/>
              <w:snapToGrid w:val="false"/>
              <w:jc w:val="both"/>
              <w:rPr/>
            </w:pPr>
            <w:r>
              <w:rPr/>
            </w:r>
          </w:p>
        </w:tc>
        <w:tc>
          <w:tcPr>
            <w:tcW w:w="990" w:type="dxa"/>
            <w:tcBorders/>
          </w:tcPr>
          <w:p>
            <w:pPr>
              <w:pStyle w:val="Normal"/>
              <w:snapToGrid w:val="false"/>
              <w:jc w:val="center"/>
              <w:rPr/>
            </w:pPr>
            <w:r>
              <w:rPr/>
            </w:r>
          </w:p>
        </w:tc>
        <w:tc>
          <w:tcPr>
            <w:tcW w:w="1416" w:type="dxa"/>
            <w:tcBorders/>
          </w:tcPr>
          <w:p>
            <w:pPr>
              <w:pStyle w:val="Normal"/>
              <w:snapToGrid w:val="false"/>
              <w:jc w:val="center"/>
              <w:rPr/>
            </w:pPr>
            <w:r>
              <w:rPr/>
            </w:r>
          </w:p>
        </w:tc>
        <w:tc>
          <w:tcPr>
            <w:tcW w:w="1728" w:type="dxa"/>
            <w:tcBorders/>
          </w:tcPr>
          <w:p>
            <w:pPr>
              <w:pStyle w:val="Normal"/>
              <w:snapToGrid w:val="false"/>
              <w:jc w:val="center"/>
              <w:rPr/>
            </w:pPr>
            <w:r>
              <w:rPr/>
            </w:r>
          </w:p>
        </w:tc>
      </w:tr>
      <w:tr>
        <w:trPr/>
        <w:tc>
          <w:tcPr>
            <w:tcW w:w="4158" w:type="dxa"/>
            <w:tcBorders/>
          </w:tcPr>
          <w:p>
            <w:pPr>
              <w:pStyle w:val="Normal"/>
              <w:jc w:val="both"/>
              <w:rPr/>
            </w:pPr>
            <w:r>
              <w:rPr/>
              <w:t>Partnership interest in MidTexas Pipeline Company, which owns the MidTexas Line, which originates in Gonzales County, Texas and terminates in Waller County, Texas (See Material Contracts)</w:t>
            </w:r>
          </w:p>
        </w:tc>
        <w:tc>
          <w:tcPr>
            <w:tcW w:w="990" w:type="dxa"/>
            <w:tcBorders/>
          </w:tcPr>
          <w:p>
            <w:pPr>
              <w:pStyle w:val="Normal"/>
              <w:jc w:val="center"/>
              <w:rPr/>
            </w:pPr>
            <w:r>
              <w:rPr/>
              <w:t>129</w:t>
            </w:r>
          </w:p>
          <w:p>
            <w:pPr>
              <w:pStyle w:val="Normal"/>
              <w:jc w:val="center"/>
              <w:rPr/>
            </w:pPr>
            <w:r>
              <w:rPr/>
              <w:t>10</w:t>
            </w:r>
          </w:p>
        </w:tc>
        <w:tc>
          <w:tcPr>
            <w:tcW w:w="1416" w:type="dxa"/>
            <w:tcBorders/>
          </w:tcPr>
          <w:p>
            <w:pPr>
              <w:pStyle w:val="Normal"/>
              <w:jc w:val="center"/>
              <w:rPr/>
            </w:pPr>
            <w:r>
              <w:rPr/>
              <w:t>30"</w:t>
            </w:r>
          </w:p>
          <w:p>
            <w:pPr>
              <w:pStyle w:val="Normal"/>
              <w:jc w:val="center"/>
              <w:rPr/>
            </w:pPr>
            <w:r>
              <w:rPr/>
              <w:t>12"</w:t>
            </w:r>
          </w:p>
        </w:tc>
        <w:tc>
          <w:tcPr>
            <w:tcW w:w="1728" w:type="dxa"/>
            <w:tcBorders/>
          </w:tcPr>
          <w:p>
            <w:pPr>
              <w:pStyle w:val="Normal"/>
              <w:jc w:val="center"/>
              <w:rPr/>
            </w:pPr>
            <w:r>
              <w:rPr/>
              <w:t>50%</w:t>
            </w:r>
          </w:p>
          <w:p>
            <w:pPr>
              <w:pStyle w:val="Normal"/>
              <w:jc w:val="center"/>
              <w:rPr/>
            </w:pPr>
            <w:r>
              <w:rPr/>
              <w:t>50%</w:t>
            </w:r>
          </w:p>
        </w:tc>
      </w:tr>
      <w:tr>
        <w:trPr>
          <w:trHeight w:val="144" w:hRule="exact"/>
        </w:trPr>
        <w:tc>
          <w:tcPr>
            <w:tcW w:w="4158" w:type="dxa"/>
            <w:tcBorders/>
          </w:tcPr>
          <w:p>
            <w:pPr>
              <w:pStyle w:val="Normal"/>
              <w:snapToGrid w:val="false"/>
              <w:jc w:val="both"/>
              <w:rPr/>
            </w:pPr>
            <w:r>
              <w:rPr/>
            </w:r>
          </w:p>
        </w:tc>
        <w:tc>
          <w:tcPr>
            <w:tcW w:w="990" w:type="dxa"/>
            <w:tcBorders/>
          </w:tcPr>
          <w:p>
            <w:pPr>
              <w:pStyle w:val="Normal"/>
              <w:snapToGrid w:val="false"/>
              <w:jc w:val="center"/>
              <w:rPr/>
            </w:pPr>
            <w:r>
              <w:rPr/>
            </w:r>
          </w:p>
        </w:tc>
        <w:tc>
          <w:tcPr>
            <w:tcW w:w="1416" w:type="dxa"/>
            <w:tcBorders/>
          </w:tcPr>
          <w:p>
            <w:pPr>
              <w:pStyle w:val="Normal"/>
              <w:snapToGrid w:val="false"/>
              <w:jc w:val="center"/>
              <w:rPr/>
            </w:pPr>
            <w:r>
              <w:rPr/>
            </w:r>
          </w:p>
        </w:tc>
        <w:tc>
          <w:tcPr>
            <w:tcW w:w="1728" w:type="dxa"/>
            <w:tcBorders/>
          </w:tcPr>
          <w:p>
            <w:pPr>
              <w:pStyle w:val="Normal"/>
              <w:snapToGrid w:val="false"/>
              <w:jc w:val="center"/>
              <w:rPr/>
            </w:pPr>
            <w:r>
              <w:rPr/>
            </w:r>
          </w:p>
        </w:tc>
      </w:tr>
      <w:tr>
        <w:trPr/>
        <w:tc>
          <w:tcPr>
            <w:tcW w:w="4158" w:type="dxa"/>
            <w:tcBorders/>
          </w:tcPr>
          <w:p>
            <w:pPr>
              <w:pStyle w:val="Normal"/>
              <w:jc w:val="both"/>
              <w:rPr/>
            </w:pPr>
            <w:r>
              <w:rPr/>
              <w:t>Beeville to Texas City Line which originates in Live Oak, County Texas and terminates in Bravoria County, Texas</w:t>
            </w:r>
          </w:p>
        </w:tc>
        <w:tc>
          <w:tcPr>
            <w:tcW w:w="990" w:type="dxa"/>
            <w:tcBorders/>
          </w:tcPr>
          <w:p>
            <w:pPr>
              <w:pStyle w:val="Normal"/>
              <w:jc w:val="center"/>
              <w:rPr/>
            </w:pPr>
            <w:r>
              <w:rPr/>
              <w:t>70</w:t>
            </w:r>
          </w:p>
          <w:p>
            <w:pPr>
              <w:pStyle w:val="Normal"/>
              <w:jc w:val="center"/>
              <w:rPr/>
            </w:pPr>
            <w:r>
              <w:rPr/>
              <w:t>115</w:t>
            </w:r>
          </w:p>
        </w:tc>
        <w:tc>
          <w:tcPr>
            <w:tcW w:w="1416" w:type="dxa"/>
            <w:tcBorders/>
          </w:tcPr>
          <w:p>
            <w:pPr>
              <w:pStyle w:val="Normal"/>
              <w:jc w:val="center"/>
              <w:rPr/>
            </w:pPr>
            <w:r>
              <w:rPr/>
              <w:t>18"</w:t>
            </w:r>
          </w:p>
          <w:p>
            <w:pPr>
              <w:pStyle w:val="Normal"/>
              <w:jc w:val="center"/>
              <w:rPr/>
            </w:pPr>
            <w:r>
              <w:rPr/>
              <w:t>24"</w:t>
            </w:r>
          </w:p>
        </w:tc>
        <w:tc>
          <w:tcPr>
            <w:tcW w:w="1728" w:type="dxa"/>
            <w:tcBorders/>
          </w:tcPr>
          <w:p>
            <w:pPr>
              <w:pStyle w:val="Normal"/>
              <w:jc w:val="center"/>
              <w:rPr/>
            </w:pPr>
            <w:r>
              <w:rPr/>
              <w:t>100%</w:t>
            </w:r>
          </w:p>
          <w:p>
            <w:pPr>
              <w:pStyle w:val="Normal"/>
              <w:jc w:val="center"/>
              <w:rPr/>
            </w:pPr>
            <w:r>
              <w:rPr/>
              <w:t>100%</w:t>
            </w:r>
          </w:p>
        </w:tc>
      </w:tr>
      <w:tr>
        <w:trPr>
          <w:trHeight w:val="144" w:hRule="exact"/>
        </w:trPr>
        <w:tc>
          <w:tcPr>
            <w:tcW w:w="4158" w:type="dxa"/>
            <w:tcBorders/>
          </w:tcPr>
          <w:p>
            <w:pPr>
              <w:pStyle w:val="Normal"/>
              <w:snapToGrid w:val="false"/>
              <w:jc w:val="both"/>
              <w:rPr/>
            </w:pPr>
            <w:r>
              <w:rPr/>
            </w:r>
          </w:p>
        </w:tc>
        <w:tc>
          <w:tcPr>
            <w:tcW w:w="990" w:type="dxa"/>
            <w:tcBorders/>
          </w:tcPr>
          <w:p>
            <w:pPr>
              <w:pStyle w:val="Normal"/>
              <w:snapToGrid w:val="false"/>
              <w:jc w:val="center"/>
              <w:rPr/>
            </w:pPr>
            <w:r>
              <w:rPr/>
            </w:r>
          </w:p>
        </w:tc>
        <w:tc>
          <w:tcPr>
            <w:tcW w:w="1416" w:type="dxa"/>
            <w:tcBorders/>
          </w:tcPr>
          <w:p>
            <w:pPr>
              <w:pStyle w:val="Normal"/>
              <w:snapToGrid w:val="false"/>
              <w:jc w:val="center"/>
              <w:rPr/>
            </w:pPr>
            <w:r>
              <w:rPr/>
            </w:r>
          </w:p>
        </w:tc>
        <w:tc>
          <w:tcPr>
            <w:tcW w:w="1728" w:type="dxa"/>
            <w:tcBorders/>
          </w:tcPr>
          <w:p>
            <w:pPr>
              <w:pStyle w:val="Normal"/>
              <w:snapToGrid w:val="false"/>
              <w:jc w:val="center"/>
              <w:rPr/>
            </w:pPr>
            <w:r>
              <w:rPr/>
            </w:r>
          </w:p>
        </w:tc>
      </w:tr>
      <w:tr>
        <w:trPr/>
        <w:tc>
          <w:tcPr>
            <w:tcW w:w="4158" w:type="dxa"/>
            <w:tcBorders/>
          </w:tcPr>
          <w:p>
            <w:pPr>
              <w:pStyle w:val="Normal"/>
              <w:jc w:val="both"/>
              <w:rPr/>
            </w:pPr>
            <w:r>
              <w:rPr/>
              <w:t>A/S Line which originates in Nueces County, Texas and terminates in Newton County, Texas including compressor stations located in Texas Counties of Calhoun, Refugio, and San Patricio</w:t>
            </w:r>
          </w:p>
        </w:tc>
        <w:tc>
          <w:tcPr>
            <w:tcW w:w="990" w:type="dxa"/>
            <w:tcBorders/>
          </w:tcPr>
          <w:p>
            <w:pPr>
              <w:pStyle w:val="Normal"/>
              <w:jc w:val="center"/>
              <w:rPr/>
            </w:pPr>
            <w:r>
              <w:rPr/>
              <w:t>300</w:t>
            </w:r>
          </w:p>
        </w:tc>
        <w:tc>
          <w:tcPr>
            <w:tcW w:w="1416" w:type="dxa"/>
            <w:tcBorders/>
          </w:tcPr>
          <w:p>
            <w:pPr>
              <w:pStyle w:val="Normal"/>
              <w:jc w:val="center"/>
              <w:rPr/>
            </w:pPr>
            <w:r>
              <w:rPr/>
              <w:t>30"</w:t>
            </w:r>
          </w:p>
        </w:tc>
        <w:tc>
          <w:tcPr>
            <w:tcW w:w="1728" w:type="dxa"/>
            <w:tcBorders/>
          </w:tcPr>
          <w:p>
            <w:pPr>
              <w:pStyle w:val="Normal"/>
              <w:jc w:val="center"/>
              <w:rPr/>
            </w:pPr>
            <w:r>
              <w:rPr/>
              <w:t>50%</w:t>
            </w:r>
          </w:p>
        </w:tc>
      </w:tr>
      <w:tr>
        <w:trPr>
          <w:trHeight w:val="144" w:hRule="exact"/>
        </w:trPr>
        <w:tc>
          <w:tcPr>
            <w:tcW w:w="4158" w:type="dxa"/>
            <w:tcBorders/>
          </w:tcPr>
          <w:p>
            <w:pPr>
              <w:pStyle w:val="Normal"/>
              <w:snapToGrid w:val="false"/>
              <w:jc w:val="both"/>
              <w:rPr/>
            </w:pPr>
            <w:r>
              <w:rPr/>
            </w:r>
          </w:p>
        </w:tc>
        <w:tc>
          <w:tcPr>
            <w:tcW w:w="990" w:type="dxa"/>
            <w:tcBorders/>
          </w:tcPr>
          <w:p>
            <w:pPr>
              <w:pStyle w:val="Normal"/>
              <w:snapToGrid w:val="false"/>
              <w:jc w:val="center"/>
              <w:rPr/>
            </w:pPr>
            <w:r>
              <w:rPr/>
            </w:r>
          </w:p>
        </w:tc>
        <w:tc>
          <w:tcPr>
            <w:tcW w:w="1416" w:type="dxa"/>
            <w:tcBorders/>
          </w:tcPr>
          <w:p>
            <w:pPr>
              <w:pStyle w:val="Normal"/>
              <w:snapToGrid w:val="false"/>
              <w:jc w:val="center"/>
              <w:rPr/>
            </w:pPr>
            <w:r>
              <w:rPr/>
            </w:r>
          </w:p>
        </w:tc>
        <w:tc>
          <w:tcPr>
            <w:tcW w:w="1728" w:type="dxa"/>
            <w:tcBorders/>
          </w:tcPr>
          <w:p>
            <w:pPr>
              <w:pStyle w:val="Normal"/>
              <w:snapToGrid w:val="false"/>
              <w:jc w:val="center"/>
              <w:rPr/>
            </w:pPr>
            <w:r>
              <w:rPr/>
            </w:r>
          </w:p>
        </w:tc>
      </w:tr>
      <w:tr>
        <w:trPr/>
        <w:tc>
          <w:tcPr>
            <w:tcW w:w="4158" w:type="dxa"/>
            <w:tcBorders/>
          </w:tcPr>
          <w:p>
            <w:pPr>
              <w:pStyle w:val="Normal"/>
              <w:jc w:val="both"/>
              <w:rPr/>
            </w:pPr>
            <w:r>
              <w:rPr/>
              <w:t>Texoma Line which originates in Lamar County, Texas and terminates in Hardin County, Texas</w:t>
            </w:r>
          </w:p>
        </w:tc>
        <w:tc>
          <w:tcPr>
            <w:tcW w:w="990" w:type="dxa"/>
            <w:tcBorders/>
          </w:tcPr>
          <w:p>
            <w:pPr>
              <w:pStyle w:val="Normal"/>
              <w:jc w:val="center"/>
              <w:rPr/>
            </w:pPr>
            <w:r>
              <w:rPr/>
              <w:t>266</w:t>
            </w:r>
          </w:p>
        </w:tc>
        <w:tc>
          <w:tcPr>
            <w:tcW w:w="1416" w:type="dxa"/>
            <w:tcBorders/>
          </w:tcPr>
          <w:p>
            <w:pPr>
              <w:pStyle w:val="Normal"/>
              <w:jc w:val="center"/>
              <w:rPr/>
            </w:pPr>
            <w:r>
              <w:rPr/>
              <w:t>30"</w:t>
            </w:r>
          </w:p>
        </w:tc>
        <w:tc>
          <w:tcPr>
            <w:tcW w:w="1728" w:type="dxa"/>
            <w:tcBorders/>
          </w:tcPr>
          <w:p>
            <w:pPr>
              <w:pStyle w:val="Normal"/>
              <w:jc w:val="center"/>
              <w:rPr/>
            </w:pPr>
            <w:r>
              <w:rPr/>
              <w:t>100%</w:t>
            </w:r>
          </w:p>
        </w:tc>
      </w:tr>
      <w:tr>
        <w:trPr>
          <w:trHeight w:val="144" w:hRule="exact"/>
        </w:trPr>
        <w:tc>
          <w:tcPr>
            <w:tcW w:w="4158" w:type="dxa"/>
            <w:tcBorders/>
          </w:tcPr>
          <w:p>
            <w:pPr>
              <w:pStyle w:val="Normal"/>
              <w:snapToGrid w:val="false"/>
              <w:jc w:val="both"/>
              <w:rPr/>
            </w:pPr>
            <w:r>
              <w:rPr/>
            </w:r>
          </w:p>
        </w:tc>
        <w:tc>
          <w:tcPr>
            <w:tcW w:w="990" w:type="dxa"/>
            <w:tcBorders/>
          </w:tcPr>
          <w:p>
            <w:pPr>
              <w:pStyle w:val="Normal"/>
              <w:snapToGrid w:val="false"/>
              <w:jc w:val="center"/>
              <w:rPr/>
            </w:pPr>
            <w:r>
              <w:rPr/>
            </w:r>
          </w:p>
        </w:tc>
        <w:tc>
          <w:tcPr>
            <w:tcW w:w="1416" w:type="dxa"/>
            <w:tcBorders/>
          </w:tcPr>
          <w:p>
            <w:pPr>
              <w:pStyle w:val="Normal"/>
              <w:snapToGrid w:val="false"/>
              <w:jc w:val="center"/>
              <w:rPr/>
            </w:pPr>
            <w:r>
              <w:rPr/>
            </w:r>
          </w:p>
        </w:tc>
        <w:tc>
          <w:tcPr>
            <w:tcW w:w="1728" w:type="dxa"/>
            <w:tcBorders/>
          </w:tcPr>
          <w:p>
            <w:pPr>
              <w:pStyle w:val="Normal"/>
              <w:snapToGrid w:val="false"/>
              <w:jc w:val="center"/>
              <w:rPr/>
            </w:pPr>
            <w:r>
              <w:rPr/>
            </w:r>
          </w:p>
        </w:tc>
      </w:tr>
      <w:tr>
        <w:trPr/>
        <w:tc>
          <w:tcPr>
            <w:tcW w:w="4158" w:type="dxa"/>
            <w:tcBorders/>
          </w:tcPr>
          <w:p>
            <w:pPr>
              <w:pStyle w:val="Normal"/>
              <w:jc w:val="both"/>
              <w:rPr/>
            </w:pPr>
            <w:r>
              <w:rPr/>
              <w:t>Corpus Christi Loop, which serves the industrial markets in the Corpus Christi, TX area</w:t>
            </w:r>
          </w:p>
        </w:tc>
        <w:tc>
          <w:tcPr>
            <w:tcW w:w="990" w:type="dxa"/>
            <w:tcBorders/>
          </w:tcPr>
          <w:p>
            <w:pPr>
              <w:pStyle w:val="Normal"/>
              <w:jc w:val="center"/>
              <w:rPr/>
            </w:pPr>
            <w:r>
              <w:rPr/>
              <w:t>90</w:t>
            </w:r>
          </w:p>
        </w:tc>
        <w:tc>
          <w:tcPr>
            <w:tcW w:w="1416" w:type="dxa"/>
            <w:tcBorders/>
          </w:tcPr>
          <w:p>
            <w:pPr>
              <w:pStyle w:val="Normal"/>
              <w:jc w:val="center"/>
              <w:rPr/>
            </w:pPr>
            <w:r>
              <w:rPr/>
              <w:t>12"</w:t>
            </w:r>
          </w:p>
        </w:tc>
        <w:tc>
          <w:tcPr>
            <w:tcW w:w="1728" w:type="dxa"/>
            <w:tcBorders/>
          </w:tcPr>
          <w:p>
            <w:pPr>
              <w:pStyle w:val="Normal"/>
              <w:jc w:val="center"/>
              <w:rPr/>
            </w:pPr>
            <w:r>
              <w:rPr/>
              <w:t>100%</w:t>
            </w:r>
          </w:p>
        </w:tc>
      </w:tr>
    </w:tbl>
    <w:p>
      <w:pPr>
        <w:pStyle w:val="Normal"/>
        <w:jc w:val="both"/>
        <w:rPr/>
      </w:pPr>
      <w:r>
        <w:rPr/>
      </w:r>
    </w:p>
    <w:p>
      <w:pPr>
        <w:pStyle w:val="Normal"/>
        <w:jc w:val="center"/>
        <w:rPr/>
      </w:pPr>
      <w:r>
        <w:rPr/>
        <w:t>PURCHASE AND SALE AGREEMENT</w:t>
      </w:r>
    </w:p>
    <w:p>
      <w:pPr>
        <w:pStyle w:val="Normal"/>
        <w:jc w:val="center"/>
        <w:rPr/>
      </w:pPr>
      <w:r>
        <w:rPr/>
      </w:r>
    </w:p>
    <w:p>
      <w:pPr>
        <w:pStyle w:val="Normal"/>
        <w:jc w:val="center"/>
        <w:rPr/>
      </w:pPr>
      <w:r>
        <w:rPr/>
        <w:t>Schedule 4.13</w:t>
      </w:r>
    </w:p>
    <w:p>
      <w:pPr>
        <w:pStyle w:val="Normal"/>
        <w:jc w:val="center"/>
        <w:rPr/>
      </w:pPr>
      <w:r>
        <w:rPr/>
        <w:t>Material Contracts</w:t>
      </w:r>
    </w:p>
    <w:p>
      <w:pPr>
        <w:pStyle w:val="Normal"/>
        <w:ind w:hanging="720" w:start="720" w:end="0"/>
        <w:jc w:val="both"/>
        <w:rPr/>
      </w:pPr>
      <w:r>
        <w:rPr/>
        <w:t>(a)</w:t>
      </w:r>
    </w:p>
    <w:p>
      <w:pPr>
        <w:pStyle w:val="Normal"/>
        <w:ind w:hanging="720" w:start="720" w:end="0"/>
        <w:jc w:val="both"/>
        <w:rPr/>
      </w:pPr>
      <w:r>
        <w:rPr/>
        <w:t>(i)</w:t>
      </w:r>
    </w:p>
    <w:p>
      <w:pPr>
        <w:pStyle w:val="Normal"/>
        <w:ind w:hanging="720" w:start="720" w:end="0"/>
        <w:jc w:val="both"/>
        <w:rPr/>
      </w:pPr>
      <w:r>
        <w:rPr/>
      </w:r>
    </w:p>
    <w:p>
      <w:pPr>
        <w:pStyle w:val="Normal"/>
        <w:ind w:hanging="720" w:start="1440" w:end="0"/>
        <w:jc w:val="both"/>
        <w:rPr/>
      </w:pPr>
      <w:r>
        <w:rPr/>
        <w:t>1.</w:t>
        <w:tab/>
        <w:t>Ownership Agreement between Channel Industries Gas Company and Houston Pipe Line Company (“HPL”) dated January 1, 1997  [A/S Pipeline]</w:t>
      </w:r>
    </w:p>
    <w:p>
      <w:pPr>
        <w:pStyle w:val="Normal"/>
        <w:rPr/>
      </w:pPr>
      <w:r>
        <w:rPr/>
      </w:r>
    </w:p>
    <w:p>
      <w:pPr>
        <w:pStyle w:val="Normal"/>
        <w:ind w:hanging="720" w:start="1440" w:end="0"/>
        <w:rPr/>
      </w:pPr>
      <w:r>
        <w:rPr/>
        <w:t>2.</w:t>
        <w:tab/>
        <w:t>Construction, Ownership, Operating and Maintenance Agreement between Gulf Energy Pipeline Company and HPL dated August 20, 1992, as amended November 30, 1995 and March 20, 1997  [Big Cowboy System]</w:t>
      </w:r>
    </w:p>
    <w:p>
      <w:pPr>
        <w:pStyle w:val="Normal"/>
        <w:rPr/>
      </w:pPr>
      <w:r>
        <w:rPr/>
      </w:r>
    </w:p>
    <w:p>
      <w:pPr>
        <w:pStyle w:val="Normal"/>
        <w:ind w:hanging="720" w:start="1440" w:end="0"/>
        <w:rPr/>
      </w:pPr>
      <w:r>
        <w:rPr/>
        <w:t>3.</w:t>
        <w:tab/>
        <w:t>Construction, Operating and Tax Agreement between Intrastate Gathering Corporation and HPL dated November 19, 1985, as amended May 1, 1990, and by letter dated July 16, 1990; [Intrastate Gathering Corporation changed name to Gulf Energy Pipeline Company effective May 1, 1987] [South Texas Line]</w:t>
      </w:r>
    </w:p>
    <w:p>
      <w:pPr>
        <w:pStyle w:val="Normal"/>
        <w:rPr/>
      </w:pPr>
      <w:r>
        <w:rPr/>
      </w:r>
    </w:p>
    <w:p>
      <w:pPr>
        <w:pStyle w:val="Normal"/>
        <w:ind w:hanging="720" w:start="1440" w:end="0"/>
        <w:rPr/>
      </w:pPr>
      <w:r>
        <w:rPr/>
        <w:t>4.</w:t>
        <w:tab/>
        <w:t xml:space="preserve">Construction and Operating Agreement between Intrastate Gathering Corporation and HPL dated September 19, 1986, as amended by 3 letters each dated September 19, 1986 for Gas Transportation, Compression and Aid to Construction, letter dated December 2, 1988, rental claims  [Austin Line] </w:t>
      </w:r>
    </w:p>
    <w:p>
      <w:pPr>
        <w:pStyle w:val="Normal"/>
        <w:rPr/>
      </w:pPr>
      <w:r>
        <w:rPr/>
      </w:r>
    </w:p>
    <w:p>
      <w:pPr>
        <w:pStyle w:val="Normal"/>
        <w:ind w:hanging="720" w:start="1440" w:end="0"/>
        <w:rPr/>
      </w:pPr>
      <w:r>
        <w:rPr/>
        <w:t>5.</w:t>
        <w:tab/>
        <w:t>Amended and Restated Limited Partnership Agreement of HPL Compression Company, L.P. (“HPLCC”) among HPL, Hanover SPE, L.L.C., Enron Texoma Gas Company and Middle Looper, L.L.C. dated December 29, 1998 [Looper] [HPLCC will be dissolved prior to Closing.]</w:t>
      </w:r>
    </w:p>
    <w:p>
      <w:pPr>
        <w:pStyle w:val="Normal"/>
        <w:rPr/>
      </w:pPr>
      <w:r>
        <w:rPr/>
      </w:r>
    </w:p>
    <w:p>
      <w:pPr>
        <w:pStyle w:val="Normal"/>
        <w:ind w:hanging="720" w:start="1440" w:end="0"/>
        <w:rPr/>
      </w:pPr>
      <w:r>
        <w:rPr/>
        <w:t>7.</w:t>
        <w:tab/>
        <w:t>Mechanical Maintenance Agreement between Hanover Compressor Company (“Hanover”) and HPLCC dated November 12, 1998, as amended [Looper] [This Agreement which expires in December of 2001 will be assigned to HPL prior to closing]</w:t>
      </w:r>
    </w:p>
    <w:p>
      <w:pPr>
        <w:pStyle w:val="Normal"/>
        <w:rPr/>
      </w:pPr>
      <w:r>
        <w:rPr/>
      </w:r>
    </w:p>
    <w:p>
      <w:pPr>
        <w:pStyle w:val="Normal"/>
        <w:ind w:hanging="720" w:start="1440" w:end="0"/>
        <w:rPr/>
      </w:pPr>
      <w:r>
        <w:rPr/>
        <w:t>8.</w:t>
        <w:tab/>
        <w:t>Transportation and Compression Services Agreement between HPLCC and HPL dated November 1, 1998 [Looper]; [this agreement will be terminated prior to closing].</w:t>
      </w:r>
    </w:p>
    <w:p>
      <w:pPr>
        <w:pStyle w:val="Normal"/>
        <w:rPr/>
      </w:pPr>
      <w:r>
        <w:rPr/>
      </w:r>
    </w:p>
    <w:p>
      <w:pPr>
        <w:pStyle w:val="Normal"/>
        <w:ind w:hanging="720" w:start="1440" w:end="0"/>
        <w:rPr/>
      </w:pPr>
      <w:r>
        <w:rPr/>
        <w:t>9.</w:t>
        <w:tab/>
        <w:t>Electric Power Management Agreement between Enron Compression Services Company and HPLCC dated December 1, 1998  [Looper]  [This will be terminated prior to Closing].</w:t>
      </w:r>
    </w:p>
    <w:p>
      <w:pPr>
        <w:pStyle w:val="Normal"/>
        <w:rPr/>
      </w:pPr>
      <w:r>
        <w:rPr/>
      </w:r>
    </w:p>
    <w:p>
      <w:pPr>
        <w:pStyle w:val="Normal"/>
        <w:ind w:hanging="720" w:start="1440" w:end="0"/>
        <w:rPr/>
      </w:pPr>
      <w:r>
        <w:rPr/>
        <w:t>10.</w:t>
        <w:tab/>
        <w:t>Purchase Agreement between Hanover and HPL dated September 29, 1997 [Hanover I]</w:t>
      </w:r>
    </w:p>
    <w:p>
      <w:pPr>
        <w:pStyle w:val="Normal"/>
        <w:rPr/>
      </w:pPr>
      <w:r>
        <w:rPr/>
      </w:r>
    </w:p>
    <w:p>
      <w:pPr>
        <w:pStyle w:val="Normal"/>
        <w:ind w:hanging="720" w:start="1440" w:end="0"/>
        <w:rPr/>
      </w:pPr>
      <w:r>
        <w:rPr/>
        <w:t>11.</w:t>
        <w:tab/>
        <w:t>Purchase Agreement between Hanover and HPL dated April 1, 1998 [Hanover II]</w:t>
      </w:r>
    </w:p>
    <w:p>
      <w:pPr>
        <w:pStyle w:val="Normal"/>
        <w:rPr/>
      </w:pPr>
      <w:r>
        <w:rPr/>
      </w:r>
    </w:p>
    <w:p>
      <w:pPr>
        <w:pStyle w:val="Normal"/>
        <w:ind w:hanging="720" w:start="1440" w:end="0"/>
        <w:rPr/>
      </w:pPr>
      <w:r>
        <w:rPr/>
        <w:t>12.</w:t>
        <w:tab/>
        <w:t>Purchase Agreement between Hanover and HPL dated June 29, 1999 [Hanover III]</w:t>
      </w:r>
    </w:p>
    <w:p>
      <w:pPr>
        <w:pStyle w:val="Normal"/>
        <w:rPr/>
      </w:pPr>
      <w:r>
        <w:rPr/>
      </w:r>
    </w:p>
    <w:p>
      <w:pPr>
        <w:pStyle w:val="Normal"/>
        <w:ind w:hanging="720" w:start="1440" w:end="0"/>
        <w:rPr/>
      </w:pPr>
      <w:r>
        <w:rPr/>
        <w:t>13.</w:t>
        <w:tab/>
        <w:t>Purchase Agreement between Hanover and HPL dated March 31, 2000  [Hanover IV]</w:t>
      </w:r>
    </w:p>
    <w:p>
      <w:pPr>
        <w:pStyle w:val="Normal"/>
        <w:rPr/>
      </w:pPr>
      <w:r>
        <w:rPr/>
      </w:r>
    </w:p>
    <w:p>
      <w:pPr>
        <w:pStyle w:val="Normal"/>
        <w:ind w:hanging="720" w:start="1440" w:end="0"/>
        <w:rPr/>
      </w:pPr>
      <w:r>
        <w:rPr/>
        <w:t>14.</w:t>
        <w:tab/>
        <w:t>Compression Management Agreement between Hanover and HPL dated September 30, 1997, as amended by two amendments effective as of March 1, 1998, and two other amendments dated as of April 1, 1999 and March 31, 2000, [Hanover I, II, III, IV]</w:t>
      </w:r>
    </w:p>
    <w:p>
      <w:pPr>
        <w:pStyle w:val="Normal"/>
        <w:rPr/>
      </w:pPr>
      <w:r>
        <w:rPr/>
      </w:r>
    </w:p>
    <w:p>
      <w:pPr>
        <w:pStyle w:val="Normal"/>
        <w:ind w:hanging="720" w:start="1440" w:end="0"/>
        <w:rPr/>
      </w:pPr>
      <w:r>
        <w:rPr/>
        <w:t>15.</w:t>
        <w:tab/>
        <w:t>Amended and Restated Limited Partnership Agreement of Hanover Measurement Services Company, L.P. between HPL and Hanover Measurement, LLC dated September 30, 1999   [Note the HMS partnership interest held by HPL will be assigned to LOA, Inc. prior to Closing]</w:t>
      </w:r>
    </w:p>
    <w:p>
      <w:pPr>
        <w:pStyle w:val="Normal"/>
        <w:rPr/>
      </w:pPr>
      <w:r>
        <w:rPr/>
      </w:r>
    </w:p>
    <w:p>
      <w:pPr>
        <w:pStyle w:val="Normal"/>
        <w:ind w:hanging="720" w:start="1440" w:end="0"/>
        <w:rPr/>
      </w:pPr>
      <w:r>
        <w:rPr/>
        <w:t>16.</w:t>
        <w:tab/>
        <w:t>Measurement and Associated Services SubAgreement between HMS and Meter Acquisition Company, LP, LLLP (“MAC”) dated September 30, 1999  [Note that in connection with the dissolution of MAC this agreement will be transferred to HPL prior to Closing so that HPL will be the Post Closing recipient of these measuring services with respect to both the leased and nonleased meters]</w:t>
      </w:r>
    </w:p>
    <w:p>
      <w:pPr>
        <w:pStyle w:val="Normal"/>
        <w:rPr/>
      </w:pPr>
      <w:r>
        <w:rPr/>
      </w:r>
    </w:p>
    <w:p>
      <w:pPr>
        <w:pStyle w:val="Normal"/>
        <w:ind w:hanging="720" w:start="1440" w:end="0"/>
        <w:rPr/>
      </w:pPr>
      <w:r>
        <w:rPr/>
        <w:t>17.</w:t>
        <w:tab/>
        <w:t>Measurement and Associated Services Agreement between HPL and MAC dated September 30, 1999  [Note that MAC will be dissolved prior to Closing; this Agreement will be terminated and the non-leased Meters will be conveyed to HPL and the remainder of the meters, the leased Meters, will be conveyed to Leaseco and be part of the leased assets under the Sublease Agreement.]</w:t>
      </w:r>
    </w:p>
    <w:p>
      <w:pPr>
        <w:pStyle w:val="Normal"/>
        <w:rPr/>
      </w:pPr>
      <w:r>
        <w:rPr/>
      </w:r>
    </w:p>
    <w:p>
      <w:pPr>
        <w:pStyle w:val="Normal"/>
        <w:ind w:hanging="720" w:start="1440" w:end="0"/>
        <w:rPr/>
      </w:pPr>
      <w:r>
        <w:rPr/>
        <w:t>18.</w:t>
        <w:tab/>
        <w:t xml:space="preserve">First Amended and Restated Agreement for Shared-Use Of Frequencies and Communications Facilities between HPL and HMS dated September 30, 1999  </w:t>
      </w:r>
    </w:p>
    <w:p>
      <w:pPr>
        <w:pStyle w:val="Normal"/>
        <w:rPr/>
      </w:pPr>
      <w:r>
        <w:rPr/>
      </w:r>
    </w:p>
    <w:p>
      <w:pPr>
        <w:pStyle w:val="Normal"/>
        <w:ind w:hanging="720" w:start="1440" w:end="0"/>
        <w:rPr/>
      </w:pPr>
      <w:r>
        <w:rPr/>
        <w:t>19.</w:t>
        <w:tab/>
        <w:t xml:space="preserve">Procurement, Repair and Construction Agreement between HMS and HPL dated September 30, 1999  </w:t>
      </w:r>
    </w:p>
    <w:p>
      <w:pPr>
        <w:pStyle w:val="Normal"/>
        <w:ind w:hanging="720" w:start="1440" w:end="0"/>
        <w:rPr/>
      </w:pPr>
      <w:r>
        <w:rPr/>
      </w:r>
    </w:p>
    <w:p>
      <w:pPr>
        <w:pStyle w:val="Normal"/>
        <w:ind w:hanging="720" w:start="1440" w:end="0"/>
        <w:rPr/>
      </w:pPr>
      <w:r>
        <w:rPr/>
        <w:t>20.</w:t>
        <w:tab/>
        <w:t>Pressurization and Storage Gas Borrowing Agreement dated as of 12/30/97 by and among HPL and HPL Resources Company and the Bank of New York as trustee of the Bammel Gas Trust will be assigned to Leaseco prior to Closing.</w:t>
      </w:r>
    </w:p>
    <w:p>
      <w:pPr>
        <w:pStyle w:val="Normal"/>
        <w:ind w:hanging="720" w:start="1440" w:end="0"/>
        <w:rPr/>
      </w:pPr>
      <w:r>
        <w:rPr/>
      </w:r>
    </w:p>
    <w:p>
      <w:pPr>
        <w:pStyle w:val="Normal"/>
        <w:ind w:hanging="720" w:start="1440" w:end="0"/>
        <w:rPr/>
      </w:pPr>
      <w:r>
        <w:rPr/>
        <w:t>21.</w:t>
        <w:tab/>
        <w:t>Amended and Restated General Partnership Agreement of MidTexas Pipeline Company (“MTP”) effective as of August 19, 1994 between HPL and TECO Pipeline Company, as amended by Amendment effective as of June 30, 1998.  [This Agreement will be amended prior to Closing in connection with the unwind of the MidTexas monetization.]</w:t>
      </w:r>
    </w:p>
    <w:p>
      <w:pPr>
        <w:pStyle w:val="Normal"/>
        <w:ind w:hanging="720" w:start="1440" w:end="0"/>
        <w:rPr/>
      </w:pPr>
      <w:r>
        <w:rPr/>
      </w:r>
    </w:p>
    <w:p>
      <w:pPr>
        <w:pStyle w:val="Normal"/>
        <w:ind w:hanging="720" w:start="1440" w:end="0"/>
        <w:rPr/>
      </w:pPr>
      <w:r>
        <w:rPr/>
        <w:t>22.</w:t>
        <w:tab/>
        <w:t>Operating Agreement dated December 15, 1995 between HPL and MTP, as amended by Ratification of and Amendment to Operating Agreement effective as of June 30, 1998.  (This agreement may be amended in connection with the unwind of the MidTexas monetization.)</w:t>
      </w:r>
    </w:p>
    <w:p>
      <w:pPr>
        <w:pStyle w:val="Normal"/>
        <w:ind w:hanging="720" w:start="1440" w:end="0"/>
        <w:rPr/>
      </w:pPr>
      <w:r>
        <w:rPr/>
      </w:r>
    </w:p>
    <w:p>
      <w:pPr>
        <w:pStyle w:val="Normal"/>
        <w:ind w:hanging="720" w:start="1440" w:end="0"/>
        <w:rPr/>
      </w:pPr>
      <w:r>
        <w:rPr/>
        <w:t>23.</w:t>
        <w:tab/>
        <w:t>Gas Transportation Agreement dated August 19, 1994, between HPL and TECO, as amended by Amendment to Gas Transportation Agreement effective as of June 30, 1998.  (This Agreement may be amended in connection with the unwind of the MidTexas monetization.)</w:t>
      </w:r>
    </w:p>
    <w:p>
      <w:pPr>
        <w:pStyle w:val="Normal"/>
        <w:ind w:hanging="720" w:start="1440" w:end="0"/>
        <w:rPr/>
      </w:pPr>
      <w:r>
        <w:rPr/>
      </w:r>
    </w:p>
    <w:p>
      <w:pPr>
        <w:pStyle w:val="Normal"/>
        <w:ind w:hanging="720" w:start="1440" w:end="0"/>
        <w:rPr/>
      </w:pPr>
      <w:r>
        <w:rPr/>
        <w:t>24.</w:t>
        <w:tab/>
        <w:t>Capital Construction Agreement dated July 18, 2000 between Coastline Resources, Inc. and HPL.</w:t>
      </w:r>
    </w:p>
    <w:p>
      <w:pPr>
        <w:pStyle w:val="Normal"/>
        <w:ind w:hanging="720" w:start="1440" w:end="0"/>
        <w:rPr/>
      </w:pPr>
      <w:r>
        <w:rPr/>
      </w:r>
    </w:p>
    <w:p>
      <w:pPr>
        <w:pStyle w:val="Normal"/>
        <w:ind w:hanging="720" w:start="1440" w:end="0"/>
        <w:rPr/>
      </w:pPr>
      <w:r>
        <w:rPr/>
        <w:t>25.</w:t>
        <w:tab/>
        <w:t>Unit Agreement between Houston Natural Gas Production Company (Grantor) and J. F. Bahr, et al (Grantee), dated January 1, 1966.</w:t>
      </w:r>
    </w:p>
    <w:p>
      <w:pPr>
        <w:pStyle w:val="Normal"/>
        <w:ind w:hanging="720" w:start="1440" w:end="0"/>
        <w:rPr/>
      </w:pPr>
      <w:r>
        <w:rPr/>
      </w:r>
    </w:p>
    <w:p>
      <w:pPr>
        <w:pStyle w:val="Normal"/>
        <w:ind w:hanging="720" w:start="1440" w:end="0"/>
        <w:rPr/>
      </w:pPr>
      <w:r>
        <w:rPr/>
        <w:t>26.</w:t>
        <w:tab/>
        <w:t>First Amendment of Unit Agreement between Houston Natural Gas Production Company (Grantor) and J. F. Bahr, et al (Grantee), dated effective November 22, 1966.</w:t>
      </w:r>
    </w:p>
    <w:p>
      <w:pPr>
        <w:pStyle w:val="Normal"/>
        <w:ind w:hanging="720" w:start="1440" w:end="0"/>
        <w:rPr/>
      </w:pPr>
      <w:r>
        <w:rPr/>
      </w:r>
    </w:p>
    <w:p>
      <w:pPr>
        <w:pStyle w:val="Normal"/>
        <w:ind w:hanging="720" w:start="1440" w:end="0"/>
        <w:rPr/>
      </w:pPr>
      <w:r>
        <w:rPr/>
        <w:t>27.</w:t>
        <w:tab/>
        <w:t>Second Amendment of Unit Agreement between Houston Natural Gas Production Company (Grantor”) and J. F. Bahr, et al (Grantee), dated effective November 1, 1966.</w:t>
      </w:r>
    </w:p>
    <w:p>
      <w:pPr>
        <w:pStyle w:val="Normal"/>
        <w:ind w:hanging="720" w:start="1440" w:end="0"/>
        <w:rPr/>
      </w:pPr>
      <w:r>
        <w:rPr/>
      </w:r>
    </w:p>
    <w:p>
      <w:pPr>
        <w:pStyle w:val="Normal"/>
        <w:ind w:hanging="720" w:start="1440" w:end="0"/>
        <w:rPr/>
      </w:pPr>
      <w:r>
        <w:rPr/>
        <w:t>28.</w:t>
        <w:tab/>
        <w:t>Third Amendment of Unit Agreement between Houston Natural Gas Production Company (Grantor) and J. F. Bahr, et al (Grantee), dated effective January 1, 1968.</w:t>
      </w:r>
    </w:p>
    <w:p>
      <w:pPr>
        <w:pStyle w:val="Normal"/>
        <w:ind w:hanging="720" w:start="1440" w:end="0"/>
        <w:rPr/>
      </w:pPr>
      <w:r>
        <w:rPr/>
      </w:r>
    </w:p>
    <w:p>
      <w:pPr>
        <w:pStyle w:val="Normal"/>
        <w:ind w:hanging="720" w:start="1440" w:end="0"/>
        <w:rPr/>
      </w:pPr>
      <w:r>
        <w:rPr/>
        <w:t>29.</w:t>
        <w:tab/>
        <w:t>That certain performance guaranty issued by HPL in favor of Entex guaranteeing the obligations of ENA under the Entex Sales Contract.</w:t>
      </w:r>
    </w:p>
    <w:p>
      <w:pPr>
        <w:pStyle w:val="Normal"/>
        <w:jc w:val="both"/>
        <w:rPr/>
      </w:pPr>
      <w:r>
        <w:rPr/>
      </w:r>
    </w:p>
    <w:p>
      <w:pPr>
        <w:pStyle w:val="Normal"/>
        <w:jc w:val="both"/>
        <w:rPr/>
      </w:pPr>
      <w:r>
        <w:rPr/>
        <w:t>See also responses listed in (ii), (v), (vi) and (vii) below.</w:t>
      </w:r>
    </w:p>
    <w:p>
      <w:pPr>
        <w:pStyle w:val="Normal"/>
        <w:ind w:start="1080" w:end="0"/>
        <w:jc w:val="both"/>
        <w:rPr/>
      </w:pPr>
      <w:r>
        <w:rPr/>
      </w:r>
    </w:p>
    <w:p>
      <w:pPr>
        <w:pStyle w:val="BodyTextIndent2"/>
        <w:tabs>
          <w:tab w:val="clear" w:pos="1080"/>
          <w:tab w:val="left" w:pos="720" w:leader="none"/>
        </w:tabs>
        <w:ind w:hanging="720" w:start="720" w:end="0"/>
        <w:jc w:val="both"/>
        <w:rPr/>
      </w:pPr>
      <w:r>
        <w:rPr/>
        <w:t>(ii)</w:t>
        <w:tab/>
        <w:t>Lease Agreement effective November 10, 1999 between HPL Asset Holdings L.P. as Lessor and HPL as Lessee.  This Lease Agreement will be assigned by HPL to Leaseco prior to the Closing, and a new Sublease in the form of Exhibit 3.2(e) between Leaseco and HPL will be entered into.</w:t>
      </w:r>
    </w:p>
    <w:p>
      <w:pPr>
        <w:pStyle w:val="Normal"/>
        <w:tabs>
          <w:tab w:val="clear" w:pos="720"/>
          <w:tab w:val="left" w:pos="1080" w:leader="none"/>
        </w:tabs>
        <w:ind w:start="360" w:end="0"/>
        <w:jc w:val="both"/>
        <w:rPr/>
      </w:pPr>
      <w:r>
        <w:rPr/>
      </w:r>
    </w:p>
    <w:p>
      <w:pPr>
        <w:pStyle w:val="Header"/>
        <w:tabs>
          <w:tab w:val="clear" w:pos="4680"/>
          <w:tab w:val="clear" w:pos="9360"/>
          <w:tab w:val="left" w:pos="720" w:leader="none"/>
        </w:tabs>
        <w:jc w:val="both"/>
        <w:rPr/>
      </w:pPr>
      <w:r>
        <w:rPr/>
        <w:t>(iii)</w:t>
        <w:tab/>
        <w:t>None</w:t>
      </w:r>
    </w:p>
    <w:p>
      <w:pPr>
        <w:pStyle w:val="Normal"/>
        <w:tabs>
          <w:tab w:val="clear" w:pos="720"/>
          <w:tab w:val="left" w:pos="1080" w:leader="none"/>
        </w:tabs>
        <w:ind w:start="360" w:end="0"/>
        <w:jc w:val="both"/>
        <w:rPr/>
      </w:pPr>
      <w:r>
        <w:rPr/>
      </w:r>
    </w:p>
    <w:p>
      <w:pPr>
        <w:pStyle w:val="Normal"/>
        <w:tabs>
          <w:tab w:val="left" w:pos="720" w:leader="none"/>
        </w:tabs>
        <w:jc w:val="both"/>
        <w:rPr/>
      </w:pPr>
      <w:r>
        <w:rPr/>
        <w:t>(iv)</w:t>
        <w:tab/>
        <w:t>None</w:t>
      </w:r>
    </w:p>
    <w:p>
      <w:pPr>
        <w:pStyle w:val="BodyTextIndent2"/>
        <w:tabs>
          <w:tab w:val="clear" w:pos="1080"/>
          <w:tab w:val="left" w:pos="720" w:leader="none"/>
        </w:tabs>
        <w:ind w:hanging="720" w:start="720" w:end="0"/>
        <w:jc w:val="both"/>
        <w:rPr/>
      </w:pPr>
      <w:r>
        <w:rPr/>
      </w:r>
    </w:p>
    <w:p>
      <w:pPr>
        <w:pStyle w:val="BodyTextIndent2"/>
        <w:tabs>
          <w:tab w:val="clear" w:pos="1080"/>
          <w:tab w:val="left" w:pos="720" w:leader="none"/>
        </w:tabs>
        <w:ind w:hanging="720" w:start="720" w:end="0"/>
        <w:jc w:val="both"/>
        <w:rPr/>
      </w:pPr>
      <w:r>
        <w:rPr/>
        <w:t>(v)</w:t>
      </w:r>
      <w:r>
        <w:rPr>
          <w:b/>
          <w:bCs/>
        </w:rPr>
        <w:tab/>
      </w:r>
      <w:r>
        <w:rPr/>
        <w:t>The following sets forth those gas exchange agreements, gas purchase contracts and gas sales contracts which either (A) as of May 1, 2001 provides for receipt or payment by an Acquired Company of more than $5,000,000 annually, or (B) provides for receipt or payment by an Acquired Company of $2,000,000 or more annually and which as of May 1, 2001 has a primary term remaining of at least twelve (12) months, excluding any master agreement pursuant to which spot sale transactions are made but including any master agreement with outstanding confirmations thereunder which confirmation is within the disclosure parameters of this subsection (v).</w:t>
      </w:r>
      <w:r>
        <w:rPr>
          <w:b/>
          <w:bCs/>
        </w:rPr>
        <w:t xml:space="preserve">  </w:t>
      </w:r>
      <w:r>
        <w:rPr/>
        <w:t>Together with, to the best of Seller’s knowledge, the amendments applicable thereto as reflected in Enron’s Global Contract System as of May1, 2001.</w:t>
      </w:r>
    </w:p>
    <w:p>
      <w:pPr>
        <w:pStyle w:val="Heading2"/>
        <w:ind w:hanging="0" w:start="0"/>
        <w:rPr>
          <w:b w:val="false"/>
          <w:bCs w:val="false"/>
        </w:rPr>
      </w:pPr>
      <w:r>
        <w:rPr>
          <w:b w:val="false"/>
          <w:bCs w:val="false"/>
        </w:rPr>
      </w:r>
    </w:p>
    <w:p>
      <w:pPr>
        <w:pStyle w:val="Normal"/>
        <w:rPr>
          <w:b/>
          <w:bCs/>
          <w:u w:val="single"/>
        </w:rPr>
      </w:pPr>
      <w:r>
        <w:rPr>
          <w:b/>
          <w:bCs/>
          <w:u w:val="single"/>
        </w:rPr>
        <w:t>Purchases</w:t>
      </w:r>
    </w:p>
    <w:p>
      <w:pPr>
        <w:pStyle w:val="Normal"/>
        <w:rPr/>
      </w:pPr>
      <w:r>
        <w:rPr/>
      </w:r>
    </w:p>
    <w:p>
      <w:pPr>
        <w:pStyle w:val="Normal"/>
        <w:rPr/>
      </w:pPr>
      <w:r>
        <w:rPr/>
      </w:r>
    </w:p>
    <w:p>
      <w:pPr>
        <w:pStyle w:val="Normal"/>
        <w:numPr>
          <w:ilvl w:val="0"/>
          <w:numId w:val="17"/>
        </w:numPr>
        <w:tabs>
          <w:tab w:val="clear" w:pos="720"/>
        </w:tabs>
        <w:ind w:hanging="720" w:start="720" w:end="0"/>
        <w:rPr/>
      </w:pPr>
      <w:r>
        <w:rPr/>
        <w:t xml:space="preserve">Enron Global Contract </w:t>
      </w:r>
      <w:r>
        <w:rPr>
          <w:strike/>
        </w:rPr>
        <w:t>____________________.</w:t>
      </w:r>
      <w:r>
        <w:rPr/>
        <w:t xml:space="preserve"> </w:t>
      </w:r>
      <w:r>
        <w:rPr>
          <w:b/>
          <w:bCs/>
          <w:u w:val="double"/>
        </w:rPr>
        <w:t>96016597.</w:t>
      </w:r>
      <w:r>
        <w:rPr/>
        <w:t xml:space="preserve"> That certain </w:t>
      </w:r>
      <w:r>
        <w:rPr>
          <w:b/>
          <w:bCs/>
          <w:u w:val="double"/>
        </w:rPr>
        <w:t>Enfolio Firm Confirmation-</w:t>
      </w:r>
      <w:r>
        <w:rPr/>
        <w:t xml:space="preserve">Enfolio Firm General Terms and Conditions </w:t>
      </w:r>
      <w:r>
        <w:rPr>
          <w:strike/>
        </w:rPr>
        <w:t>dated May 8, 2001 between AEP Energy Services, Inc. and Enron North America Corp.</w:t>
      </w:r>
      <w:r>
        <w:rPr/>
        <w:t xml:space="preserve"> </w:t>
      </w:r>
      <w:r>
        <w:rPr>
          <w:b/>
          <w:bCs/>
          <w:u w:val="double"/>
        </w:rPr>
        <w:t>Govern dated December 22,2000 between Altrade Transaction, LLC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96034125.  That certain Enfolio Firm Confirmation-Enfolio Firm General Terms and Conditions dated April 1, 2001 between BP Energy Company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96026727.  That certain Enfolio Firm Confirmation-Enfolio Firm General Terms and Conditions dated December 1, 1999 between BP Energy Company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96016884.  That certain Enfolio Gas Purchase Agreement (Reserves Committed/Index Pricing) dated August 1, 1998 between C&amp;E Operating, Inc. and Houston Pipe Line Company, as amended by Amendment effective.</w:t>
      </w:r>
    </w:p>
    <w:p>
      <w:pPr>
        <w:pStyle w:val="Normal"/>
        <w:ind w:hanging="720" w:start="720" w:end="0"/>
        <w:rPr/>
      </w:pPr>
      <w:r>
        <w:rPr/>
      </w:r>
    </w:p>
    <w:p>
      <w:pPr>
        <w:pStyle w:val="Normal"/>
        <w:numPr>
          <w:ilvl w:val="0"/>
          <w:numId w:val="17"/>
        </w:numPr>
        <w:tabs>
          <w:tab w:val="clear" w:pos="720"/>
        </w:tabs>
        <w:ind w:hanging="720" w:start="720" w:end="0"/>
        <w:rPr/>
      </w:pPr>
      <w:r>
        <w:rPr/>
        <w:t>Enron Global Contract 96053168.  That certain Enfolio Gas Purchase Agreement (Reserves Committed/Index Pricing) dated November 1, 2000 between Cabot Oil &amp; Gas Marketing Corporation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96034767.  That certain Enfolio Master Firm Purchase/Sale Agreement dated February 1, 2000 between Cannon Interests Houston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96052809.  That certain Enfolio Gas Purchase Agreement (Reserves Committed/Index Pricing/Well Dedication(s)) dated December 1, 2000 between Cody Energy LLC and Houston Pipe Line Company, as amended by Amendment dated February 1, 2001.</w:t>
      </w:r>
    </w:p>
    <w:p>
      <w:pPr>
        <w:pStyle w:val="Normal"/>
        <w:ind w:hanging="720" w:start="720" w:end="0"/>
        <w:rPr/>
      </w:pPr>
      <w:r>
        <w:rPr/>
      </w:r>
    </w:p>
    <w:p>
      <w:pPr>
        <w:pStyle w:val="Normal"/>
        <w:numPr>
          <w:ilvl w:val="0"/>
          <w:numId w:val="17"/>
        </w:numPr>
        <w:tabs>
          <w:tab w:val="clear" w:pos="720"/>
        </w:tabs>
        <w:ind w:hanging="720" w:start="720" w:end="0"/>
        <w:rPr/>
      </w:pPr>
      <w:r>
        <w:rPr/>
        <w:t>Enron Global Contract 96018049.  That certain Enfolio Gas Purchase Agreement (Master Wellhead/Field) dated November 1, 1998 between Cody Texas, L.P. (assignee of TransTexas Gas Corporation</w:t>
      </w:r>
      <w:r>
        <w:rPr>
          <w:b/>
          <w:bCs/>
          <w:u w:val="double"/>
        </w:rPr>
        <w:t>)</w:t>
      </w:r>
      <w:r>
        <w:rPr/>
        <w:t xml:space="preserve"> and Houston Pipe Line Company.</w:t>
      </w:r>
      <w:r>
        <w:rPr>
          <w:strike/>
        </w:rPr>
        <w:t>)</w:t>
      </w:r>
    </w:p>
    <w:p>
      <w:pPr>
        <w:pStyle w:val="Normal"/>
        <w:ind w:hanging="720" w:start="720" w:end="0"/>
        <w:rPr/>
      </w:pPr>
      <w:r>
        <w:rPr/>
      </w:r>
    </w:p>
    <w:p>
      <w:pPr>
        <w:pStyle w:val="Normal"/>
        <w:numPr>
          <w:ilvl w:val="0"/>
          <w:numId w:val="17"/>
        </w:numPr>
        <w:tabs>
          <w:tab w:val="clear" w:pos="720"/>
        </w:tabs>
        <w:ind w:hanging="720" w:start="720" w:end="0"/>
        <w:rPr/>
      </w:pPr>
      <w:r>
        <w:rPr/>
        <w:t>Enron Global Contract 96045720.  That certain Enfolio Gas Purchase Agreement (Reserves Committed/Index Pricing/Flexible Pricing) dated August 1, 2000 between Cokinos Natural Gas Company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96003917.  That certain Gas Purchase Agreement dated November 24, 1992 between Comstock Oil &amp; Gas, Inc. (assignee of Black Stone Oil Company, et al) and Houston Pipe Line Company, (assignee of HPL Resources Company, successor to Natural Gas Marketing &amp; Storage Company) as amended and restated effective July 1, 1995 together with the Amendment dated June 1, 2000.</w:t>
      </w:r>
    </w:p>
    <w:p>
      <w:pPr>
        <w:pStyle w:val="Normal"/>
        <w:ind w:hanging="720" w:start="720" w:end="0"/>
        <w:rPr/>
      </w:pPr>
      <w:r>
        <w:rPr/>
      </w:r>
    </w:p>
    <w:p>
      <w:pPr>
        <w:pStyle w:val="Normal"/>
        <w:numPr>
          <w:ilvl w:val="0"/>
          <w:numId w:val="17"/>
        </w:numPr>
        <w:tabs>
          <w:tab w:val="clear" w:pos="720"/>
        </w:tabs>
        <w:ind w:hanging="720" w:start="720" w:end="0"/>
        <w:rPr/>
      </w:pPr>
      <w:r>
        <w:rPr/>
        <w:t>Enron Global Contract 96001783.  That certain Gas Purchase Agreement (Reserves Committed/Index Pricing) dated June 1, 1995 between Conoco, Inc. and Houston Pipe Line Company (assignee of HPL Resources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96017091.  That certain Enfolio Gas Purchase Agreement (Reserves Committed/Index Pricing) dated July 1, 1998 between Dallas Production Inc. and Houston Pipe Line Company, as amended by Amendments effective December 1, 1998, March 1, 1999, March 1, 1999, December 1, 1999 and October 1, 2000.</w:t>
      </w:r>
    </w:p>
    <w:p>
      <w:pPr>
        <w:pStyle w:val="Normal"/>
        <w:ind w:hanging="720" w:start="720" w:end="0"/>
        <w:rPr/>
      </w:pPr>
      <w:r>
        <w:rPr/>
      </w:r>
    </w:p>
    <w:p>
      <w:pPr>
        <w:pStyle w:val="Normal"/>
        <w:numPr>
          <w:ilvl w:val="0"/>
          <w:numId w:val="17"/>
        </w:numPr>
        <w:tabs>
          <w:tab w:val="clear" w:pos="720"/>
        </w:tabs>
        <w:ind w:hanging="720" w:start="720" w:end="0"/>
        <w:rPr/>
      </w:pPr>
      <w:r>
        <w:rPr/>
        <w:t>Enron Global Contract 96020745.  That certain Enfolio Gas Purchase Agreement (Reserves Committed/Index Pricing/Flexible Pricing) dated April 1, 1999 between Dominion Exploration &amp; Production, Inc. (formerly Suemaur Exploration &amp; Production, LLC)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96022856.  That certain Enfolio Gas Purchase Agreement (Reserves Committed/Index Pricing) dated September 1, 1999 between Dominion Exploration &amp; Production, Inc. (formerly CNG Producing Company)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96035117.  That certain Enfolio Master Firm Purchase/Sale Agreement dated January 1, 2000 between Duke Energy Field Services Marketing LLC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96047508.  That certain Enfolio Firm Confirmation-Enfolio Firm General Terms and Conditions dated September 25, 2000 between Duke Energy Field Services Marketing, LLC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96047514.  That certain Enfolio Firm Confirmation-Enfolio Firm General Terms and Conditions dated September 21, 2000 between Duke Energy Field Services Marketing, LLC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96057245.  That certain Enfolio Firm Confirmation-Enfolio Firm General Terms &amp; Conditions Agreement dated April 1, 2001 between Dynegy Marketing and Trade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96044486.  That certain Enfolio Gas Purchase Agreement (Reserves Committed/Index Pricing) dated July 1, 2000 between EEX Operating, LP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96016771.  That certain Firm Gas Sales Agreement dated September 1, 1998 between El Paso Industrial Energy, L.P. (formerly PG&amp;E Texas Industrial Energy, L.P.) and Houston Pipe Line Company.</w:t>
      </w:r>
    </w:p>
    <w:p>
      <w:pPr>
        <w:pStyle w:val="Normal"/>
        <w:ind w:hanging="720" w:start="720" w:end="0"/>
        <w:rPr/>
      </w:pPr>
      <w:r>
        <w:rPr/>
      </w:r>
    </w:p>
    <w:p>
      <w:pPr>
        <w:pStyle w:val="Normal"/>
        <w:numPr>
          <w:ilvl w:val="0"/>
          <w:numId w:val="17"/>
        </w:numPr>
        <w:tabs>
          <w:tab w:val="clear" w:pos="720"/>
        </w:tabs>
        <w:ind w:hanging="720" w:start="720" w:end="0"/>
        <w:rPr/>
      </w:pPr>
      <w:r>
        <w:rPr/>
        <w:t xml:space="preserve">Enron Global Contract 96002256 and 96019287.  That certain Gas Purchase Agreement dated March 1, 1988 between El Paso Production Company and Houston Pipe Line Company, as amended by Amendments effective September 20, 1990, January 1, 1991, July 1, 1992, July 1, 1992, July 1, 1992, July 1, 1992, January 1, 1993, October1, 1993, and April 1, 1995. </w:t>
      </w:r>
    </w:p>
    <w:p>
      <w:pPr>
        <w:pStyle w:val="Normal"/>
        <w:ind w:hanging="720" w:start="720" w:end="0"/>
        <w:rPr/>
      </w:pPr>
      <w:r>
        <w:rPr/>
      </w:r>
    </w:p>
    <w:p>
      <w:pPr>
        <w:pStyle w:val="Normal"/>
        <w:numPr>
          <w:ilvl w:val="0"/>
          <w:numId w:val="17"/>
        </w:numPr>
        <w:tabs>
          <w:tab w:val="clear" w:pos="720"/>
        </w:tabs>
        <w:ind w:hanging="720" w:start="720" w:end="0"/>
        <w:rPr/>
      </w:pPr>
      <w:r>
        <w:rPr/>
        <w:t>Enron Global Contract 96001780.  That certain Gas Purchase Agreement dated March 1, 1988 between EOG Resources, Inc. (successor to Enron Oil &amp; Gas Company) and Houston Pipe Line Company (assignee of HPL Resources Company, successor to Natural Gas Marketing &amp; Storage Company) as amended by Amendments dated September 20, 1990, January 1, 1991, July 1, 1992, January 1, 1993, October 1, 1993, April 1, 1995, May 1, 1997, July 1, 1997 and October 1, 1997.</w:t>
      </w:r>
    </w:p>
    <w:p>
      <w:pPr>
        <w:pStyle w:val="Normal"/>
        <w:ind w:hanging="720" w:start="720" w:end="0"/>
        <w:rPr/>
      </w:pPr>
      <w:r>
        <w:rPr/>
      </w:r>
    </w:p>
    <w:p>
      <w:pPr>
        <w:pStyle w:val="Normal"/>
        <w:numPr>
          <w:ilvl w:val="0"/>
          <w:numId w:val="17"/>
        </w:numPr>
        <w:tabs>
          <w:tab w:val="clear" w:pos="720"/>
        </w:tabs>
        <w:ind w:hanging="720" w:start="720" w:end="0"/>
        <w:rPr/>
      </w:pPr>
      <w:r>
        <w:rPr/>
        <w:t>Enron Global Contract 96017489.  That certain Enfolio Gas Purchase Agreement (Reserves Committed/Index Pricing) dated December 1, 1997 between EOG Resources, Inc. (successor to Enron Oil &amp; Gas Company) and Houston Pipe Line Company, as amended by Amendment effective approximately January 1, 1999.</w:t>
      </w:r>
    </w:p>
    <w:p>
      <w:pPr>
        <w:pStyle w:val="Normal"/>
        <w:ind w:hanging="720" w:start="720" w:end="0"/>
        <w:rPr/>
      </w:pPr>
      <w:r>
        <w:rPr/>
      </w:r>
    </w:p>
    <w:p>
      <w:pPr>
        <w:pStyle w:val="Normal"/>
        <w:numPr>
          <w:ilvl w:val="0"/>
          <w:numId w:val="17"/>
        </w:numPr>
        <w:tabs>
          <w:tab w:val="clear" w:pos="720"/>
        </w:tabs>
        <w:ind w:hanging="720" w:start="720" w:end="0"/>
        <w:rPr/>
      </w:pPr>
      <w:r>
        <w:rPr/>
        <w:t>Enron Global Contract 96017491.  That certain Enfolio Gas Purchase Agreement (Reserves Committed/Index Pricing) dated December 1, 1997 between EOG Resources, Inc. (formerly Enron Oil &amp; Gas Company) and Houston Pipe Line Company (assignee of HPL Resources Company), as amended by Amendments dated February 26, 1998, November 1, 1999, and December 1, 1999.</w:t>
      </w:r>
    </w:p>
    <w:p>
      <w:pPr>
        <w:pStyle w:val="Normal"/>
        <w:ind w:hanging="720" w:start="720" w:end="0"/>
        <w:rPr/>
      </w:pPr>
      <w:r>
        <w:rPr/>
      </w:r>
    </w:p>
    <w:p>
      <w:pPr>
        <w:pStyle w:val="Normal"/>
        <w:numPr>
          <w:ilvl w:val="0"/>
          <w:numId w:val="17"/>
        </w:numPr>
        <w:tabs>
          <w:tab w:val="clear" w:pos="720"/>
        </w:tabs>
        <w:ind w:hanging="720" w:start="720" w:end="0"/>
        <w:rPr/>
      </w:pPr>
      <w:r>
        <w:rPr/>
        <w:t>Enron Global Contract 96019270.  That certain Enfolio Gas Purchase Agreement (Reserves Committed/Index Pricing) dated between EOG Resources, Inc. (successor to Enron Oil &amp; Gas Company) and Houston Pipe Line Company, as amended by Amendment effective December 15, 1998.</w:t>
      </w:r>
    </w:p>
    <w:p>
      <w:pPr>
        <w:pStyle w:val="Normal"/>
        <w:ind w:hanging="720" w:start="720" w:end="0"/>
        <w:rPr/>
      </w:pPr>
      <w:r>
        <w:rPr/>
      </w:r>
    </w:p>
    <w:p>
      <w:pPr>
        <w:pStyle w:val="Normal"/>
        <w:numPr>
          <w:ilvl w:val="0"/>
          <w:numId w:val="17"/>
        </w:numPr>
        <w:tabs>
          <w:tab w:val="clear" w:pos="720"/>
        </w:tabs>
        <w:ind w:hanging="720" w:start="720" w:end="0"/>
        <w:rPr/>
      </w:pPr>
      <w:r>
        <w:rPr/>
        <w:t>Enron Global Contract 96023210.  That certain Enfolio Gas Purchase Agreement (Reserves Committed/Index Pricing) dated August 1, 1999 between EOG Resources, Inc. (successor to Enron Oil &amp; Gas Company)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96023216.  That certain Enfolio Gas Purchase Agreement (Reserves Committed/Index Pricing) dated between EOG Resources, Inc. (successor to Enron Oil &amp; Gas Company) and Houston Pipe Line Company, as amended by Amendment effective June 1, 2000.</w:t>
      </w:r>
    </w:p>
    <w:p>
      <w:pPr>
        <w:pStyle w:val="Normal"/>
        <w:ind w:hanging="720" w:start="720" w:end="0"/>
        <w:rPr/>
      </w:pPr>
      <w:r>
        <w:rPr/>
      </w:r>
    </w:p>
    <w:p>
      <w:pPr>
        <w:pStyle w:val="Normal"/>
        <w:numPr>
          <w:ilvl w:val="0"/>
          <w:numId w:val="17"/>
        </w:numPr>
        <w:tabs>
          <w:tab w:val="clear" w:pos="720"/>
        </w:tabs>
        <w:ind w:hanging="720" w:start="720" w:end="0"/>
        <w:rPr/>
      </w:pPr>
      <w:r>
        <w:rPr/>
        <w:t>Enron Global Contract 96001795.  That certain Gas Purchase Agreement dated January 8, 1988 between EOG Resources, Inc. (assignee Enron Oil &amp; Gas Company) and Houston Pipe Line Company, as amended by Amendments dated October 1, 1988, September 20, 1990, March 1, 1992, June 1, 1992, July 1, 1993, June 1, 1994, December 1, 1994, March 28</w:t>
      </w:r>
      <w:r>
        <w:rPr>
          <w:vertAlign w:val="superscript"/>
        </w:rPr>
        <w:t>th</w:t>
      </w:r>
      <w:r>
        <w:rPr/>
        <w:t xml:space="preserve">, 1995, June 1, 1995, June 1, 1996, June 1, 1996, and December 1, 1997.  </w:t>
      </w:r>
    </w:p>
    <w:p>
      <w:pPr>
        <w:pStyle w:val="Normal"/>
        <w:ind w:hanging="720" w:start="720" w:end="0"/>
        <w:rPr/>
      </w:pPr>
      <w:r>
        <w:rPr/>
      </w:r>
    </w:p>
    <w:p>
      <w:pPr>
        <w:pStyle w:val="Normal"/>
        <w:numPr>
          <w:ilvl w:val="0"/>
          <w:numId w:val="17"/>
        </w:numPr>
        <w:tabs>
          <w:tab w:val="clear" w:pos="720"/>
        </w:tabs>
        <w:ind w:hanging="720" w:start="720" w:end="0"/>
        <w:rPr/>
      </w:pPr>
      <w:r>
        <w:rPr/>
        <w:t>Enron Global Contract 96023435.  That certain Enfolio Gas Purchase Agreement (Reserves Committed/Index Pricing) dated September 1, 1999 between EOG Resources, Inc. and Houston Pipe Line Company.</w:t>
      </w:r>
    </w:p>
    <w:p>
      <w:pPr>
        <w:pStyle w:val="Normal"/>
        <w:ind w:hanging="720" w:start="720" w:end="0"/>
        <w:rPr/>
      </w:pPr>
      <w:r>
        <w:rPr/>
      </w:r>
    </w:p>
    <w:p>
      <w:pPr>
        <w:pStyle w:val="Normal"/>
        <w:numPr>
          <w:ilvl w:val="0"/>
          <w:numId w:val="17"/>
        </w:numPr>
        <w:tabs>
          <w:tab w:val="clear" w:pos="720"/>
        </w:tabs>
        <w:ind w:hanging="720" w:start="720" w:end="0"/>
        <w:rPr/>
      </w:pPr>
      <w:r>
        <w:rPr/>
        <w:t>Enron Global Contract 96032400.  That certain Enfolio Gas Purchase Agreement (Reserves Committed/Index Pricing/Flexible Pricing) dated January 1, 2000 between ETOCO, Inc. and Houston Pipe Line Company.</w:t>
      </w:r>
    </w:p>
    <w:p>
      <w:pPr>
        <w:pStyle w:val="Normal"/>
        <w:ind w:hanging="720" w:start="720" w:end="0"/>
        <w:rPr/>
      </w:pPr>
      <w:r>
        <w:rPr/>
      </w:r>
    </w:p>
    <w:p>
      <w:pPr>
        <w:pStyle w:val="Normal"/>
        <w:numPr>
          <w:ilvl w:val="0"/>
          <w:numId w:val="17"/>
        </w:numPr>
        <w:tabs>
          <w:tab w:val="clear" w:pos="720"/>
        </w:tabs>
        <w:ind w:hanging="720" w:start="720" w:end="0"/>
        <w:rPr>
          <w:strike/>
        </w:rPr>
      </w:pPr>
      <w:r>
        <w:rPr>
          <w:strike/>
        </w:rPr>
        <w:t>. Enron Global Contract _____________. That certain Back to Back Agreement between Enron North America Corp. and Houston Pipe Line Company.</w:t>
      </w:r>
    </w:p>
    <w:p>
      <w:pPr>
        <w:pStyle w:val="Normal"/>
        <w:numPr>
          <w:ilvl w:val="0"/>
          <w:numId w:val="17"/>
        </w:numPr>
        <w:tabs>
          <w:tab w:val="clear" w:pos="720"/>
        </w:tabs>
        <w:ind w:hanging="720" w:start="720" w:end="0"/>
        <w:rPr>
          <w:strike/>
        </w:rPr>
      </w:pPr>
      <w:r>
        <w:rPr>
          <w:strike/>
        </w:rPr>
      </w:r>
    </w:p>
    <w:p>
      <w:pPr>
        <w:pStyle w:val="Normal"/>
        <w:numPr>
          <w:ilvl w:val="0"/>
          <w:numId w:val="17"/>
        </w:numPr>
        <w:tabs>
          <w:tab w:val="clear" w:pos="720"/>
        </w:tabs>
        <w:ind w:hanging="720" w:start="720" w:end="0"/>
        <w:rPr/>
      </w:pPr>
      <w:r>
        <w:rPr>
          <w:strike/>
        </w:rPr>
        <w:t>32</w:t>
      </w:r>
      <w:r>
        <w:rPr/>
        <w:t xml:space="preserve"> Enron Global Contract 96021964.  That certain Gas Purchase/Sales Agreement dated August 1, 1994 between Exxon Mobil Corporation (formerly Exxon Corporation) and Houston Pipe Line Company (assignee of Enron Gas Marketing, Inc.) as amended by Amendment dated November 1, 2000.</w:t>
      </w:r>
    </w:p>
    <w:p>
      <w:pPr>
        <w:pStyle w:val="Normal"/>
        <w:ind w:hanging="720" w:start="720" w:end="0"/>
        <w:rPr/>
      </w:pPr>
      <w:r>
        <w:rPr/>
      </w:r>
    </w:p>
    <w:p>
      <w:pPr>
        <w:pStyle w:val="Normal"/>
        <w:ind w:hanging="720" w:start="720" w:end="0"/>
        <w:rPr>
          <w:strike/>
        </w:rPr>
      </w:pPr>
      <w:r>
        <w:rPr>
          <w:strike/>
        </w:rPr>
        <w:t>33</w:t>
      </w:r>
    </w:p>
    <w:p>
      <w:pPr>
        <w:pStyle w:val="Normal"/>
        <w:numPr>
          <w:ilvl w:val="0"/>
          <w:numId w:val="17"/>
        </w:numPr>
        <w:tabs>
          <w:tab w:val="clear" w:pos="720"/>
        </w:tabs>
        <w:ind w:hanging="720" w:start="720" w:end="0"/>
        <w:rPr/>
      </w:pPr>
      <w:r>
        <w:rPr/>
        <w:t>Enron Global Contract 96007597.  That certain Enfolio Gas Purchase Agreement (Reserves Committed/Index Pricing) dated May 1, 1997 between Forest Oil Corporation and Houston Pipe Line Company, as amended by Amendment effective November 1, 1999.</w:t>
      </w:r>
    </w:p>
    <w:p>
      <w:pPr>
        <w:pStyle w:val="Normal"/>
        <w:ind w:hanging="720" w:start="720" w:end="0"/>
        <w:rPr/>
      </w:pPr>
      <w:r>
        <w:rPr/>
      </w:r>
    </w:p>
    <w:p>
      <w:pPr>
        <w:pStyle w:val="Normal"/>
        <w:ind w:hanging="720" w:start="720" w:end="0"/>
        <w:rPr>
          <w:strike/>
        </w:rPr>
      </w:pPr>
      <w:r>
        <w:rPr>
          <w:strike/>
        </w:rPr>
        <w:t>34</w:t>
      </w:r>
    </w:p>
    <w:p>
      <w:pPr>
        <w:pStyle w:val="Normal"/>
        <w:numPr>
          <w:ilvl w:val="0"/>
          <w:numId w:val="17"/>
        </w:numPr>
        <w:tabs>
          <w:tab w:val="clear" w:pos="720"/>
        </w:tabs>
        <w:ind w:hanging="720" w:start="720" w:end="0"/>
        <w:rPr/>
      </w:pPr>
      <w:r>
        <w:rPr/>
        <w:t>Enron Global Contract 96048499.  That certain Enfolio Firm Confirmation-Enfolio Firm General Terms &amp; Conditions Agreement dated November 1, 2000 between Forest Oil Corporation and Houston Pipe Line Company.</w:t>
      </w:r>
    </w:p>
    <w:p>
      <w:pPr>
        <w:pStyle w:val="Normal"/>
        <w:ind w:hanging="720" w:start="720" w:end="0"/>
        <w:rPr/>
      </w:pPr>
      <w:r>
        <w:rPr/>
      </w:r>
    </w:p>
    <w:p>
      <w:pPr>
        <w:pStyle w:val="Normal"/>
        <w:ind w:hanging="720" w:start="720" w:end="0"/>
        <w:rPr>
          <w:strike/>
        </w:rPr>
      </w:pPr>
      <w:r>
        <w:rPr>
          <w:strike/>
        </w:rPr>
        <w:t>35</w:t>
      </w:r>
    </w:p>
    <w:p>
      <w:pPr>
        <w:pStyle w:val="Normal"/>
        <w:numPr>
          <w:ilvl w:val="0"/>
          <w:numId w:val="17"/>
        </w:numPr>
        <w:tabs>
          <w:tab w:val="clear" w:pos="720"/>
        </w:tabs>
        <w:ind w:hanging="720" w:start="720" w:end="0"/>
        <w:rPr/>
      </w:pPr>
      <w:r>
        <w:rPr/>
        <w:t>Enron Global Contract 96000517.  That certain Enfolio Master Firm Purchase/Sale Agreement dated August 1, 1995 between Formosa Hydrocarbons Company, Inc. and Houston Pipe Line Company and Amendment dated December 2000.</w:t>
      </w:r>
    </w:p>
    <w:p>
      <w:pPr>
        <w:pStyle w:val="Normal"/>
        <w:ind w:hanging="720" w:start="720" w:end="0"/>
        <w:rPr/>
      </w:pPr>
      <w:r>
        <w:rPr/>
      </w:r>
    </w:p>
    <w:p>
      <w:pPr>
        <w:pStyle w:val="Normal"/>
        <w:ind w:hanging="720" w:start="720" w:end="0"/>
        <w:rPr>
          <w:strike/>
        </w:rPr>
      </w:pPr>
      <w:r>
        <w:rPr>
          <w:strike/>
        </w:rPr>
        <w:t>36</w:t>
      </w:r>
    </w:p>
    <w:p>
      <w:pPr>
        <w:pStyle w:val="Normal"/>
        <w:numPr>
          <w:ilvl w:val="0"/>
          <w:numId w:val="17"/>
        </w:numPr>
        <w:tabs>
          <w:tab w:val="clear" w:pos="720"/>
        </w:tabs>
        <w:ind w:hanging="720" w:start="720" w:end="0"/>
        <w:rPr/>
      </w:pPr>
      <w:r>
        <w:rPr/>
        <w:t>Enron Global Contract 96037431.  That certain Enfolio Master Firm Purchase/Sale Agreement (Company to Purchase) dated April 1, 2000 between Gas Solutions, Ltd. and Houston Pipe Line Company.</w:t>
      </w:r>
    </w:p>
    <w:p>
      <w:pPr>
        <w:pStyle w:val="Normal"/>
        <w:ind w:hanging="720" w:start="720" w:end="0"/>
        <w:rPr/>
      </w:pPr>
      <w:r>
        <w:rPr/>
      </w:r>
    </w:p>
    <w:p>
      <w:pPr>
        <w:pStyle w:val="Normal"/>
        <w:ind w:hanging="720" w:start="720" w:end="0"/>
        <w:rPr>
          <w:strike/>
        </w:rPr>
      </w:pPr>
      <w:r>
        <w:rPr>
          <w:strike/>
        </w:rPr>
        <w:t>37</w:t>
      </w:r>
    </w:p>
    <w:p>
      <w:pPr>
        <w:pStyle w:val="Normal"/>
        <w:numPr>
          <w:ilvl w:val="0"/>
          <w:numId w:val="17"/>
        </w:numPr>
        <w:tabs>
          <w:tab w:val="clear" w:pos="720"/>
        </w:tabs>
        <w:ind w:hanging="720" w:start="720" w:end="0"/>
        <w:rPr/>
      </w:pPr>
      <w:r>
        <w:rPr/>
        <w:t>Enron Global Contract 96001880.  That certain Gas Purchase Contract dated January 9, 1985 between GSF Energy, L.L.C. and Houston Pipe Line Company, as amended by Amendments dated September 1, 1986, November 10, 1986, January 29, 1987, April 2, 1992, October 7, 1992, and August 31, 1994.</w:t>
      </w:r>
    </w:p>
    <w:p>
      <w:pPr>
        <w:pStyle w:val="Normal"/>
        <w:ind w:hanging="720" w:start="720" w:end="0"/>
        <w:rPr/>
      </w:pPr>
      <w:r>
        <w:rPr/>
      </w:r>
    </w:p>
    <w:p>
      <w:pPr>
        <w:pStyle w:val="Normal"/>
        <w:ind w:hanging="720" w:start="720" w:end="0"/>
        <w:rPr>
          <w:strike/>
        </w:rPr>
      </w:pPr>
      <w:r>
        <w:rPr>
          <w:strike/>
        </w:rPr>
        <w:t>38</w:t>
      </w:r>
    </w:p>
    <w:p>
      <w:pPr>
        <w:pStyle w:val="Normal"/>
        <w:numPr>
          <w:ilvl w:val="0"/>
          <w:numId w:val="17"/>
        </w:numPr>
        <w:tabs>
          <w:tab w:val="clear" w:pos="720"/>
        </w:tabs>
        <w:ind w:hanging="720" w:start="720" w:end="0"/>
        <w:rPr/>
      </w:pPr>
      <w:r>
        <w:rPr/>
        <w:t>Enron Global Contract 96046469.  That certain Enfolio Gas Purchase Agreement (Reserves Committed/Index Pricing) dated July 1, 2000 between Helmerich &amp; Payne, Inc. and Houston Pipe Line Company.</w:t>
      </w:r>
    </w:p>
    <w:p>
      <w:pPr>
        <w:pStyle w:val="Normal"/>
        <w:ind w:hanging="720" w:start="720" w:end="0"/>
        <w:rPr/>
      </w:pPr>
      <w:r>
        <w:rPr/>
      </w:r>
    </w:p>
    <w:p>
      <w:pPr>
        <w:pStyle w:val="Normal"/>
        <w:ind w:hanging="720" w:start="720" w:end="0"/>
        <w:rPr>
          <w:strike/>
        </w:rPr>
      </w:pPr>
      <w:r>
        <w:rPr>
          <w:strike/>
        </w:rPr>
        <w:t>39</w:t>
      </w:r>
    </w:p>
    <w:p>
      <w:pPr>
        <w:pStyle w:val="Normal"/>
        <w:numPr>
          <w:ilvl w:val="0"/>
          <w:numId w:val="17"/>
        </w:numPr>
        <w:tabs>
          <w:tab w:val="clear" w:pos="720"/>
        </w:tabs>
        <w:ind w:hanging="720" w:start="720" w:end="0"/>
        <w:rPr/>
      </w:pPr>
      <w:r>
        <w:rPr/>
        <w:t>Enron Global Contract 96016765.  That certain Enfolio Gas Purchase Agreement (Reserves Committed/Index Pricing) dated August 1, 1998 between KCS Resources, Inc. (KCS Energy Marketing, Inc., as Seller’s Representative) and Houston Pipe Line Company, as amended by Amendments dated April 30, 1999, November 1, 1999, and April 25, 2000.</w:t>
      </w:r>
    </w:p>
    <w:p>
      <w:pPr>
        <w:pStyle w:val="Normal"/>
        <w:ind w:hanging="720" w:start="720" w:end="0"/>
        <w:rPr/>
      </w:pPr>
      <w:r>
        <w:rPr/>
      </w:r>
    </w:p>
    <w:p>
      <w:pPr>
        <w:pStyle w:val="Normal"/>
        <w:ind w:hanging="720" w:start="720" w:end="0"/>
        <w:rPr>
          <w:strike/>
        </w:rPr>
      </w:pPr>
      <w:r>
        <w:rPr>
          <w:strike/>
        </w:rPr>
        <w:t>40</w:t>
      </w:r>
    </w:p>
    <w:p>
      <w:pPr>
        <w:pStyle w:val="Normal"/>
        <w:numPr>
          <w:ilvl w:val="0"/>
          <w:numId w:val="17"/>
        </w:numPr>
        <w:tabs>
          <w:tab w:val="clear" w:pos="720"/>
        </w:tabs>
        <w:ind w:hanging="720" w:start="720" w:end="0"/>
        <w:rPr/>
      </w:pPr>
      <w:r>
        <w:rPr/>
        <w:t>Enron Global Contract 96004853.  That certain Gas Purchase Agreement dated December 1, 1996 between Kerr McGee Oil &amp; Gas Onshore, LP (formerly Sun Operating Limited Partnership) and Houston Pipe Line Company (assignee of HPL Resources Company), as amended by Amendment dated June 1, 2000.</w:t>
      </w:r>
    </w:p>
    <w:p>
      <w:pPr>
        <w:pStyle w:val="Normal"/>
        <w:ind w:hanging="720" w:start="720" w:end="0"/>
        <w:rPr/>
      </w:pPr>
      <w:r>
        <w:rPr/>
      </w:r>
    </w:p>
    <w:p>
      <w:pPr>
        <w:pStyle w:val="Normal"/>
        <w:ind w:hanging="720" w:start="720" w:end="0"/>
        <w:rPr>
          <w:strike/>
        </w:rPr>
      </w:pPr>
      <w:r>
        <w:rPr>
          <w:strike/>
        </w:rPr>
        <w:t>41</w:t>
      </w:r>
    </w:p>
    <w:p>
      <w:pPr>
        <w:pStyle w:val="Normal"/>
        <w:numPr>
          <w:ilvl w:val="0"/>
          <w:numId w:val="17"/>
        </w:numPr>
        <w:tabs>
          <w:tab w:val="clear" w:pos="720"/>
        </w:tabs>
        <w:ind w:hanging="720" w:start="720" w:end="0"/>
        <w:rPr/>
      </w:pPr>
      <w:r>
        <w:rPr/>
        <w:t xml:space="preserve">Enron Global Contract 96053903.  That certain Enfolio Master Purchase and Sale Agreement dated November 1, 2000 between Kinder Morgan Texas Pipeline, Inc. and Houston Pipe Line Company, as amended by Amendments dated November 1, 2000 and June 1, 2001.  </w:t>
      </w:r>
    </w:p>
    <w:p>
      <w:pPr>
        <w:pStyle w:val="Normal"/>
        <w:ind w:hanging="720" w:start="720" w:end="0"/>
        <w:rPr/>
      </w:pPr>
      <w:r>
        <w:rPr/>
      </w:r>
    </w:p>
    <w:p>
      <w:pPr>
        <w:pStyle w:val="Normal"/>
        <w:ind w:hanging="720" w:start="720" w:end="0"/>
        <w:rPr>
          <w:strike/>
        </w:rPr>
      </w:pPr>
      <w:r>
        <w:rPr>
          <w:strike/>
        </w:rPr>
        <w:t>42</w:t>
      </w:r>
    </w:p>
    <w:p>
      <w:pPr>
        <w:pStyle w:val="Normal"/>
        <w:numPr>
          <w:ilvl w:val="0"/>
          <w:numId w:val="17"/>
        </w:numPr>
        <w:tabs>
          <w:tab w:val="clear" w:pos="720"/>
        </w:tabs>
        <w:ind w:hanging="720" w:start="720" w:end="0"/>
        <w:rPr/>
      </w:pPr>
      <w:r>
        <w:rPr/>
        <w:t>Enron Global Contract 96057927.  That certain Enfolio Master Firm Confirmation-Enfolio Firm General Terms &amp; Conditions Agreement dated April 1, 2001 between Louis Dreyfus Natural Gas Corp. and Enron North America Corp.</w:t>
      </w:r>
    </w:p>
    <w:p>
      <w:pPr>
        <w:pStyle w:val="Normal"/>
        <w:ind w:hanging="720" w:start="720" w:end="0"/>
        <w:rPr/>
      </w:pPr>
      <w:r>
        <w:rPr/>
      </w:r>
    </w:p>
    <w:p>
      <w:pPr>
        <w:pStyle w:val="Normal"/>
        <w:ind w:hanging="720" w:start="720" w:end="0"/>
        <w:rPr>
          <w:strike/>
        </w:rPr>
      </w:pPr>
      <w:r>
        <w:rPr>
          <w:strike/>
        </w:rPr>
        <w:t>43</w:t>
      </w:r>
    </w:p>
    <w:p>
      <w:pPr>
        <w:pStyle w:val="Normal"/>
        <w:numPr>
          <w:ilvl w:val="0"/>
          <w:numId w:val="17"/>
        </w:numPr>
        <w:tabs>
          <w:tab w:val="clear" w:pos="720"/>
        </w:tabs>
        <w:ind w:hanging="720" w:start="720" w:end="0"/>
        <w:rPr/>
      </w:pPr>
      <w:r>
        <w:rPr/>
        <w:t>Enron Global Contract 96016179.  That certain Enfolio Gas Purchase Agreement dated March 1, 1998 between Louis Dreyfus Natural Gas Corp. (assignee of Costilla Energy, Inc.) and Houston Pipe Line Company, as amended by Amendments dated May 1, 1998, March 1, 1999, and September 1, 2000.</w:t>
      </w:r>
    </w:p>
    <w:p>
      <w:pPr>
        <w:pStyle w:val="Normal"/>
        <w:ind w:hanging="720" w:start="720" w:end="0"/>
        <w:rPr/>
      </w:pPr>
      <w:r>
        <w:rPr/>
      </w:r>
    </w:p>
    <w:p>
      <w:pPr>
        <w:pStyle w:val="Normal"/>
        <w:ind w:hanging="720" w:start="720" w:end="0"/>
        <w:rPr>
          <w:strike/>
        </w:rPr>
      </w:pPr>
      <w:r>
        <w:rPr>
          <w:strike/>
        </w:rPr>
        <w:t>44</w:t>
      </w:r>
    </w:p>
    <w:p>
      <w:pPr>
        <w:pStyle w:val="Normal"/>
        <w:numPr>
          <w:ilvl w:val="0"/>
          <w:numId w:val="17"/>
        </w:numPr>
        <w:tabs>
          <w:tab w:val="clear" w:pos="720"/>
        </w:tabs>
        <w:ind w:hanging="720" w:start="720" w:end="0"/>
        <w:rPr/>
      </w:pPr>
      <w:r>
        <w:rPr/>
        <w:t xml:space="preserve">Enron Global Contract 96008792.  That certain Enfolio Master Purchase/Sale Agreement dated April 1, 1997 between Lyondell-Citgo Refining Company, Ltd. and Houston Pipe Line Company.  </w:t>
      </w:r>
    </w:p>
    <w:p>
      <w:pPr>
        <w:pStyle w:val="Normal"/>
        <w:ind w:hanging="720" w:start="720" w:end="0"/>
        <w:rPr/>
      </w:pPr>
      <w:r>
        <w:rPr/>
      </w:r>
    </w:p>
    <w:p>
      <w:pPr>
        <w:pStyle w:val="Normal"/>
        <w:ind w:hanging="720" w:start="720" w:end="0"/>
        <w:rPr>
          <w:strike/>
        </w:rPr>
      </w:pPr>
      <w:r>
        <w:rPr>
          <w:strike/>
        </w:rPr>
        <w:t>45</w:t>
      </w:r>
    </w:p>
    <w:p>
      <w:pPr>
        <w:pStyle w:val="Normal"/>
        <w:numPr>
          <w:ilvl w:val="0"/>
          <w:numId w:val="17"/>
        </w:numPr>
        <w:tabs>
          <w:tab w:val="clear" w:pos="720"/>
        </w:tabs>
        <w:ind w:hanging="720" w:start="720" w:end="0"/>
        <w:rPr/>
      </w:pPr>
      <w:r>
        <w:rPr/>
        <w:t>Enron Global Contract No. 96019644.  That certain Enfolio Firm Confirmation–Enfolio Firm General Terms and Conditions dated October 27, 2000 between Marathon Ashland Petroleum, LLC and Houston Pipe Line Company.</w:t>
      </w:r>
    </w:p>
    <w:p>
      <w:pPr>
        <w:pStyle w:val="Normal"/>
        <w:ind w:hanging="720" w:start="720" w:end="0"/>
        <w:rPr/>
      </w:pPr>
      <w:r>
        <w:rPr/>
      </w:r>
    </w:p>
    <w:p>
      <w:pPr>
        <w:pStyle w:val="Normal"/>
        <w:ind w:hanging="720" w:start="720" w:end="0"/>
        <w:rPr>
          <w:strike/>
        </w:rPr>
      </w:pPr>
      <w:r>
        <w:rPr>
          <w:strike/>
        </w:rPr>
        <w:t>46</w:t>
      </w:r>
    </w:p>
    <w:p>
      <w:pPr>
        <w:pStyle w:val="Normal"/>
        <w:numPr>
          <w:ilvl w:val="0"/>
          <w:numId w:val="17"/>
        </w:numPr>
        <w:tabs>
          <w:tab w:val="clear" w:pos="720"/>
        </w:tabs>
        <w:ind w:hanging="720" w:start="720" w:end="0"/>
        <w:rPr/>
      </w:pPr>
      <w:r>
        <w:rPr/>
        <w:t>Enron Global Contract 96042250.  That certain Enfolio Gas Purchase Agreement (Reserves Committed/Index Pricing) dated June 1, 2000 between ISS, L.L.C., Marquee Corporation, and Houston Pipe Line Company, as amended by Amendment dated July 1, 2000.</w:t>
      </w:r>
    </w:p>
    <w:p>
      <w:pPr>
        <w:pStyle w:val="Normal"/>
        <w:ind w:hanging="720" w:start="720" w:end="0"/>
        <w:rPr/>
      </w:pPr>
      <w:r>
        <w:rPr/>
      </w:r>
    </w:p>
    <w:p>
      <w:pPr>
        <w:pStyle w:val="Normal"/>
        <w:ind w:hanging="720" w:start="720" w:end="0"/>
        <w:rPr>
          <w:strike/>
        </w:rPr>
      </w:pPr>
      <w:r>
        <w:rPr>
          <w:strike/>
        </w:rPr>
        <w:t>47</w:t>
      </w:r>
    </w:p>
    <w:p>
      <w:pPr>
        <w:pStyle w:val="Normal"/>
        <w:numPr>
          <w:ilvl w:val="0"/>
          <w:numId w:val="17"/>
        </w:numPr>
        <w:tabs>
          <w:tab w:val="clear" w:pos="720"/>
        </w:tabs>
        <w:ind w:hanging="720" w:start="720" w:end="0"/>
        <w:rPr/>
      </w:pPr>
      <w:r>
        <w:rPr/>
        <w:t>Enron Global Contract 96030300.  That certain Enfolio Gas Purchase Agreement (Reserves Committed/Index Pricing) dated December 1, 1999 between Maynard Oil Company and Houston Pipe Line Company, as amended by Amendment effective December 1, 1999.</w:t>
      </w:r>
    </w:p>
    <w:p>
      <w:pPr>
        <w:pStyle w:val="Normal"/>
        <w:ind w:hanging="720" w:start="720" w:end="0"/>
        <w:rPr/>
      </w:pPr>
      <w:r>
        <w:rPr/>
      </w:r>
    </w:p>
    <w:p>
      <w:pPr>
        <w:pStyle w:val="Normal"/>
        <w:ind w:hanging="720" w:start="720" w:end="0"/>
        <w:rPr>
          <w:strike/>
        </w:rPr>
      </w:pPr>
      <w:r>
        <w:rPr>
          <w:strike/>
        </w:rPr>
        <w:t>48</w:t>
      </w:r>
    </w:p>
    <w:p>
      <w:pPr>
        <w:pStyle w:val="Normal"/>
        <w:numPr>
          <w:ilvl w:val="0"/>
          <w:numId w:val="17"/>
        </w:numPr>
        <w:tabs>
          <w:tab w:val="clear" w:pos="720"/>
        </w:tabs>
        <w:ind w:hanging="720" w:start="720" w:end="0"/>
        <w:rPr/>
      </w:pPr>
      <w:r>
        <w:rPr/>
        <w:t>Enron Global Contract 96019995.  That certain Enfolio Gas Purchase Agreement (Reserves Committed/Index Pricing) dated March 1, 1999 between McBee Operating Company, L.L.C. and Houston Pipe Line Company, as amended by Amendments effective September 1, 1999, April 1, 2000 and October 1, 2000.</w:t>
      </w:r>
    </w:p>
    <w:p>
      <w:pPr>
        <w:pStyle w:val="Normal"/>
        <w:ind w:hanging="720" w:start="720" w:end="0"/>
        <w:rPr/>
      </w:pPr>
      <w:r>
        <w:rPr/>
      </w:r>
    </w:p>
    <w:p>
      <w:pPr>
        <w:pStyle w:val="Normal"/>
        <w:ind w:hanging="720" w:start="720" w:end="0"/>
        <w:rPr>
          <w:strike/>
        </w:rPr>
      </w:pPr>
      <w:r>
        <w:rPr>
          <w:strike/>
        </w:rPr>
        <w:t>49</w:t>
      </w:r>
    </w:p>
    <w:p>
      <w:pPr>
        <w:pStyle w:val="Normal"/>
        <w:numPr>
          <w:ilvl w:val="0"/>
          <w:numId w:val="17"/>
        </w:numPr>
        <w:tabs>
          <w:tab w:val="clear" w:pos="720"/>
        </w:tabs>
        <w:ind w:hanging="720" w:start="720" w:end="0"/>
        <w:rPr/>
      </w:pPr>
      <w:r>
        <w:rPr/>
        <w:t xml:space="preserve">Enron Global Contract 96004824.  That certain Enfolio Gas Purchase Agreement (Reserves Committed/Index Pricing) dated March 1, 1997 between North Central Oil Corporation and Houston Pipe Line Company, as amended by Amendments effective January 1, 1999 and January 1, 2000. </w:t>
      </w:r>
    </w:p>
    <w:p>
      <w:pPr>
        <w:pStyle w:val="Normal"/>
        <w:ind w:hanging="720" w:start="720" w:end="0"/>
        <w:rPr/>
      </w:pPr>
      <w:r>
        <w:rPr/>
      </w:r>
    </w:p>
    <w:p>
      <w:pPr>
        <w:pStyle w:val="Normal"/>
        <w:ind w:hanging="720" w:start="720" w:end="0"/>
        <w:rPr>
          <w:strike/>
        </w:rPr>
      </w:pPr>
      <w:r>
        <w:rPr>
          <w:strike/>
        </w:rPr>
        <w:t>50</w:t>
      </w:r>
    </w:p>
    <w:p>
      <w:pPr>
        <w:pStyle w:val="Normal"/>
        <w:numPr>
          <w:ilvl w:val="0"/>
          <w:numId w:val="17"/>
        </w:numPr>
        <w:tabs>
          <w:tab w:val="clear" w:pos="720"/>
        </w:tabs>
        <w:ind w:hanging="720" w:start="720" w:end="0"/>
        <w:rPr/>
      </w:pPr>
      <w:r>
        <w:rPr/>
        <w:t>Enron Global Contract 96057334.  That certain Enfolio Firm Confirmation General Terms &amp; Conditions Agreement dated January 25, 2001 between North Central Oil Corporation and Houston Pipe Line Company.</w:t>
      </w:r>
    </w:p>
    <w:p>
      <w:pPr>
        <w:pStyle w:val="Normal"/>
        <w:ind w:hanging="720" w:start="720" w:end="0"/>
        <w:rPr/>
      </w:pPr>
      <w:r>
        <w:rPr/>
      </w:r>
    </w:p>
    <w:p>
      <w:pPr>
        <w:pStyle w:val="Normal"/>
        <w:ind w:hanging="720" w:start="720" w:end="0"/>
        <w:rPr>
          <w:strike/>
        </w:rPr>
      </w:pPr>
      <w:r>
        <w:rPr>
          <w:strike/>
        </w:rPr>
        <w:t>51</w:t>
      </w:r>
    </w:p>
    <w:p>
      <w:pPr>
        <w:pStyle w:val="Normal"/>
        <w:numPr>
          <w:ilvl w:val="0"/>
          <w:numId w:val="17"/>
        </w:numPr>
        <w:tabs>
          <w:tab w:val="clear" w:pos="720"/>
        </w:tabs>
        <w:ind w:hanging="720" w:start="720" w:end="0"/>
        <w:rPr/>
      </w:pPr>
      <w:r>
        <w:rPr/>
        <w:t xml:space="preserve">Enron Global Contract 96027187.  That certain Enfolio Gas Purchase Agreement (Reserves Committed/Index Pricing) dated October 1, 1999 between North Central Oil Corporation and Houston Pipe Line Company, as amended by Amendment dated April 1, 2000. </w:t>
      </w:r>
    </w:p>
    <w:p>
      <w:pPr>
        <w:pStyle w:val="Normal"/>
        <w:ind w:hanging="720" w:start="720" w:end="0"/>
        <w:rPr/>
      </w:pPr>
      <w:r>
        <w:rPr/>
      </w:r>
    </w:p>
    <w:p>
      <w:pPr>
        <w:pStyle w:val="Normal"/>
        <w:ind w:hanging="720" w:start="720" w:end="0"/>
        <w:rPr>
          <w:strike/>
        </w:rPr>
      </w:pPr>
      <w:r>
        <w:rPr>
          <w:strike/>
        </w:rPr>
        <w:t>52</w:t>
      </w:r>
    </w:p>
    <w:p>
      <w:pPr>
        <w:pStyle w:val="Normal"/>
        <w:numPr>
          <w:ilvl w:val="0"/>
          <w:numId w:val="17"/>
        </w:numPr>
        <w:tabs>
          <w:tab w:val="clear" w:pos="720"/>
        </w:tabs>
        <w:ind w:hanging="720" w:start="720" w:end="0"/>
        <w:rPr/>
      </w:pPr>
      <w:r>
        <w:rPr/>
        <w:t>Enron Global Contract 96051393.  That certain Enfolio Gas Purchase Agreement (Committed Reserves/Index Pricing/Well Dedication(s)) dated December 1, 2000 between Ocean Energy, Inc. and Houston Pipe Line Company.</w:t>
      </w:r>
    </w:p>
    <w:p>
      <w:pPr>
        <w:pStyle w:val="Normal"/>
        <w:ind w:hanging="720" w:start="720" w:end="0"/>
        <w:rPr/>
      </w:pPr>
      <w:r>
        <w:rPr/>
      </w:r>
    </w:p>
    <w:p>
      <w:pPr>
        <w:pStyle w:val="Normal"/>
        <w:ind w:hanging="720" w:start="720" w:end="0"/>
        <w:rPr>
          <w:strike/>
        </w:rPr>
      </w:pPr>
      <w:r>
        <w:rPr>
          <w:strike/>
        </w:rPr>
        <w:t>53</w:t>
      </w:r>
    </w:p>
    <w:p>
      <w:pPr>
        <w:pStyle w:val="Normal"/>
        <w:numPr>
          <w:ilvl w:val="0"/>
          <w:numId w:val="17"/>
        </w:numPr>
        <w:tabs>
          <w:tab w:val="clear" w:pos="720"/>
        </w:tabs>
        <w:ind w:hanging="720" w:start="720" w:end="0"/>
        <w:rPr/>
      </w:pPr>
      <w:r>
        <w:rPr/>
        <w:t>Enron Global Contract 96016294.  That certain Enfolio Gas Purchase Agreement (Reserves Committed/Index Pricing) dated January 1, 1998 between O’Connor &amp; Hewitt, LTD and Houston Pipe Line Company, as amended by Amendment and Restatement dated January 1, 1998.</w:t>
      </w:r>
    </w:p>
    <w:p>
      <w:pPr>
        <w:pStyle w:val="Normal"/>
        <w:ind w:hanging="720" w:start="720" w:end="0"/>
        <w:rPr/>
      </w:pPr>
      <w:r>
        <w:rPr/>
      </w:r>
    </w:p>
    <w:p>
      <w:pPr>
        <w:pStyle w:val="Normal"/>
        <w:ind w:hanging="720" w:start="720" w:end="0"/>
        <w:rPr>
          <w:strike/>
        </w:rPr>
      </w:pPr>
      <w:r>
        <w:rPr>
          <w:strike/>
        </w:rPr>
        <w:t>54</w:t>
      </w:r>
    </w:p>
    <w:p>
      <w:pPr>
        <w:pStyle w:val="Normal"/>
        <w:numPr>
          <w:ilvl w:val="0"/>
          <w:numId w:val="17"/>
        </w:numPr>
        <w:tabs>
          <w:tab w:val="clear" w:pos="720"/>
        </w:tabs>
        <w:ind w:hanging="720" w:start="720" w:end="0"/>
        <w:rPr/>
      </w:pPr>
      <w:r>
        <w:rPr/>
        <w:t>Enron Global Contract 96010083.  That certain Enfolio Gas Purchase Agreement (Reserves Committed/Index Pricing) dated December 1, 1997 between Prize Energy Corp. (formerly Pioneer Resources Producing L.P.) and Houston Pipe Line Company, as amended by Amendment effective June 1, 2000.</w:t>
      </w:r>
    </w:p>
    <w:p>
      <w:pPr>
        <w:pStyle w:val="Normal"/>
        <w:ind w:hanging="720" w:start="720" w:end="0"/>
        <w:rPr/>
      </w:pPr>
      <w:r>
        <w:rPr/>
      </w:r>
    </w:p>
    <w:p>
      <w:pPr>
        <w:pStyle w:val="Normal"/>
        <w:ind w:hanging="720" w:start="720" w:end="0"/>
        <w:rPr>
          <w:strike/>
        </w:rPr>
      </w:pPr>
      <w:r>
        <w:rPr>
          <w:strike/>
        </w:rPr>
        <w:t>55</w:t>
      </w:r>
    </w:p>
    <w:p>
      <w:pPr>
        <w:pStyle w:val="Normal"/>
        <w:numPr>
          <w:ilvl w:val="0"/>
          <w:numId w:val="17"/>
        </w:numPr>
        <w:tabs>
          <w:tab w:val="clear" w:pos="720"/>
        </w:tabs>
        <w:ind w:hanging="720" w:start="720" w:end="0"/>
        <w:rPr/>
      </w:pPr>
      <w:r>
        <w:rPr/>
        <w:t>Enron Global Contract 96057118.  That certain Enfolio Firm Confirmation-Enfolio Firm General Terms &amp; Conditions Agreement dated April 1, 2001 between R. Lacy, Inc. and Enron North America Corp.</w:t>
      </w:r>
    </w:p>
    <w:p>
      <w:pPr>
        <w:pStyle w:val="Normal"/>
        <w:ind w:hanging="720" w:start="720" w:end="0"/>
        <w:rPr/>
      </w:pPr>
      <w:r>
        <w:rPr/>
      </w:r>
    </w:p>
    <w:p>
      <w:pPr>
        <w:pStyle w:val="Normal"/>
        <w:ind w:hanging="720" w:start="720" w:end="0"/>
        <w:rPr>
          <w:strike/>
        </w:rPr>
      </w:pPr>
      <w:r>
        <w:rPr>
          <w:strike/>
        </w:rPr>
        <w:t>56</w:t>
      </w:r>
    </w:p>
    <w:p>
      <w:pPr>
        <w:pStyle w:val="Normal"/>
        <w:numPr>
          <w:ilvl w:val="0"/>
          <w:numId w:val="17"/>
        </w:numPr>
        <w:tabs>
          <w:tab w:val="clear" w:pos="720"/>
        </w:tabs>
        <w:ind w:hanging="720" w:start="720" w:end="0"/>
        <w:rPr/>
      </w:pPr>
      <w:r>
        <w:rPr/>
        <w:t>Enron Global Contract 96020164.  That certain Enfolio Gas Purchase Agreement (Reserves Committed/Index Pricing/Well Dedication) dated March 1, 1999 between Sanchez Oil &amp; Gas Corporation, Anschutz Gulf Coast Corporation and Houston Pipe Line Company, as amended by Amendment effective January 1, 2000.</w:t>
      </w:r>
    </w:p>
    <w:p>
      <w:pPr>
        <w:pStyle w:val="Normal"/>
        <w:ind w:hanging="720" w:start="720" w:end="0"/>
        <w:rPr/>
      </w:pPr>
      <w:r>
        <w:rPr/>
      </w:r>
    </w:p>
    <w:p>
      <w:pPr>
        <w:pStyle w:val="Normal"/>
        <w:ind w:hanging="720" w:start="720" w:end="0"/>
        <w:rPr>
          <w:strike/>
        </w:rPr>
      </w:pPr>
      <w:r>
        <w:rPr>
          <w:strike/>
        </w:rPr>
        <w:t>57</w:t>
      </w:r>
    </w:p>
    <w:p>
      <w:pPr>
        <w:pStyle w:val="Normal"/>
        <w:numPr>
          <w:ilvl w:val="0"/>
          <w:numId w:val="17"/>
        </w:numPr>
        <w:tabs>
          <w:tab w:val="clear" w:pos="720"/>
        </w:tabs>
        <w:ind w:hanging="720" w:start="720" w:end="0"/>
        <w:rPr/>
      </w:pPr>
      <w:r>
        <w:rPr/>
        <w:t>Enron Global Contract 96051397.  That certain Enfolio Gas Purchase Agreement (Reserves Committed/Index Pricing/Well Dedication(s)) dated December 1, 2000 between Seneca Resources Corporation and Houston Pipe Line Company.</w:t>
      </w:r>
    </w:p>
    <w:p>
      <w:pPr>
        <w:pStyle w:val="Normal"/>
        <w:ind w:hanging="720" w:start="720" w:end="0"/>
        <w:rPr/>
      </w:pPr>
      <w:r>
        <w:rPr/>
      </w:r>
    </w:p>
    <w:p>
      <w:pPr>
        <w:pStyle w:val="Normal"/>
        <w:ind w:hanging="720" w:start="720" w:end="0"/>
        <w:rPr>
          <w:strike/>
        </w:rPr>
      </w:pPr>
      <w:r>
        <w:rPr>
          <w:strike/>
        </w:rPr>
        <w:t>58</w:t>
      </w:r>
    </w:p>
    <w:p>
      <w:pPr>
        <w:pStyle w:val="Normal"/>
        <w:numPr>
          <w:ilvl w:val="0"/>
          <w:numId w:val="17"/>
        </w:numPr>
        <w:tabs>
          <w:tab w:val="clear" w:pos="720"/>
        </w:tabs>
        <w:ind w:hanging="720" w:start="720" w:end="0"/>
        <w:rPr/>
      </w:pPr>
      <w:r>
        <w:rPr/>
        <w:t>Enron Global Contract 96046001.  That certain Enfolio Gas Purchase Agreement (Reserves Committed/Index Pricing) Offshore Waters dated July 1, 2000 between Spinnaker Exploration Company, L.L.C. and Houston Pipe Line Company together with Condensate Services Agreement dated effective July 21, 2000.</w:t>
      </w:r>
    </w:p>
    <w:p>
      <w:pPr>
        <w:pStyle w:val="Normal"/>
        <w:ind w:hanging="720" w:start="720" w:end="0"/>
        <w:rPr/>
      </w:pPr>
      <w:r>
        <w:rPr/>
      </w:r>
    </w:p>
    <w:p>
      <w:pPr>
        <w:pStyle w:val="Normal"/>
        <w:ind w:hanging="720" w:start="720" w:end="0"/>
        <w:rPr>
          <w:strike/>
        </w:rPr>
      </w:pPr>
      <w:r>
        <w:rPr>
          <w:strike/>
        </w:rPr>
        <w:t>59</w:t>
      </w:r>
    </w:p>
    <w:p>
      <w:pPr>
        <w:pStyle w:val="Normal"/>
        <w:numPr>
          <w:ilvl w:val="0"/>
          <w:numId w:val="17"/>
        </w:numPr>
        <w:tabs>
          <w:tab w:val="clear" w:pos="720"/>
        </w:tabs>
        <w:ind w:hanging="720" w:start="720" w:end="0"/>
        <w:rPr/>
      </w:pPr>
      <w:r>
        <w:rPr/>
        <w:t>Enron Global Contract 96052445. That certain Enfolio Gas Purchase Agreement dated December 1, 2000 between St. Mary Land &amp; Exploration Company and Houston Pipe Line Company.</w:t>
      </w:r>
    </w:p>
    <w:p>
      <w:pPr>
        <w:pStyle w:val="Normal"/>
        <w:ind w:hanging="720" w:start="720" w:end="0"/>
        <w:rPr/>
      </w:pPr>
      <w:r>
        <w:rPr/>
      </w:r>
    </w:p>
    <w:p>
      <w:pPr>
        <w:pStyle w:val="Normal"/>
        <w:ind w:hanging="720" w:start="720" w:end="0"/>
        <w:rPr>
          <w:strike/>
        </w:rPr>
      </w:pPr>
      <w:r>
        <w:rPr>
          <w:strike/>
        </w:rPr>
        <w:t>60</w:t>
      </w:r>
    </w:p>
    <w:p>
      <w:pPr>
        <w:pStyle w:val="Normal"/>
        <w:numPr>
          <w:ilvl w:val="0"/>
          <w:numId w:val="17"/>
        </w:numPr>
        <w:tabs>
          <w:tab w:val="clear" w:pos="720"/>
        </w:tabs>
        <w:ind w:hanging="720" w:start="720" w:end="0"/>
        <w:rPr/>
      </w:pPr>
      <w:r>
        <w:rPr/>
        <w:t>Enron Global Contract 96023525.  That certain Enfolio Gas Purchase Agreement (Reserves Committed/Index Pricing) dated August 1, 1999 between Suemaur Exploration &amp; Production, L.L.C. and Houston Pipe Line Company.</w:t>
      </w:r>
    </w:p>
    <w:p>
      <w:pPr>
        <w:pStyle w:val="Normal"/>
        <w:ind w:hanging="720" w:start="720" w:end="0"/>
        <w:rPr/>
      </w:pPr>
      <w:r>
        <w:rPr/>
      </w:r>
    </w:p>
    <w:p>
      <w:pPr>
        <w:pStyle w:val="Normal"/>
        <w:ind w:hanging="720" w:start="720" w:end="0"/>
        <w:rPr>
          <w:strike/>
        </w:rPr>
      </w:pPr>
      <w:r>
        <w:rPr>
          <w:strike/>
        </w:rPr>
        <w:t>61</w:t>
      </w:r>
    </w:p>
    <w:p>
      <w:pPr>
        <w:pStyle w:val="Normal"/>
        <w:numPr>
          <w:ilvl w:val="0"/>
          <w:numId w:val="17"/>
        </w:numPr>
        <w:tabs>
          <w:tab w:val="clear" w:pos="720"/>
        </w:tabs>
        <w:ind w:hanging="720" w:start="720" w:end="0"/>
        <w:rPr/>
      </w:pPr>
      <w:r>
        <w:rPr/>
        <w:t>Enron Global Contract 96023532.  That certain Enfolio Gas Purchase Agreement (Reserves Committed/Index Pricing) dated August 1, 1999 between Suemaur Exploration &amp; Production, L.L.C. and Houston Pipe Line Company.</w:t>
      </w:r>
    </w:p>
    <w:p>
      <w:pPr>
        <w:pStyle w:val="Normal"/>
        <w:ind w:hanging="720" w:start="720" w:end="0"/>
        <w:rPr/>
      </w:pPr>
      <w:r>
        <w:rPr/>
      </w:r>
    </w:p>
    <w:p>
      <w:pPr>
        <w:pStyle w:val="Normal"/>
        <w:ind w:hanging="720" w:start="720" w:end="0"/>
        <w:rPr>
          <w:strike/>
        </w:rPr>
      </w:pPr>
      <w:r>
        <w:rPr>
          <w:strike/>
        </w:rPr>
        <w:t>62</w:t>
      </w:r>
    </w:p>
    <w:p>
      <w:pPr>
        <w:pStyle w:val="Normal"/>
        <w:numPr>
          <w:ilvl w:val="0"/>
          <w:numId w:val="17"/>
        </w:numPr>
        <w:tabs>
          <w:tab w:val="clear" w:pos="720"/>
        </w:tabs>
        <w:ind w:hanging="720" w:start="720" w:end="0"/>
        <w:rPr/>
      </w:pPr>
      <w:r>
        <w:rPr/>
        <w:t>Enron Global Contract 96019997.  That certain Enfolio Gas Purchase Agreement (Reserves Committed/Index Pricing) dated March 1, 1999 between Synergy Oil &amp; Gas, Inc. and Houston Pipe Line Company, as amended by Amendment dated December 1, 1999.</w:t>
      </w:r>
    </w:p>
    <w:p>
      <w:pPr>
        <w:pStyle w:val="Normal"/>
        <w:ind w:hanging="720" w:start="720" w:end="0"/>
        <w:rPr/>
      </w:pPr>
      <w:r>
        <w:rPr/>
      </w:r>
    </w:p>
    <w:p>
      <w:pPr>
        <w:pStyle w:val="Normal"/>
        <w:ind w:hanging="720" w:start="720" w:end="0"/>
        <w:rPr>
          <w:strike/>
        </w:rPr>
      </w:pPr>
      <w:r>
        <w:rPr>
          <w:strike/>
        </w:rPr>
        <w:t>63</w:t>
      </w:r>
    </w:p>
    <w:p>
      <w:pPr>
        <w:pStyle w:val="Normal"/>
        <w:numPr>
          <w:ilvl w:val="0"/>
          <w:numId w:val="17"/>
        </w:numPr>
        <w:tabs>
          <w:tab w:val="clear" w:pos="720"/>
        </w:tabs>
        <w:ind w:hanging="720" w:start="720" w:end="0"/>
        <w:rPr/>
      </w:pPr>
      <w:r>
        <w:rPr/>
        <w:t>Enron Global Contract 96008801.  That certain Gas Processing Agreement dated June 1, 1997 between Tejones Operating Corp. (assignee of James C. Freeman) and Houston Pipe Line Company (assignee of Three Rivers Gas Gathering Company), as amended by Amendment dated April 1, 2000.</w:t>
      </w:r>
    </w:p>
    <w:p>
      <w:pPr>
        <w:pStyle w:val="Normal"/>
        <w:ind w:hanging="720" w:start="720" w:end="0"/>
        <w:rPr/>
      </w:pPr>
      <w:r>
        <w:rPr/>
      </w:r>
    </w:p>
    <w:p>
      <w:pPr>
        <w:pStyle w:val="Normal"/>
        <w:ind w:hanging="720" w:start="720" w:end="0"/>
        <w:rPr>
          <w:strike/>
        </w:rPr>
      </w:pPr>
      <w:r>
        <w:rPr>
          <w:strike/>
        </w:rPr>
        <w:t>64</w:t>
      </w:r>
    </w:p>
    <w:p>
      <w:pPr>
        <w:pStyle w:val="Normal"/>
        <w:numPr>
          <w:ilvl w:val="0"/>
          <w:numId w:val="17"/>
        </w:numPr>
        <w:tabs>
          <w:tab w:val="clear" w:pos="720"/>
        </w:tabs>
        <w:ind w:hanging="720" w:start="720" w:end="0"/>
        <w:rPr/>
      </w:pPr>
      <w:r>
        <w:rPr/>
        <w:t>Enron Global Contract 96037425.  That certain Enfolio Gas Purchase Agreement (Reserves Committed/Index Pricing/Well Dedication) dated March 1, 2000 between Texaco Exploration and Production Inc. and Houston Pipe Line Company.</w:t>
      </w:r>
    </w:p>
    <w:p>
      <w:pPr>
        <w:pStyle w:val="Normal"/>
        <w:ind w:hanging="720" w:start="720" w:end="0"/>
        <w:rPr/>
      </w:pPr>
      <w:r>
        <w:rPr/>
      </w:r>
    </w:p>
    <w:p>
      <w:pPr>
        <w:pStyle w:val="Normal"/>
        <w:ind w:hanging="720" w:start="720" w:end="0"/>
        <w:rPr>
          <w:strike/>
        </w:rPr>
      </w:pPr>
      <w:r>
        <w:rPr>
          <w:strike/>
        </w:rPr>
        <w:t>65</w:t>
      </w:r>
    </w:p>
    <w:p>
      <w:pPr>
        <w:pStyle w:val="Normal"/>
        <w:numPr>
          <w:ilvl w:val="0"/>
          <w:numId w:val="17"/>
        </w:numPr>
        <w:tabs>
          <w:tab w:val="clear" w:pos="720"/>
        </w:tabs>
        <w:ind w:hanging="720" w:start="720" w:end="0"/>
        <w:rPr/>
      </w:pPr>
      <w:r>
        <w:rPr/>
        <w:t>Enron Global Contract 96004553.  That certain Enfolio Gas Purchase Agreement (Reserves Committed/Index Pricing/Marketer) dated November 1, 1996 between Upstream Energy Services Company, L.L.C. and Houston Pipe Line Company (assignee of HPL Resources Company).</w:t>
      </w:r>
    </w:p>
    <w:p>
      <w:pPr>
        <w:pStyle w:val="Normal"/>
        <w:ind w:hanging="720" w:start="720" w:end="0"/>
        <w:rPr/>
      </w:pPr>
      <w:r>
        <w:rPr/>
      </w:r>
    </w:p>
    <w:p>
      <w:pPr>
        <w:pStyle w:val="Normal"/>
        <w:ind w:hanging="720" w:start="720" w:end="0"/>
        <w:rPr>
          <w:strike/>
        </w:rPr>
      </w:pPr>
      <w:r>
        <w:rPr>
          <w:strike/>
        </w:rPr>
        <w:t>66</w:t>
      </w:r>
    </w:p>
    <w:p>
      <w:pPr>
        <w:pStyle w:val="Normal"/>
        <w:numPr>
          <w:ilvl w:val="0"/>
          <w:numId w:val="17"/>
        </w:numPr>
        <w:tabs>
          <w:tab w:val="clear" w:pos="720"/>
        </w:tabs>
        <w:ind w:hanging="720" w:start="720" w:end="0"/>
        <w:rPr/>
      </w:pPr>
      <w:r>
        <w:rPr/>
        <w:t>Enron Global Contract 96023483.  That certain Enfolio Gas Purchase Agreement (Reserves Committed/Index Pricing/Flexible Pricing) dated October 1, 1999 between Walter Oil &amp; Gas Corporation and Houston Pipe Line Company.</w:t>
      </w:r>
    </w:p>
    <w:p>
      <w:pPr>
        <w:pStyle w:val="Normal"/>
        <w:ind w:hanging="720" w:start="720" w:end="0"/>
        <w:rPr/>
      </w:pPr>
      <w:r>
        <w:rPr/>
      </w:r>
    </w:p>
    <w:p>
      <w:pPr>
        <w:pStyle w:val="Normal"/>
        <w:ind w:hanging="720" w:start="720" w:end="0"/>
        <w:rPr>
          <w:strike/>
        </w:rPr>
      </w:pPr>
      <w:r>
        <w:rPr>
          <w:strike/>
        </w:rPr>
        <w:t>67</w:t>
      </w:r>
    </w:p>
    <w:p>
      <w:pPr>
        <w:pStyle w:val="Normal"/>
        <w:numPr>
          <w:ilvl w:val="0"/>
          <w:numId w:val="17"/>
        </w:numPr>
        <w:tabs>
          <w:tab w:val="clear" w:pos="720"/>
        </w:tabs>
        <w:ind w:hanging="720" w:start="720" w:end="0"/>
        <w:rPr/>
      </w:pPr>
      <w:r>
        <w:rPr/>
        <w:t xml:space="preserve">Enron Global Contract 96028089.  That certain Enfolio Gas Purchase Agreement (Reserves Committed/Index Pricing/Well Dedication) dated November 1, 1999 between Walter Oil &amp; Gas Corporation and Houston Pipe Line Company. </w:t>
      </w:r>
    </w:p>
    <w:p>
      <w:pPr>
        <w:pStyle w:val="Normal"/>
        <w:ind w:hanging="720" w:start="720" w:end="0"/>
        <w:rPr/>
      </w:pPr>
      <w:r>
        <w:rPr/>
      </w:r>
    </w:p>
    <w:p>
      <w:pPr>
        <w:pStyle w:val="Normal"/>
        <w:ind w:hanging="720" w:start="720" w:end="0"/>
        <w:rPr>
          <w:strike/>
        </w:rPr>
      </w:pPr>
      <w:r>
        <w:rPr>
          <w:strike/>
        </w:rPr>
        <w:t>68</w:t>
      </w:r>
    </w:p>
    <w:p>
      <w:pPr>
        <w:pStyle w:val="Normal"/>
        <w:numPr>
          <w:ilvl w:val="0"/>
          <w:numId w:val="17"/>
        </w:numPr>
        <w:tabs>
          <w:tab w:val="clear" w:pos="720"/>
        </w:tabs>
        <w:ind w:hanging="720" w:start="720" w:end="0"/>
        <w:rPr/>
      </w:pPr>
      <w:r>
        <w:rPr/>
        <w:t>Enron Global Contract 96051306.  That certain Enfolio Gas Purchase Agreement (Reserves Committed/Index Pricing/Well Dedication(s)) Agreement dated December 1, 2000 between Walter Oil &amp; Gas Corporation and Houston Pipe Line Company, as amended by Amendments dated March 1, 2001.</w:t>
      </w:r>
    </w:p>
    <w:p>
      <w:pPr>
        <w:pStyle w:val="Normal"/>
        <w:ind w:hanging="720" w:start="720" w:end="0"/>
        <w:rPr/>
      </w:pPr>
      <w:r>
        <w:rPr/>
      </w:r>
    </w:p>
    <w:p>
      <w:pPr>
        <w:pStyle w:val="Normal"/>
        <w:ind w:hanging="720" w:start="720" w:end="0"/>
        <w:rPr>
          <w:strike/>
        </w:rPr>
      </w:pPr>
      <w:r>
        <w:rPr>
          <w:strike/>
        </w:rPr>
        <w:t>69</w:t>
      </w:r>
    </w:p>
    <w:p>
      <w:pPr>
        <w:pStyle w:val="Normal"/>
        <w:numPr>
          <w:ilvl w:val="0"/>
          <w:numId w:val="17"/>
        </w:numPr>
        <w:tabs>
          <w:tab w:val="clear" w:pos="720"/>
        </w:tabs>
        <w:ind w:hanging="720" w:start="720" w:end="0"/>
        <w:rPr/>
      </w:pPr>
      <w:r>
        <w:rPr/>
        <w:t>Enron Global Contract 96039627.  That certain Enfolio Master Firm Purchase/Sale Agreement dated November 1, 1999 between Western Gas Resources, Inc. and Houston Pipe Line Company, as amended by Amendment dated July 10, 2000 and November 1, 2000.</w:t>
      </w:r>
    </w:p>
    <w:p>
      <w:pPr>
        <w:pStyle w:val="Normal"/>
        <w:rPr>
          <w:color w:val="000000"/>
        </w:rPr>
      </w:pPr>
      <w:r>
        <w:rPr>
          <w:color w:val="000000"/>
        </w:rPr>
      </w:r>
    </w:p>
    <w:p>
      <w:pPr>
        <w:pStyle w:val="BodyTextIndent"/>
        <w:ind w:start="0" w:end="0"/>
        <w:rPr>
          <w:b/>
          <w:bCs/>
        </w:rPr>
      </w:pPr>
      <w:r>
        <w:rPr>
          <w:b/>
          <w:bCs/>
        </w:rPr>
        <w:t>SALES</w:t>
      </w:r>
    </w:p>
    <w:p>
      <w:pPr>
        <w:pStyle w:val="BodyTextIndent"/>
        <w:ind w:hanging="540" w:end="0"/>
        <w:rPr>
          <w:b/>
          <w:bCs/>
        </w:rPr>
      </w:pPr>
      <w:r>
        <w:rPr>
          <w:b/>
          <w:bCs/>
        </w:rPr>
      </w:r>
    </w:p>
    <w:p>
      <w:pPr>
        <w:pStyle w:val="BodyTextIndent"/>
        <w:numPr>
          <w:ilvl w:val="0"/>
          <w:numId w:val="16"/>
        </w:numPr>
        <w:tabs>
          <w:tab w:val="clear" w:pos="720"/>
        </w:tabs>
        <w:ind w:hanging="720" w:start="720" w:end="0"/>
        <w:rPr/>
      </w:pPr>
      <w:r>
        <w:rPr/>
        <w:t>Enron Global Contract 96000847.  That certain Enfolio Master Firm Purchase and Sale Agreement dated April 1, 1995 between Air Liquide America Corporation and Houston Pipe Line Company (assignee of HPL Resources Company), and applicable Transaction Agreements dated May 3, 1995 and July 1, 1996.</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96000282.  That certain Gas Sales Agreement dated December 22, 1993 by and between Air Products, Incorporated and Houston Pipe Line Company as amended by Amendments dated October 1, 1993, October 1, 1994, October 1, 1995, March 1, 1998, September 1, 1998, September 1, 1999, April 1, 2000 and October 1, 2000.</w:t>
      </w:r>
    </w:p>
    <w:p>
      <w:pPr>
        <w:pStyle w:val="BodyTextIndent"/>
        <w:ind w:hanging="720" w:start="720" w:end="0"/>
        <w:rPr>
          <w:b/>
          <w:bCs/>
        </w:rPr>
      </w:pPr>
      <w:r>
        <w:rPr>
          <w:b/>
          <w:bCs/>
        </w:rPr>
      </w:r>
    </w:p>
    <w:p>
      <w:pPr>
        <w:pStyle w:val="BodyTextIndent"/>
        <w:numPr>
          <w:ilvl w:val="0"/>
          <w:numId w:val="16"/>
        </w:numPr>
        <w:tabs>
          <w:tab w:val="clear" w:pos="720"/>
        </w:tabs>
        <w:ind w:hanging="720" w:start="720" w:end="0"/>
        <w:rPr/>
      </w:pPr>
      <w:r>
        <w:rPr/>
        <w:t>Enron Global Contract 96021316.  That certain Enfolio Master Firm Purchase/Sale Agreement dated November 1, 1997 between BASF Corporation and Houston Pipe Line Company.</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96022419.  That certain Buyback Contract dated November 1, 1997 between BASF Corporation and Houston Pipe Line Company and applicable Transaction Agreements dated March 17, 1998 and October 21, 1999.</w:t>
      </w:r>
    </w:p>
    <w:p>
      <w:pPr>
        <w:pStyle w:val="BodyTextIndent"/>
        <w:ind w:hanging="720" w:start="720" w:end="0"/>
        <w:rPr>
          <w:b/>
          <w:bCs/>
        </w:rPr>
      </w:pPr>
      <w:r>
        <w:rPr>
          <w:b/>
          <w:bCs/>
        </w:rPr>
      </w:r>
    </w:p>
    <w:p>
      <w:pPr>
        <w:pStyle w:val="BodyTextIndent"/>
        <w:numPr>
          <w:ilvl w:val="0"/>
          <w:numId w:val="16"/>
        </w:numPr>
        <w:tabs>
          <w:tab w:val="clear" w:pos="720"/>
        </w:tabs>
        <w:ind w:hanging="720" w:start="720" w:end="0"/>
        <w:rPr/>
      </w:pPr>
      <w:r>
        <w:rPr/>
        <w:t>Enron Global Contract 96000341.  That certain Gas Sales Contract dated September 29, 1993 between BP Chemicals, Inc. and Houston Pipe Line Company, as amended by Amendment effective November 1, 1996.</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96057589.  That certain Enfolio Firm Confirmation-Enfolio Firm General Terms &amp; Conditions Agreement dated May 1, 2001 between BP Energy Company and Enron North America Corp.</w:t>
      </w:r>
    </w:p>
    <w:p>
      <w:pPr>
        <w:pStyle w:val="BodyTextIndent"/>
        <w:ind w:hanging="720" w:start="720" w:end="0"/>
        <w:rPr>
          <w:b/>
          <w:bCs/>
        </w:rPr>
      </w:pPr>
      <w:r>
        <w:rPr>
          <w:b/>
          <w:bCs/>
        </w:rPr>
      </w:r>
    </w:p>
    <w:p>
      <w:pPr>
        <w:pStyle w:val="BodyTextIndent"/>
        <w:numPr>
          <w:ilvl w:val="0"/>
          <w:numId w:val="16"/>
        </w:numPr>
        <w:tabs>
          <w:tab w:val="clear" w:pos="720"/>
        </w:tabs>
        <w:ind w:hanging="720" w:start="720" w:end="0"/>
        <w:rPr/>
      </w:pPr>
      <w:r>
        <w:rPr/>
        <w:t>Enron Global Contract 96014706.  That certain Enfolio Master Firm Purchase/Sale Agreement dated March 31, 1998 between Calpine Fuels Texas, Corporation and Houston Pipe Line Company (assignee of Enron Capital &amp; Trade Resources Corp.)</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96014780.  That certain Gas Sales Agreement For Delivery of Gas at Meter No. 1424 dated December 1, 1995 between Calpine Fuels Texas, Corporation (assignee of DEI Texas, Inc.) and Houston Pipe Line Company (assignee of Enron Capital &amp; Trade Resources Corp.) as amended by Amendment dated March 31, 1998.</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96037368.  That certain Enfolio Firm Confirmation-Enfolio Firm General Terms and Conditions dated March 23, 2000 between Central Power and Light Company and Houston Pipe Line Company</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96047863.  That certain unexecuted contract dated October 1, 2000 between Chevron Phillips Chemical Company LP and Houston Pipe Line Company.</w:t>
      </w:r>
    </w:p>
    <w:p>
      <w:pPr>
        <w:pStyle w:val="BodyTextIndent"/>
        <w:ind w:hanging="720" w:start="720" w:end="0"/>
        <w:rPr>
          <w:b/>
          <w:bCs/>
        </w:rPr>
      </w:pPr>
      <w:r>
        <w:rPr>
          <w:b/>
          <w:bCs/>
        </w:rPr>
      </w:r>
    </w:p>
    <w:p>
      <w:pPr>
        <w:pStyle w:val="BodyTextIndent"/>
        <w:numPr>
          <w:ilvl w:val="0"/>
          <w:numId w:val="16"/>
        </w:numPr>
        <w:tabs>
          <w:tab w:val="clear" w:pos="720"/>
        </w:tabs>
        <w:ind w:hanging="720" w:start="720" w:end="0"/>
        <w:rPr/>
      </w:pPr>
      <w:r>
        <w:rPr/>
        <w:t>Enron Global Contract 96001551.  That certain Firm Confirmation-Enfolio Firm General Terms and Conditions dated May 1, 1996 between Corpus Christi Gas Marketing, LP and Houston Pipe Line Company.</w:t>
      </w:r>
    </w:p>
    <w:p>
      <w:pPr>
        <w:pStyle w:val="BodyTextIndent"/>
        <w:ind w:hanging="720" w:start="720" w:end="0"/>
        <w:rPr>
          <w:b/>
          <w:bCs/>
        </w:rPr>
      </w:pPr>
      <w:r>
        <w:rPr>
          <w:b/>
          <w:bCs/>
        </w:rPr>
      </w:r>
    </w:p>
    <w:p>
      <w:pPr>
        <w:pStyle w:val="BodyTextIndent"/>
        <w:numPr>
          <w:ilvl w:val="0"/>
          <w:numId w:val="16"/>
        </w:numPr>
        <w:tabs>
          <w:tab w:val="clear" w:pos="720"/>
        </w:tabs>
        <w:ind w:hanging="720" w:start="720" w:end="0"/>
        <w:rPr/>
      </w:pPr>
      <w:r>
        <w:rPr/>
        <w:t>Enron Global Contract 96000364.  That certain Gas Sales Agreement dated June 1, 1993 between Diamond Shamrock Refining &amp; Marketing Company and Houston Pipe Line Company.</w:t>
      </w:r>
    </w:p>
    <w:p>
      <w:pPr>
        <w:pStyle w:val="BodyTextIndent"/>
        <w:ind w:hanging="720" w:start="720" w:end="0"/>
        <w:rPr>
          <w:b/>
          <w:bCs/>
        </w:rPr>
      </w:pPr>
      <w:r>
        <w:rPr>
          <w:b/>
          <w:bCs/>
        </w:rPr>
      </w:r>
    </w:p>
    <w:p>
      <w:pPr>
        <w:pStyle w:val="BodyTextIndent"/>
        <w:numPr>
          <w:ilvl w:val="0"/>
          <w:numId w:val="16"/>
        </w:numPr>
        <w:tabs>
          <w:tab w:val="clear" w:pos="720"/>
        </w:tabs>
        <w:ind w:hanging="720" w:start="720" w:end="0"/>
        <w:rPr/>
      </w:pPr>
      <w:r>
        <w:rPr/>
        <w:t>Enron Global Contract 96000769.  That certain Gas Sales Contract dated April 10, 1990 between Dixie Chemical Company, Incorporated and Houston Pipe Line Company, as amended by Amendments effective July 1, 1993, October 1, 1993 and February 1, 2000.</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96013414.  That certain Enfolio Master Firm Purchase and Sale Agreement dated January 1, 1998 between EGP Fuels Company and Houston Pipe Line Company (assignee of HPL Resources Company), as amended by Enfolio Firm Confirmation-Enfolio Firm General Terms and Conditions dated December 20, 2000.</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96000853.  That certain Gas Sales Contract dated October 7, 1991 between EniChem Americas, Inc. and Houston Pipe Line Company, as amended by Amendment effective April 1, 2000.</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96013411.  That certain Enfolio Master Firm Purchase and Sale Agreement dated January 1, 1998 between Enron Methanol Company and Houston Pipe Line Company (assignee of HPL Resources Company), as amended by Enfolio Firm Confirmation-Enfolio Firm General Terms and Conditions dated December 20, 2000.</w:t>
      </w:r>
    </w:p>
    <w:p>
      <w:pPr>
        <w:pStyle w:val="BodyTextIndent"/>
        <w:ind w:hanging="720" w:start="720" w:end="0"/>
        <w:rPr/>
      </w:pPr>
      <w:r>
        <w:rPr/>
      </w:r>
    </w:p>
    <w:p>
      <w:pPr>
        <w:pStyle w:val="BodyTextIndent"/>
        <w:numPr>
          <w:ilvl w:val="0"/>
          <w:numId w:val="16"/>
        </w:numPr>
        <w:tabs>
          <w:tab w:val="clear" w:pos="720"/>
        </w:tabs>
        <w:ind w:hanging="720" w:start="720" w:end="0"/>
        <w:rPr>
          <w:strike/>
        </w:rPr>
      </w:pPr>
      <w:r>
        <w:rPr/>
        <w:t xml:space="preserve">Enron Global Contract </w:t>
      </w:r>
      <w:r>
        <w:rPr>
          <w:strike/>
        </w:rPr>
        <w:t>96052274</w:t>
      </w:r>
      <w:r>
        <w:rPr/>
        <w:t xml:space="preserve"> </w:t>
      </w:r>
      <w:r>
        <w:rPr>
          <w:b/>
          <w:bCs/>
          <w:u w:val="double"/>
        </w:rPr>
        <w:t>96060852</w:t>
      </w:r>
      <w:r>
        <w:rPr/>
        <w:t xml:space="preserve">. That certain Enfolio </w:t>
      </w:r>
      <w:r>
        <w:rPr>
          <w:strike/>
        </w:rPr>
        <w:t>Firm Confirmation-Enfolio Firm General Terms and Conditions</w:t>
      </w:r>
      <w:r>
        <w:rPr/>
        <w:t xml:space="preserve"> </w:t>
      </w:r>
      <w:r>
        <w:rPr>
          <w:b/>
          <w:bCs/>
          <w:u w:val="double"/>
        </w:rPr>
        <w:t>Master Firm Purchase/Sale</w:t>
      </w:r>
      <w:r>
        <w:rPr/>
        <w:t xml:space="preserve"> Agreement dated </w:t>
      </w:r>
      <w:r>
        <w:rPr>
          <w:strike/>
        </w:rPr>
        <w:t>April</w:t>
      </w:r>
      <w:r>
        <w:rPr/>
        <w:t xml:space="preserve"> </w:t>
      </w:r>
      <w:r>
        <w:rPr>
          <w:b/>
          <w:bCs/>
          <w:u w:val="double"/>
        </w:rPr>
        <w:t>July</w:t>
      </w:r>
      <w:r>
        <w:rPr/>
        <w:t xml:space="preserve"> 1, </w:t>
      </w:r>
      <w:r>
        <w:rPr>
          <w:strike/>
        </w:rPr>
        <w:t>2001</w:t>
      </w:r>
      <w:r>
        <w:rPr/>
        <w:t xml:space="preserve"> </w:t>
      </w:r>
      <w:r>
        <w:rPr>
          <w:b/>
          <w:bCs/>
          <w:u w:val="double"/>
        </w:rPr>
        <w:t>2000</w:t>
      </w:r>
      <w:r>
        <w:rPr/>
        <w:t xml:space="preserve"> between Entex Gas Resources Corp. and Enron North America Corp </w:t>
      </w:r>
      <w:r>
        <w:rPr>
          <w:b/>
          <w:bCs/>
          <w:u w:val="double"/>
        </w:rPr>
        <w:t>together with accompanying transaction agreements formerly reflected as</w:t>
      </w:r>
      <w:r>
        <w:rPr/>
        <w:t xml:space="preserve"> </w:t>
      </w:r>
    </w:p>
    <w:p>
      <w:pPr>
        <w:pStyle w:val="BodyTextIndent"/>
        <w:numPr>
          <w:ilvl w:val="0"/>
          <w:numId w:val="16"/>
        </w:numPr>
        <w:tabs>
          <w:tab w:val="clear" w:pos="720"/>
        </w:tabs>
        <w:ind w:hanging="720" w:start="720" w:end="0"/>
        <w:rPr>
          <w:b/>
          <w:bCs/>
        </w:rPr>
      </w:pPr>
      <w:r>
        <w:rPr>
          <w:strike/>
        </w:rPr>
        <w:t>Enron Global Contract 96053954. That certain</w:t>
      </w:r>
      <w:r>
        <w:rPr/>
        <w:t xml:space="preserve"> Enfolio Firm Confirmation-Enfolio Firm General Terms </w:t>
      </w:r>
      <w:r>
        <w:rPr>
          <w:strike/>
        </w:rPr>
        <w:t>&amp;</w:t>
      </w:r>
      <w:r>
        <w:rPr/>
        <w:t xml:space="preserve"> </w:t>
      </w:r>
      <w:r>
        <w:rPr>
          <w:b/>
          <w:bCs/>
          <w:u w:val="double"/>
        </w:rPr>
        <w:t>and</w:t>
      </w:r>
      <w:r>
        <w:rPr/>
        <w:t xml:space="preserve"> Conditions Agreement dated April 1, 2001 </w:t>
      </w:r>
      <w:r>
        <w:rPr>
          <w:strike/>
        </w:rPr>
        <w:t>between Entex Gas Resources Corp. and Enron North America Corp</w:t>
      </w:r>
      <w:r>
        <w:rPr/>
        <w:t xml:space="preserve"> </w:t>
      </w:r>
      <w:r>
        <w:rPr>
          <w:b/>
          <w:bCs/>
          <w:u w:val="double"/>
        </w:rPr>
        <w:t>Enron Global Contract 96052274 and Enfolio Firm Confirmation-Enfolio Firm General Terms &amp; Conditions Agreement dated April 1, 2001 Enron Global Contract 96053954</w:t>
      </w:r>
      <w:r>
        <w:rPr/>
        <w:t xml:space="preserve">.  </w:t>
      </w:r>
    </w:p>
    <w:p>
      <w:pPr>
        <w:pStyle w:val="BodyTextIndent"/>
        <w:ind w:start="0" w:end="0"/>
        <w:rPr>
          <w:b/>
          <w:bCs/>
        </w:rPr>
      </w:pPr>
      <w:r>
        <w:rPr>
          <w:b/>
          <w:bCs/>
        </w:rPr>
      </w:r>
    </w:p>
    <w:p>
      <w:pPr>
        <w:pStyle w:val="BodyTextIndent"/>
        <w:numPr>
          <w:ilvl w:val="0"/>
          <w:numId w:val="16"/>
        </w:numPr>
        <w:tabs>
          <w:tab w:val="clear" w:pos="720"/>
        </w:tabs>
        <w:ind w:hanging="720" w:start="720" w:end="0"/>
        <w:rPr/>
      </w:pPr>
      <w:r>
        <w:rPr/>
        <w:t>Enron Global Contract 96000240.  That certain Master Purchase/Sale Agreement dated May 1, 1994 between Equistar Chemicals, LP and Houston Pipe Line Company.</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96037753.  That certain Revised Enfolio Firm Confirmation-Enfolio Firm General Terms and Conditions Govern dated effective June 1, 2000 between Equistar Chemicals, LP and Enron North America Corp.</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96057090.  That certain Enfolio Firm Confirmation-Enfolio Firm General Terms and Conditions Agreement dated March 1, 2001 between Equistar Chemicals, LP and Enron North America Corp.</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96050348.  That certain Enfolio Firm Confirmation-Enfolio Firm General Terms and Conditions Agreement dated April 1, 2001 between Equistar Chemicals, LP and Enron North America Corp.</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96057307.  That certain Enfolio Firm Confirmation-Enfolio Firm General Terms and Conditions Agreement dated June 1, 2001 between Equistar Chemicals, LP and Enron North America Corp.</w:t>
      </w:r>
    </w:p>
    <w:p>
      <w:pPr>
        <w:pStyle w:val="BodyTextIndent"/>
        <w:ind w:hanging="720" w:start="720" w:end="0"/>
        <w:rPr/>
      </w:pPr>
      <w:r>
        <w:rPr/>
      </w:r>
    </w:p>
    <w:p>
      <w:pPr>
        <w:pStyle w:val="BodyTextIndent"/>
        <w:numPr>
          <w:ilvl w:val="0"/>
          <w:numId w:val="16"/>
        </w:numPr>
        <w:tabs>
          <w:tab w:val="clear" w:pos="720"/>
        </w:tabs>
        <w:ind w:hanging="720" w:start="720" w:end="0"/>
        <w:rPr/>
      </w:pPr>
      <w:r>
        <w:rPr/>
        <w:t xml:space="preserve">Enron Global Contract 96050476.  That certain Enfolio Firm Confirmation-Enfolio Firm General Terms and Conditions dated October 26, 2000 between Equistar Chemical, LP and Enron North America Corp. </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96056406.  That certain Enfolio Firm Confirmation-Enfolio Firm General Terms and Conditions dated May 1, 2001 between Equistar Chemicals, LP and Enron North America Corp.</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96016014.  That certain GISB Base Contract for Short-Term Sale and Purchase Agreement dated March 19, 1998 between Exxon Mobil Gas Marketing Company (formerly Exxon Chemical Company) and Houston Pipe Line Company (assignee of HPL Resources Company) as amended by Transaction Confirmations dated April 1, 1998, April 1, 1998, April 1, 1998, July 1, 1998 and December 1, 1999.</w:t>
      </w:r>
    </w:p>
    <w:p>
      <w:pPr>
        <w:pStyle w:val="BodyTextIndent"/>
        <w:ind w:hanging="720" w:start="720" w:end="0"/>
        <w:rPr/>
      </w:pPr>
      <w:r>
        <w:rPr/>
      </w:r>
    </w:p>
    <w:p>
      <w:pPr>
        <w:pStyle w:val="BodyTextIndent"/>
        <w:numPr>
          <w:ilvl w:val="0"/>
          <w:numId w:val="16"/>
        </w:numPr>
        <w:tabs>
          <w:tab w:val="clear" w:pos="720"/>
        </w:tabs>
        <w:ind w:hanging="720" w:start="720" w:end="0"/>
        <w:rPr/>
      </w:pPr>
      <w:r>
        <w:rPr/>
        <w:t xml:space="preserve">Enron Global Contract 96003470.  That certain Gas Sales Contract dated September 25, 1991 between Global Octanes Texas L.P. and Houston Pipe Line Company as amended by Amendment dated August 1, 1997 and by unexecuted Amendments dated July 1, 2000 and September 1, 2000. </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96058683.  That certain Enfolio Spot Confirmation-Enfolio Spot General Terms and Conditions dated May 1, 2001 between Guadalupe Power Partners, LP and Enron North America Corp.</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96058684. That certain Enfolio Spot Confirmation-Enfolio Spot General Terms and Conditions dated May 1, 2001 between Guadalupe Power Partners, LP and Enron North America Corp.</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96029942.  That certain Base Contract for Sale and Purchase Agreement dated August 26, 1999 between Guadalupe Power Partners, LP and Enron North America Corp. (assignee of Columbia Energy Services Corp.), as amended by Amendment dated June 11, 1999.</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96047376.  That certain Enfolio Master Firm Purchase/Sale Agreement dated August 1, 2000 between HUISH Detergents, Inc. and Houston Pipe Line Company.</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96042359.  That certain GISB Base Contract for Short-Term Sale and Purchase Agreement dated January 1, 2000 between Kinder Morgan Texas Pipeline, Inc. (assignee of Midcon Texas Pipe Line Operator Inc.) and Houston Pipe Line Company as amended by Amendment dated December 1, 2000.</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96002388.  That certain Gas Sales Contract dated January 1, 1991 between Lonza, Inc. and Houston Pipe Line Company, as amended by Amendments dated July 1, 1994, December 1, 1999.</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96055715.  That certain Enfolio Master Firm Purchase and Sale Agreement dated December 1, 2000 between Mobil Oil Corporation and Houston Pipe Line Company, as amended by Transactions Agreement dated December 1, 2000.</w:t>
      </w:r>
    </w:p>
    <w:p>
      <w:pPr>
        <w:pStyle w:val="BodyTextIndent"/>
        <w:ind w:hanging="720" w:start="720" w:end="0"/>
        <w:rPr>
          <w:b/>
          <w:bCs/>
        </w:rPr>
      </w:pPr>
      <w:r>
        <w:rPr>
          <w:b/>
          <w:bCs/>
        </w:rPr>
      </w:r>
    </w:p>
    <w:p>
      <w:pPr>
        <w:pStyle w:val="BodyTextIndent"/>
        <w:numPr>
          <w:ilvl w:val="0"/>
          <w:numId w:val="16"/>
        </w:numPr>
        <w:tabs>
          <w:tab w:val="clear" w:pos="720"/>
        </w:tabs>
        <w:ind w:hanging="720" w:start="720" w:end="0"/>
        <w:rPr/>
      </w:pPr>
      <w:r>
        <w:rPr/>
        <w:t xml:space="preserve">Enron Global Contract 96001281.  That certain Gas Sales Agreement dated May 13, 1991 between Nova Molecular Technologies Inc. and Houston Pipe Line Company (assignee of HPL Resources Company, formerly known as Natural Gas Marketing &amp; Storage Company), as amended by Amendments dated August 5, 1991, November 10, 1994, October 17, 1997, and November 1, 1999. </w:t>
      </w:r>
    </w:p>
    <w:p>
      <w:pPr>
        <w:pStyle w:val="BodyTextIndent"/>
        <w:ind w:hanging="720" w:start="720" w:end="0"/>
        <w:rPr>
          <w:b/>
          <w:bCs/>
        </w:rPr>
      </w:pPr>
      <w:r>
        <w:rPr>
          <w:b/>
          <w:bCs/>
        </w:rPr>
      </w:r>
    </w:p>
    <w:p>
      <w:pPr>
        <w:pStyle w:val="BodyTextIndent"/>
        <w:numPr>
          <w:ilvl w:val="0"/>
          <w:numId w:val="16"/>
        </w:numPr>
        <w:tabs>
          <w:tab w:val="clear" w:pos="720"/>
        </w:tabs>
        <w:ind w:hanging="720" w:start="720" w:end="0"/>
        <w:rPr/>
      </w:pPr>
      <w:r>
        <w:rPr/>
        <w:t>Enron Global Contract 96040778.  That certain Firm Confirmation—Attached General Terms and Conditions Govern dated May 18, 2000 between OXY Vinyls L.P. and Houston Pipe Line Company.</w:t>
      </w:r>
    </w:p>
    <w:p>
      <w:pPr>
        <w:pStyle w:val="BodyTextIndent"/>
        <w:ind w:hanging="720" w:start="720" w:end="0"/>
        <w:rPr>
          <w:b/>
          <w:bCs/>
        </w:rPr>
      </w:pPr>
      <w:r>
        <w:rPr>
          <w:b/>
          <w:bCs/>
        </w:rPr>
      </w:r>
    </w:p>
    <w:p>
      <w:pPr>
        <w:pStyle w:val="BodyTextIndent"/>
        <w:numPr>
          <w:ilvl w:val="0"/>
          <w:numId w:val="16"/>
        </w:numPr>
        <w:tabs>
          <w:tab w:val="clear" w:pos="720"/>
        </w:tabs>
        <w:ind w:hanging="720" w:start="720" w:end="0"/>
        <w:rPr/>
      </w:pPr>
      <w:r>
        <w:rPr/>
        <w:t>Enron Global Contract 96040779.  That certain Firm Confirmation—Attached General Terms and Conditions Govern dated May 18, 2000 between OXY Vinyls L.P. and Houston Pipe Line Company.</w:t>
      </w:r>
    </w:p>
    <w:p>
      <w:pPr>
        <w:pStyle w:val="BodyTextIndent"/>
        <w:ind w:hanging="720" w:start="720" w:end="0"/>
        <w:rPr>
          <w:highlight w:val="yellow"/>
        </w:rPr>
      </w:pPr>
      <w:r>
        <w:rPr>
          <w:highlight w:val="yellow"/>
        </w:rPr>
      </w:r>
    </w:p>
    <w:p>
      <w:pPr>
        <w:pStyle w:val="BodyTextIndent"/>
        <w:numPr>
          <w:ilvl w:val="0"/>
          <w:numId w:val="16"/>
        </w:numPr>
        <w:tabs>
          <w:tab w:val="clear" w:pos="720"/>
        </w:tabs>
        <w:ind w:hanging="720" w:start="720" w:end="0"/>
        <w:rPr/>
      </w:pPr>
      <w:r>
        <w:rPr/>
        <w:t>Enron Global Contract 96004597.  That certain Gas Sales Agreement dated January 1, 1993 between Reliant Energy Entex (formerly Entex, a division of NorAm Energy Corp.), and Enron North America Corp. (assignee of HPL Resources Company) and applicable Transaction Agreements as amended by Amendments dated December 5, 1996.</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96019331.  That certain Enfolio Master Firm Purchase and Sale Agreement dated February 1, 1998 between Petrofina Gas Pipeline Company and Houston Pipe Line Company.</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96004582.  That certain Enfolio Master Firm Purchase and Sale Agreement for Large Commercial and Industrial Consumers Agreement dated May 1, 1995 between Reliant Energy Resources Corp. (assignee of Entex, a division of NorAm Energy Corp.) and Enron North America Corp. (assignee of HPL Resources Company).</w:t>
      </w:r>
    </w:p>
    <w:p>
      <w:pPr>
        <w:pStyle w:val="BodyTextIndent"/>
        <w:ind w:hanging="720" w:start="720" w:end="0"/>
        <w:rPr>
          <w:b/>
          <w:bCs/>
        </w:rPr>
      </w:pPr>
      <w:r>
        <w:rPr>
          <w:b/>
          <w:bCs/>
        </w:rPr>
      </w:r>
    </w:p>
    <w:p>
      <w:pPr>
        <w:pStyle w:val="BodyTextIndent"/>
        <w:numPr>
          <w:ilvl w:val="0"/>
          <w:numId w:val="16"/>
        </w:numPr>
        <w:tabs>
          <w:tab w:val="clear" w:pos="720"/>
        </w:tabs>
        <w:ind w:hanging="720" w:start="720" w:end="0"/>
        <w:rPr/>
      </w:pPr>
      <w:r>
        <w:rPr/>
        <w:t>Enron Global Contract 96019120.  That certain Enfolio Master Firm Purchase/Sale Agreement for General Service Customers Houston, East Texas and Gulf Coast Divisions dated April 1, 1999 between Reliant Energy Entex (formerly Entex, a division of NorAm Energy Corp.), and Houston Pipe Line Company (assignee of HPL Resources Company) and applicable Transaction Agreements.</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96015679.  That certain Enfolio Master Firm Purchase/Sale Agreement dated September 1, 1996 between Reliant Energy HL&amp;P (formerly Houston Lighting &amp; Power Company) and Houston Pipe Line Company (assignee of HPL Resources Company) and applicable Transaction Agreements.</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96001353.  That certain Gas Sales Contract dated July 26, 1979 between Schenectady International, Inc. (formerly Schenectady Chemicals, Inc.) and Houston Pipe Line Company (assignee of Houston Natural Gas Corporation), as amended by Amendments dated July 18, 1984, January 1, 1987, and November 1, 1992.</w:t>
      </w:r>
    </w:p>
    <w:p>
      <w:pPr>
        <w:pStyle w:val="BodyTextIndent"/>
        <w:ind w:hanging="720" w:start="720" w:end="0"/>
        <w:rPr>
          <w:b/>
          <w:bCs/>
        </w:rPr>
      </w:pPr>
      <w:r>
        <w:rPr>
          <w:b/>
          <w:bCs/>
        </w:rPr>
      </w:r>
    </w:p>
    <w:p>
      <w:pPr>
        <w:pStyle w:val="BodyTextIndent"/>
        <w:numPr>
          <w:ilvl w:val="0"/>
          <w:numId w:val="16"/>
        </w:numPr>
        <w:tabs>
          <w:tab w:val="clear" w:pos="720"/>
        </w:tabs>
        <w:ind w:hanging="720" w:start="720" w:end="0"/>
        <w:rPr/>
      </w:pPr>
      <w:r>
        <w:rPr/>
        <w:t>Enron Global Contract 96038519.  That certain Enfolio Master Firm Sales Agreement dated September 1, 1999 between SDS Petroleum Products, Inc. and Enron North America Corp.</w:t>
      </w:r>
    </w:p>
    <w:p>
      <w:pPr>
        <w:pStyle w:val="BodyTextIndent"/>
        <w:ind w:hanging="720" w:start="720" w:end="0"/>
        <w:rPr>
          <w:b/>
          <w:bCs/>
        </w:rPr>
      </w:pPr>
      <w:r>
        <w:rPr>
          <w:b/>
          <w:bCs/>
        </w:rPr>
      </w:r>
    </w:p>
    <w:p>
      <w:pPr>
        <w:pStyle w:val="BodyTextIndent"/>
        <w:numPr>
          <w:ilvl w:val="0"/>
          <w:numId w:val="16"/>
        </w:numPr>
        <w:tabs>
          <w:tab w:val="clear" w:pos="720"/>
        </w:tabs>
        <w:ind w:hanging="720" w:start="720" w:end="0"/>
        <w:rPr/>
      </w:pPr>
      <w:r>
        <w:rPr/>
        <w:t>Enron Global Contract 96019720.  That certain Enfolio Master Firm Purchase/Sale Agreement dated July 1, 1998 between Shell Oil Company and Houston Pipe Line Company.</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96009423.  That certain Enfolio Master Firm Purchase and Sale Agreement dated February 1, 1998 between Shell Chemical Company and Houston Pipe Line Company (assignee of HPL Resources Company).</w:t>
      </w:r>
    </w:p>
    <w:p>
      <w:pPr>
        <w:pStyle w:val="BodyTextIndent"/>
        <w:ind w:hanging="720" w:start="720" w:end="0"/>
        <w:rPr>
          <w:b/>
          <w:bCs/>
        </w:rPr>
      </w:pPr>
      <w:r>
        <w:rPr>
          <w:b/>
          <w:bCs/>
        </w:rPr>
      </w:r>
    </w:p>
    <w:p>
      <w:pPr>
        <w:pStyle w:val="BodyTextIndent"/>
        <w:numPr>
          <w:ilvl w:val="0"/>
          <w:numId w:val="16"/>
        </w:numPr>
        <w:tabs>
          <w:tab w:val="clear" w:pos="720"/>
        </w:tabs>
        <w:ind w:hanging="720" w:start="720" w:end="0"/>
        <w:rPr/>
      </w:pPr>
      <w:r>
        <w:rPr/>
        <w:t>Enron Global Contract 96014526.  That certain Enfolio Master Firm Sales Agreement dated January 1, 1998 between Solutia Inc. and Houston Pipe Line Company (assignee of HPL Resources Company), as amended by Amendment dated April 1, 2001.</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96001291.  That certain Gas Sales Contract dated July 17, 1990 between Solvay Polymers, Inc. (formerly Soltex Polymer Corporation) and Houston Pipe Line Company, (assignee of Natural Gas Marketing &amp; Storage Company) as amended by Amendments dated July 1, 1993, November 1, 1993, December 1, 1995, and November 1, 1996.</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96016887.  That certain Natural Gas Sales Agreement dated June 30, 1998 between Southern Union Company and Enron Capital &amp; Trade Resources Corp.</w:t>
      </w:r>
    </w:p>
    <w:p>
      <w:pPr>
        <w:pStyle w:val="BodyTextIndent"/>
        <w:ind w:hanging="720" w:start="720" w:end="0"/>
        <w:rPr>
          <w:b/>
          <w:bCs/>
        </w:rPr>
      </w:pPr>
      <w:r>
        <w:rPr>
          <w:b/>
          <w:bCs/>
        </w:rPr>
      </w:r>
    </w:p>
    <w:p>
      <w:pPr>
        <w:pStyle w:val="BodyTextIndent"/>
        <w:numPr>
          <w:ilvl w:val="0"/>
          <w:numId w:val="16"/>
        </w:numPr>
        <w:tabs>
          <w:tab w:val="clear" w:pos="720"/>
        </w:tabs>
        <w:ind w:hanging="720" w:start="720" w:end="0"/>
        <w:rPr/>
      </w:pPr>
      <w:r>
        <w:rPr/>
        <w:t>Enron Global Contract 96016888.  That certain Natural Gas Sales Agreement dated June 1, 1998 between Southern Union Company and Enron Capital &amp; Trade Resources Corp.</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96000912.  That certain Gas Sales Contract dated September 14, 1988 between Sterling Chemicals, Inc. and Houston Pipe Line Company as amended by Amendments dated October 1, 1992, January 1, 1994, and July 1, 1996.</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96022957.  That certain Gas Sales Contract dated June 30, 1998 between Titan Tire Corporation of Texas and Houston Pipe Line Company (assignee of HPL Resources Company).</w:t>
      </w:r>
    </w:p>
    <w:p>
      <w:pPr>
        <w:pStyle w:val="BodyTextIndent"/>
        <w:ind w:hanging="720" w:start="720" w:end="0"/>
        <w:rPr>
          <w:b/>
          <w:bCs/>
        </w:rPr>
      </w:pPr>
      <w:r>
        <w:rPr>
          <w:b/>
          <w:bCs/>
        </w:rPr>
      </w:r>
    </w:p>
    <w:p>
      <w:pPr>
        <w:pStyle w:val="BodyTextIndent"/>
        <w:numPr>
          <w:ilvl w:val="0"/>
          <w:numId w:val="16"/>
        </w:numPr>
        <w:tabs>
          <w:tab w:val="clear" w:pos="720"/>
        </w:tabs>
        <w:ind w:hanging="720" w:start="720" w:end="0"/>
        <w:rPr/>
      </w:pPr>
      <w:r>
        <w:rPr/>
        <w:t>Enron Global Contract 96001400.  That certain Gas Purchase and Sales Contract dated January 1, 1993 between TXU Fuel Company (formerly Texas Utilities Fuel Company) and Enron Capital &amp; Trade Resources Corp. (assignee of Enron Power Services, Inc.), as amended by Amendment dated January 1, 1996.</w:t>
      </w:r>
    </w:p>
    <w:p>
      <w:pPr>
        <w:pStyle w:val="BodyTextIndent"/>
        <w:ind w:hanging="720" w:start="720" w:end="0"/>
        <w:rPr>
          <w:b/>
          <w:bCs/>
        </w:rPr>
      </w:pPr>
      <w:r>
        <w:rPr>
          <w:b/>
          <w:bCs/>
        </w:rPr>
      </w:r>
    </w:p>
    <w:p>
      <w:pPr>
        <w:pStyle w:val="BodyTextIndent"/>
        <w:numPr>
          <w:ilvl w:val="0"/>
          <w:numId w:val="16"/>
        </w:numPr>
        <w:tabs>
          <w:tab w:val="clear" w:pos="720"/>
        </w:tabs>
        <w:ind w:hanging="720" w:start="720" w:end="0"/>
        <w:rPr/>
      </w:pPr>
      <w:r>
        <w:rPr/>
        <w:t xml:space="preserve">Enron Global Contract 96002201.  That certain Gas Sales Contract dated January 1, 1990 between Union Carbide Corporation (assignee of Union Carbide Chemicals and Plastics Company Inc.) and </w:t>
      </w:r>
      <w:r>
        <w:rPr>
          <w:strike/>
        </w:rPr>
        <w:t>Enron Capital &amp; Trade Resources Corp.</w:t>
      </w:r>
      <w:r>
        <w:rPr/>
        <w:t xml:space="preserve"> </w:t>
      </w:r>
      <w:r>
        <w:rPr>
          <w:b/>
          <w:bCs/>
          <w:u w:val="double"/>
        </w:rPr>
        <w:t>Houston Pipe Line Company</w:t>
      </w:r>
      <w:r>
        <w:rPr/>
        <w:t xml:space="preserve"> (assignee of Enron Industrial Natural Gas Company) as amended by Amendments dated January 1, 1995 and November 1, 1997.</w:t>
      </w:r>
    </w:p>
    <w:p>
      <w:pPr>
        <w:pStyle w:val="BodyTextIndent"/>
        <w:ind w:hanging="720" w:start="720" w:end="0"/>
        <w:rPr/>
      </w:pPr>
      <w:r>
        <w:rPr/>
      </w:r>
    </w:p>
    <w:p>
      <w:pPr>
        <w:pStyle w:val="BodyTextIndent"/>
        <w:numPr>
          <w:ilvl w:val="0"/>
          <w:numId w:val="16"/>
        </w:numPr>
        <w:tabs>
          <w:tab w:val="clear" w:pos="720"/>
        </w:tabs>
        <w:ind w:hanging="720" w:start="720" w:end="0"/>
        <w:rPr/>
      </w:pPr>
      <w:r>
        <w:rPr/>
        <w:t>Enron Global Contract 96002879.  That certain Enfolio Master Firm Purchase and Sale Agreement dated May 1, 1995 between Unit Gas Transmission Company Inc. and Enron North America Corp. (assignee of HPL Resources Company).</w:t>
      </w:r>
    </w:p>
    <w:p>
      <w:pPr>
        <w:pStyle w:val="Normal"/>
        <w:ind w:hanging="720" w:start="720" w:end="0"/>
        <w:rPr>
          <w:b/>
          <w:bCs/>
          <w:color w:val="000000"/>
        </w:rPr>
      </w:pPr>
      <w:r>
        <w:rPr>
          <w:b/>
          <w:bCs/>
          <w:color w:val="000000"/>
        </w:rPr>
      </w:r>
    </w:p>
    <w:p>
      <w:pPr>
        <w:pStyle w:val="Normal"/>
        <w:ind w:hanging="720" w:start="720" w:end="0"/>
        <w:jc w:val="both"/>
        <w:rPr/>
      </w:pPr>
      <w:r>
        <w:rPr/>
        <w:t>(vi)</w:t>
        <w:tab/>
        <w:t>Gas Processing, Treatment, Transportation, Liquid Sales and Gathering Agreements:</w:t>
      </w:r>
    </w:p>
    <w:p>
      <w:pPr>
        <w:pStyle w:val="Normal"/>
        <w:ind w:hanging="720" w:start="720" w:end="0"/>
        <w:jc w:val="both"/>
        <w:rPr/>
      </w:pPr>
      <w:r>
        <w:rPr/>
      </w:r>
    </w:p>
    <w:p>
      <w:pPr>
        <w:pStyle w:val="Normal"/>
        <w:tabs>
          <w:tab w:val="clear" w:pos="720"/>
          <w:tab w:val="left" w:pos="1260" w:leader="none"/>
        </w:tabs>
        <w:ind w:hanging="720" w:start="720" w:end="0"/>
        <w:jc w:val="both"/>
        <w:rPr/>
      </w:pPr>
      <w:r>
        <w:rPr/>
        <w:t>1.</w:t>
        <w:tab/>
        <w:t>Gas Processing Agreement dated May 20, 1998 by and between HPL and HPL Resources Company and Exxon Company, U.S.A.</w:t>
      </w:r>
    </w:p>
    <w:p>
      <w:pPr>
        <w:pStyle w:val="Normal"/>
        <w:tabs>
          <w:tab w:val="clear" w:pos="720"/>
          <w:tab w:val="left" w:pos="1260" w:leader="none"/>
        </w:tabs>
        <w:ind w:hanging="720" w:start="720" w:end="0"/>
        <w:jc w:val="both"/>
        <w:rPr/>
      </w:pPr>
      <w:r>
        <w:rPr/>
        <w:tab/>
        <w:t>(Big Cowboy processing agreement)</w:t>
      </w:r>
    </w:p>
    <w:p>
      <w:pPr>
        <w:pStyle w:val="Normal"/>
        <w:ind w:hanging="720" w:start="720" w:end="0"/>
        <w:jc w:val="both"/>
        <w:rPr/>
      </w:pPr>
      <w:r>
        <w:rPr/>
      </w:r>
    </w:p>
    <w:p>
      <w:pPr>
        <w:pStyle w:val="Normal"/>
        <w:tabs>
          <w:tab w:val="clear" w:pos="720"/>
          <w:tab w:val="left" w:pos="1260" w:leader="none"/>
        </w:tabs>
        <w:ind w:hanging="720" w:start="720" w:end="0"/>
        <w:jc w:val="both"/>
        <w:rPr/>
      </w:pPr>
      <w:r>
        <w:rPr/>
        <w:t>2.</w:t>
        <w:tab/>
        <w:t>Gas Processing Agreement dated October 1, 1999 by and between HPL and Exxon Company, U.S.A.</w:t>
      </w:r>
    </w:p>
    <w:p>
      <w:pPr>
        <w:pStyle w:val="Normal"/>
        <w:tabs>
          <w:tab w:val="clear" w:pos="720"/>
          <w:tab w:val="left" w:pos="1260" w:leader="none"/>
        </w:tabs>
        <w:ind w:hanging="720" w:start="720" w:end="0"/>
        <w:jc w:val="both"/>
        <w:rPr/>
      </w:pPr>
      <w:r>
        <w:rPr/>
        <w:tab/>
        <w:t>(Three Rivers processing agreement)</w:t>
      </w:r>
    </w:p>
    <w:p>
      <w:pPr>
        <w:pStyle w:val="Normal"/>
        <w:ind w:hanging="720" w:start="720" w:end="0"/>
        <w:jc w:val="both"/>
        <w:rPr/>
      </w:pPr>
      <w:r>
        <w:rPr/>
      </w:r>
    </w:p>
    <w:p>
      <w:pPr>
        <w:pStyle w:val="Normal"/>
        <w:tabs>
          <w:tab w:val="clear" w:pos="720"/>
          <w:tab w:val="left" w:pos="1260" w:leader="none"/>
        </w:tabs>
        <w:ind w:hanging="720" w:start="720" w:end="0"/>
        <w:jc w:val="both"/>
        <w:rPr/>
      </w:pPr>
      <w:r>
        <w:rPr/>
        <w:t>3.</w:t>
        <w:tab/>
        <w:t>Gulf Plains Gas Plant Gas Processing Agreement between HPL Resources Company (Owner) and Union Pacific Resources Company (Processor) Effective June 1, 1996 (as amended)</w:t>
      </w:r>
    </w:p>
    <w:p>
      <w:pPr>
        <w:pStyle w:val="Normal"/>
        <w:ind w:hanging="720" w:start="1440" w:end="0"/>
        <w:jc w:val="both"/>
        <w:rPr/>
      </w:pPr>
      <w:r>
        <w:rPr/>
        <w:t>(Duke Gulf Plains processing)</w:t>
      </w:r>
    </w:p>
    <w:p>
      <w:pPr>
        <w:pStyle w:val="Normal"/>
        <w:ind w:hanging="720" w:start="720" w:end="0"/>
        <w:jc w:val="both"/>
        <w:rPr/>
      </w:pPr>
      <w:r>
        <w:rPr/>
      </w:r>
    </w:p>
    <w:p>
      <w:pPr>
        <w:pStyle w:val="Normal"/>
        <w:tabs>
          <w:tab w:val="clear" w:pos="720"/>
          <w:tab w:val="left" w:pos="1260" w:leader="none"/>
        </w:tabs>
        <w:ind w:hanging="720" w:start="720" w:end="0"/>
        <w:jc w:val="both"/>
        <w:rPr/>
      </w:pPr>
      <w:r>
        <w:rPr/>
        <w:t>4.</w:t>
        <w:tab/>
        <w:t>Gas Purchase and Processing Agreement between Louis Dreyfus Natural Gas Corp. (Producer) and HPL Resources Company (Processor) dated December 17, 1993 (as amended)</w:t>
      </w:r>
    </w:p>
    <w:p>
      <w:pPr>
        <w:pStyle w:val="Normal"/>
        <w:tabs>
          <w:tab w:val="clear" w:pos="720"/>
          <w:tab w:val="left" w:pos="1260" w:leader="none"/>
        </w:tabs>
        <w:ind w:hanging="720" w:start="720" w:end="0"/>
        <w:jc w:val="both"/>
        <w:rPr/>
      </w:pPr>
      <w:r>
        <w:rPr/>
        <w:tab/>
        <w:t>(low pressure gas behind McMullen)</w:t>
      </w:r>
    </w:p>
    <w:p>
      <w:pPr>
        <w:pStyle w:val="Normal"/>
        <w:ind w:hanging="720" w:start="720" w:end="0"/>
        <w:jc w:val="both"/>
        <w:rPr/>
      </w:pPr>
      <w:r>
        <w:rPr/>
      </w:r>
    </w:p>
    <w:p>
      <w:pPr>
        <w:pStyle w:val="Normal"/>
        <w:tabs>
          <w:tab w:val="clear" w:pos="720"/>
          <w:tab w:val="left" w:pos="1260" w:leader="none"/>
        </w:tabs>
        <w:ind w:hanging="720" w:start="720" w:end="0"/>
        <w:jc w:val="both"/>
        <w:rPr/>
      </w:pPr>
      <w:r>
        <w:rPr/>
        <w:t>5.</w:t>
        <w:tab/>
        <w:t>Gas Processing Agreement dated Effective as of June 1, 1997 between HPL (Processor) and Tejones Operating Company (Customer)</w:t>
      </w:r>
    </w:p>
    <w:p>
      <w:pPr>
        <w:pStyle w:val="Normal"/>
        <w:tabs>
          <w:tab w:val="clear" w:pos="720"/>
          <w:tab w:val="left" w:pos="1260" w:leader="none"/>
        </w:tabs>
        <w:ind w:hanging="720" w:start="720" w:end="0"/>
        <w:jc w:val="both"/>
        <w:rPr/>
      </w:pPr>
      <w:r>
        <w:rPr/>
      </w:r>
    </w:p>
    <w:p>
      <w:pPr>
        <w:pStyle w:val="Normal"/>
        <w:tabs>
          <w:tab w:val="clear" w:pos="720"/>
          <w:tab w:val="left" w:pos="1260" w:leader="none"/>
        </w:tabs>
        <w:ind w:hanging="720" w:start="720" w:end="0"/>
        <w:jc w:val="both"/>
        <w:rPr/>
      </w:pPr>
      <w:r>
        <w:rPr/>
        <w:t>6.</w:t>
        <w:tab/>
        <w:t>Gas Processing Agreement between HPL and Swift Energy Company and Enron Gas Processing Company dated June 1, 1989 (as amended) (H50.5-PR-19-0001, high pressure gas)</w:t>
      </w:r>
    </w:p>
    <w:p>
      <w:pPr>
        <w:pStyle w:val="Normal"/>
        <w:ind w:hanging="720" w:start="720" w:end="0"/>
        <w:jc w:val="both"/>
        <w:rPr/>
      </w:pPr>
      <w:r>
        <w:rPr/>
      </w:r>
    </w:p>
    <w:p>
      <w:pPr>
        <w:pStyle w:val="Normal"/>
        <w:tabs>
          <w:tab w:val="clear" w:pos="720"/>
          <w:tab w:val="left" w:pos="1260" w:leader="none"/>
        </w:tabs>
        <w:ind w:hanging="720" w:start="720" w:end="0"/>
        <w:jc w:val="both"/>
        <w:rPr/>
      </w:pPr>
      <w:r>
        <w:rPr/>
        <w:t>7.</w:t>
        <w:tab/>
        <w:t>Gas Gathering, Compression and Processing Agreement between Swift Energy Company “Producer” and [Enron Gas Processing Company] “Processor” dated June 1, 1989 (as amended)  (H50-PR-19-0001, low pressure gas behind McMullen)</w:t>
      </w:r>
    </w:p>
    <w:p>
      <w:pPr>
        <w:pStyle w:val="Normal"/>
        <w:ind w:hanging="720" w:start="720" w:end="0"/>
        <w:jc w:val="both"/>
        <w:rPr/>
      </w:pPr>
      <w:r>
        <w:rPr/>
      </w:r>
    </w:p>
    <w:p>
      <w:pPr>
        <w:pStyle w:val="Normal"/>
        <w:tabs>
          <w:tab w:val="clear" w:pos="720"/>
          <w:tab w:val="left" w:pos="1260" w:leader="none"/>
        </w:tabs>
        <w:ind w:hanging="720" w:start="720" w:end="0"/>
        <w:jc w:val="both"/>
        <w:rPr/>
      </w:pPr>
      <w:r>
        <w:rPr/>
        <w:t>8.</w:t>
        <w:tab/>
        <w:t>Gas Transportation Agreement Between Teco Pipeline Company and HPL as Shipper dated August 19, 1994.</w:t>
      </w:r>
    </w:p>
    <w:p>
      <w:pPr>
        <w:pStyle w:val="Normal"/>
        <w:tabs>
          <w:tab w:val="clear" w:pos="720"/>
          <w:tab w:val="left" w:pos="1080" w:leader="none"/>
        </w:tabs>
        <w:ind w:hanging="720" w:start="720" w:end="0"/>
        <w:jc w:val="both"/>
        <w:rPr/>
      </w:pPr>
      <w:r>
        <w:rPr/>
      </w:r>
    </w:p>
    <w:p>
      <w:pPr>
        <w:pStyle w:val="Normal"/>
        <w:tabs>
          <w:tab w:val="clear" w:pos="720"/>
          <w:tab w:val="left" w:pos="1260" w:leader="none"/>
        </w:tabs>
        <w:ind w:hanging="720" w:start="720" w:end="0"/>
        <w:jc w:val="both"/>
        <w:rPr/>
      </w:pPr>
      <w:r>
        <w:rPr/>
        <w:t>9.</w:t>
        <w:tab/>
        <w:t>Gas Transportation Agreement Between Gulf Energy Pipeline LP and HPL dated August 20, 1992.</w:t>
      </w:r>
    </w:p>
    <w:p>
      <w:pPr>
        <w:pStyle w:val="Normal"/>
        <w:tabs>
          <w:tab w:val="clear" w:pos="720"/>
          <w:tab w:val="left" w:pos="1260" w:leader="none"/>
        </w:tabs>
        <w:ind w:hanging="720" w:start="720" w:end="0"/>
        <w:jc w:val="both"/>
        <w:rPr/>
      </w:pPr>
      <w:r>
        <w:rPr/>
      </w:r>
    </w:p>
    <w:p>
      <w:pPr>
        <w:pStyle w:val="Normal"/>
        <w:tabs>
          <w:tab w:val="clear" w:pos="720"/>
          <w:tab w:val="left" w:pos="1260" w:leader="none"/>
        </w:tabs>
        <w:ind w:hanging="720" w:start="720" w:end="0"/>
        <w:jc w:val="both"/>
        <w:rPr/>
      </w:pPr>
      <w:r>
        <w:rPr/>
        <w:t>10.</w:t>
        <w:tab/>
        <w:t>Project Agreement between Exxon Company USA, Humble Gas Pipeline Company, HPL and HPL Resources Company dated October 4, 1996  [Exxon]</w:t>
      </w:r>
    </w:p>
    <w:p>
      <w:pPr>
        <w:pStyle w:val="Normal"/>
        <w:ind w:hanging="720" w:start="720" w:end="0"/>
        <w:rPr/>
      </w:pPr>
      <w:r>
        <w:rPr/>
      </w:r>
    </w:p>
    <w:p>
      <w:pPr>
        <w:pStyle w:val="Normal"/>
        <w:tabs>
          <w:tab w:val="clear" w:pos="720"/>
          <w:tab w:val="left" w:pos="1260" w:leader="none"/>
        </w:tabs>
        <w:ind w:hanging="720" w:start="720" w:end="0"/>
        <w:jc w:val="both"/>
        <w:rPr/>
      </w:pPr>
      <w:r>
        <w:rPr/>
        <w:t>11.</w:t>
        <w:tab/>
        <w:t>Capacity Lease and Operating Agreement between HPL and Humble Gas Pipeline Company dated October 4, 1996  [Exxon]</w:t>
      </w:r>
    </w:p>
    <w:p>
      <w:pPr>
        <w:pStyle w:val="Normal"/>
        <w:ind w:hanging="720" w:start="720" w:end="0"/>
        <w:rPr/>
      </w:pPr>
      <w:r>
        <w:rPr/>
      </w:r>
    </w:p>
    <w:p>
      <w:pPr>
        <w:pStyle w:val="Normal"/>
        <w:tabs>
          <w:tab w:val="clear" w:pos="720"/>
          <w:tab w:val="left" w:pos="1260" w:leader="none"/>
        </w:tabs>
        <w:ind w:hanging="720" w:start="720" w:end="0"/>
        <w:jc w:val="both"/>
        <w:rPr/>
      </w:pPr>
      <w:r>
        <w:rPr/>
        <w:t>12.</w:t>
        <w:tab/>
        <w:t>Gas Purchase Agreement (Reserves Committed/Index Pricing) between HPL Resources Company and Suemaur Exploration, Inc dated April 1, 1996  [Exxon]</w:t>
      </w:r>
    </w:p>
    <w:p>
      <w:pPr>
        <w:pStyle w:val="BodyTextIndent2"/>
        <w:ind w:hanging="720" w:start="720" w:end="0"/>
        <w:rPr/>
      </w:pPr>
      <w:r>
        <w:rPr/>
      </w:r>
    </w:p>
    <w:p>
      <w:pPr>
        <w:pStyle w:val="Normal"/>
        <w:tabs>
          <w:tab w:val="clear" w:pos="720"/>
          <w:tab w:val="left" w:pos="1260" w:leader="none"/>
        </w:tabs>
        <w:ind w:hanging="720" w:start="720" w:end="0"/>
        <w:jc w:val="both"/>
        <w:rPr/>
      </w:pPr>
      <w:r>
        <w:rPr/>
        <w:t>13.</w:t>
        <w:tab/>
        <w:t>Agreement To Interconnect And Operate Natural Gas Pipeline Facilities between Humble Gas Pipeline Company HPL dated October 4, 1996  [Exxon]</w:t>
      </w:r>
    </w:p>
    <w:p>
      <w:pPr>
        <w:pStyle w:val="BodyTextIndent2"/>
        <w:ind w:hanging="720" w:start="720" w:end="0"/>
        <w:rPr/>
      </w:pPr>
      <w:r>
        <w:rPr/>
      </w:r>
    </w:p>
    <w:p>
      <w:pPr>
        <w:pStyle w:val="Normal"/>
        <w:tabs>
          <w:tab w:val="clear" w:pos="720"/>
          <w:tab w:val="left" w:pos="1260" w:leader="none"/>
        </w:tabs>
        <w:ind w:hanging="720" w:start="720" w:end="0"/>
        <w:jc w:val="both"/>
        <w:rPr/>
      </w:pPr>
      <w:r>
        <w:rPr/>
        <w:t>14.</w:t>
        <w:tab/>
        <w:t>Interruptible Gas Transportation Agreement [Kelsey Receipt Point—311 Wet Gas] between Exxon Company, U.S.A., HPL dated October 4, 1996  [Exxon]</w:t>
      </w:r>
    </w:p>
    <w:p>
      <w:pPr>
        <w:pStyle w:val="BodyTextIndent2"/>
        <w:ind w:hanging="720" w:start="720" w:end="0"/>
        <w:rPr/>
      </w:pPr>
      <w:r>
        <w:rPr/>
      </w:r>
    </w:p>
    <w:p>
      <w:pPr>
        <w:pStyle w:val="Normal"/>
        <w:tabs>
          <w:tab w:val="clear" w:pos="720"/>
          <w:tab w:val="left" w:pos="1260" w:leader="none"/>
        </w:tabs>
        <w:ind w:hanging="720" w:start="720" w:end="0"/>
        <w:jc w:val="both"/>
        <w:rPr/>
      </w:pPr>
      <w:r>
        <w:rPr/>
        <w:t>15.</w:t>
        <w:tab/>
        <w:t>Interruptible Gas Transportation Agreement [Kelsey Receipt Point—Intrastate Wet Gas] between Exxon Company, U.S.A. and HPL dated October 4, 1996  [Exxon]</w:t>
      </w:r>
    </w:p>
    <w:p>
      <w:pPr>
        <w:pStyle w:val="BodyTextIndent2"/>
        <w:ind w:hanging="720" w:start="720" w:end="0"/>
        <w:rPr/>
      </w:pPr>
      <w:r>
        <w:rPr/>
      </w:r>
    </w:p>
    <w:p>
      <w:pPr>
        <w:pStyle w:val="Normal"/>
        <w:tabs>
          <w:tab w:val="clear" w:pos="720"/>
          <w:tab w:val="left" w:pos="1260" w:leader="none"/>
        </w:tabs>
        <w:ind w:hanging="720" w:start="720" w:end="0"/>
        <w:jc w:val="both"/>
        <w:rPr/>
      </w:pPr>
      <w:r>
        <w:rPr/>
        <w:t>16.</w:t>
        <w:tab/>
        <w:t>Interruptible Gas Transportation Agreement [Kelsey Receipt Point—Phase One Dry Wet Gas] between Exxon Company, U.S.A. and HPL dated October 4, 1996  [Exxon]</w:t>
      </w:r>
    </w:p>
    <w:p>
      <w:pPr>
        <w:pStyle w:val="BodyTextIndent2"/>
        <w:ind w:hanging="720" w:start="720" w:end="0"/>
        <w:rPr/>
      </w:pPr>
      <w:r>
        <w:rPr/>
      </w:r>
    </w:p>
    <w:p>
      <w:pPr>
        <w:pStyle w:val="Normal"/>
        <w:tabs>
          <w:tab w:val="clear" w:pos="720"/>
          <w:tab w:val="left" w:pos="1260" w:leader="none"/>
        </w:tabs>
        <w:ind w:hanging="720" w:start="720" w:end="0"/>
        <w:jc w:val="both"/>
        <w:rPr/>
      </w:pPr>
      <w:r>
        <w:rPr/>
        <w:t>17.</w:t>
        <w:tab/>
        <w:t>CO2 Treatment Agreement between Hanover and HPL dated February 15, 1999, as amended by 1</w:t>
      </w:r>
      <w:r>
        <w:rPr>
          <w:vertAlign w:val="superscript"/>
        </w:rPr>
        <w:t>st</w:t>
      </w:r>
      <w:r>
        <w:rPr/>
        <w:t xml:space="preserve"> Amendment dated August, 1999  [S/W Speaks Treater]</w:t>
      </w:r>
    </w:p>
    <w:p>
      <w:pPr>
        <w:pStyle w:val="Normal"/>
        <w:ind w:hanging="720" w:start="720" w:end="0"/>
        <w:rPr/>
      </w:pPr>
      <w:r>
        <w:rPr/>
      </w:r>
    </w:p>
    <w:p>
      <w:pPr>
        <w:pStyle w:val="Normal"/>
        <w:tabs>
          <w:tab w:val="clear" w:pos="720"/>
          <w:tab w:val="left" w:pos="1260" w:leader="none"/>
        </w:tabs>
        <w:ind w:hanging="720" w:start="720" w:end="0"/>
        <w:jc w:val="both"/>
        <w:rPr/>
      </w:pPr>
      <w:r>
        <w:rPr/>
        <w:t>18.</w:t>
        <w:tab/>
        <w:t>CO2 Treatment Agreement between South-Tex Treaters, Inc. and HPL dated May 12, 1998, as amended by 1st Amendment dated May 1, 1999  [Thompsonville Treater]</w:t>
      </w:r>
    </w:p>
    <w:p>
      <w:pPr>
        <w:pStyle w:val="Normal"/>
        <w:tabs>
          <w:tab w:val="clear" w:pos="720"/>
          <w:tab w:val="left" w:pos="1260" w:leader="none"/>
        </w:tabs>
        <w:ind w:hanging="720" w:start="720" w:end="0"/>
        <w:jc w:val="both"/>
        <w:rPr/>
      </w:pPr>
      <w:r>
        <w:rPr/>
      </w:r>
    </w:p>
    <w:p>
      <w:pPr>
        <w:pStyle w:val="Normal"/>
        <w:tabs>
          <w:tab w:val="clear" w:pos="720"/>
          <w:tab w:val="left" w:pos="1260" w:leader="none"/>
        </w:tabs>
        <w:ind w:hanging="720" w:start="720" w:end="0"/>
        <w:jc w:val="both"/>
        <w:rPr/>
      </w:pPr>
      <w:r>
        <w:rPr/>
        <w:t>19.</w:t>
        <w:tab/>
        <w:t>Pursuant to a term sheet a processing arrangement which would provide that certain Spinnaker production would be processed at the Exxon King Ranch Facility in consideration for certain other nonrelated accommodations by Exxon in connection with the Big Cowboy agreement referenced as (vi) 1 above.</w:t>
      </w:r>
    </w:p>
    <w:p>
      <w:pPr>
        <w:pStyle w:val="Normal"/>
        <w:ind w:hanging="720" w:start="720" w:end="0"/>
        <w:jc w:val="both"/>
        <w:rPr/>
      </w:pPr>
      <w:r>
        <w:rPr/>
      </w:r>
    </w:p>
    <w:p>
      <w:pPr>
        <w:pStyle w:val="Header"/>
        <w:tabs>
          <w:tab w:val="clear" w:pos="4680"/>
          <w:tab w:val="clear" w:pos="9360"/>
        </w:tabs>
        <w:ind w:hanging="720" w:start="720" w:end="0"/>
        <w:jc w:val="both"/>
        <w:rPr/>
      </w:pPr>
      <w:r>
        <w:rPr/>
        <w:t>(vii)</w:t>
        <w:tab/>
        <w:t>See attached Projected Capital Expenditures Schedule</w:t>
      </w:r>
    </w:p>
    <w:p>
      <w:pPr>
        <w:pStyle w:val="Header"/>
        <w:tabs>
          <w:tab w:val="clear" w:pos="4680"/>
          <w:tab w:val="clear" w:pos="9360"/>
        </w:tabs>
        <w:ind w:hanging="720" w:start="720" w:end="0"/>
        <w:jc w:val="both"/>
        <w:rPr/>
      </w:pPr>
      <w:r>
        <w:rPr/>
      </w:r>
    </w:p>
    <w:p>
      <w:pPr>
        <w:pStyle w:val="Header"/>
        <w:tabs>
          <w:tab w:val="clear" w:pos="4680"/>
          <w:tab w:val="clear" w:pos="9360"/>
        </w:tabs>
        <w:ind w:hanging="720" w:start="720" w:end="0"/>
        <w:jc w:val="both"/>
        <w:rPr/>
      </w:pPr>
      <w:r>
        <w:rPr/>
        <w:t>(viii)</w:t>
        <w:tab/>
        <w:t>None</w:t>
      </w:r>
    </w:p>
    <w:p>
      <w:pPr>
        <w:pStyle w:val="Header"/>
        <w:tabs>
          <w:tab w:val="clear" w:pos="4680"/>
          <w:tab w:val="clear" w:pos="9360"/>
        </w:tabs>
        <w:ind w:hanging="720" w:start="720" w:end="0"/>
        <w:jc w:val="both"/>
        <w:rPr/>
      </w:pPr>
      <w:r>
        <w:rPr/>
      </w:r>
    </w:p>
    <w:p>
      <w:pPr>
        <w:pStyle w:val="Header"/>
        <w:tabs>
          <w:tab w:val="clear" w:pos="4680"/>
          <w:tab w:val="clear" w:pos="9360"/>
        </w:tabs>
        <w:ind w:hanging="720" w:start="720" w:end="0"/>
        <w:jc w:val="both"/>
        <w:rPr/>
      </w:pPr>
      <w:r>
        <w:rPr/>
        <w:t>(ix)</w:t>
        <w:tab/>
        <w:t>All or substantially all of the Acquired Companies’ contracts contain indemnification provisions, most of which are mutual.</w:t>
      </w:r>
    </w:p>
    <w:p>
      <w:pPr>
        <w:pStyle w:val="Header"/>
        <w:tabs>
          <w:tab w:val="clear" w:pos="4680"/>
          <w:tab w:val="clear" w:pos="9360"/>
        </w:tabs>
        <w:ind w:hanging="720" w:start="720" w:end="0"/>
        <w:jc w:val="both"/>
        <w:rPr/>
      </w:pPr>
      <w:r>
        <w:rPr/>
      </w:r>
    </w:p>
    <w:p>
      <w:pPr>
        <w:pStyle w:val="Header"/>
        <w:tabs>
          <w:tab w:val="clear" w:pos="4680"/>
          <w:tab w:val="clear" w:pos="9360"/>
        </w:tabs>
        <w:ind w:hanging="720" w:start="720" w:end="0"/>
        <w:jc w:val="both"/>
        <w:rPr/>
      </w:pPr>
      <w:r>
        <w:rPr/>
        <w:t>(x)</w:t>
        <w:tab/>
        <w:t>Newco Contracts</w:t>
      </w:r>
    </w:p>
    <w:p>
      <w:pPr>
        <w:pStyle w:val="Header"/>
        <w:tabs>
          <w:tab w:val="clear" w:pos="4680"/>
          <w:tab w:val="clear" w:pos="9360"/>
        </w:tabs>
        <w:jc w:val="both"/>
        <w:rPr/>
      </w:pPr>
      <w:r>
        <w:rPr/>
      </w:r>
    </w:p>
    <w:tbl>
      <w:tblPr>
        <w:tblW w:w="8028" w:type="dxa"/>
        <w:jc w:val="start"/>
        <w:tblInd w:w="828" w:type="dxa"/>
        <w:tblLayout w:type="fixed"/>
        <w:tblCellMar>
          <w:top w:w="0" w:type="dxa"/>
          <w:start w:w="108" w:type="dxa"/>
          <w:bottom w:w="0" w:type="dxa"/>
          <w:end w:w="108" w:type="dxa"/>
        </w:tblCellMar>
      </w:tblPr>
      <w:tblGrid>
        <w:gridCol w:w="3510"/>
        <w:gridCol w:w="4518"/>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Global Contract No.</w:t>
            </w:r>
          </w:p>
          <w:p>
            <w:pPr>
              <w:pStyle w:val="Normal"/>
              <w:jc w:val="center"/>
              <w:rPr>
                <w:b/>
                <w:bCs/>
              </w:rPr>
            </w:pPr>
            <w:r>
              <w:rPr>
                <w:b/>
                <w:bCs/>
              </w:rPr>
            </w:r>
          </w:p>
        </w:tc>
        <w:tc>
          <w:tcPr>
            <w:tcW w:w="451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Counterparty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96012228</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City of Brazoria</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96007529</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D&amp;H Gas Company, Inc. </w:t>
            </w:r>
            <w:r>
              <w:rPr>
                <w:strike/>
              </w:rPr>
              <w:t xml:space="preserve"> 96000706 Empire Pipeline Corp.</w:t>
            </w:r>
            <w:r>
              <w:rPr/>
              <w:t xml:space="preserve"> </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96031541</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Entex Gas Marketing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96003353</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Markham Gas Corp.</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96002113</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96002116</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96004582</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96004597</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96019120</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96016887</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Southern Union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96016888</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Southern Union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 </w:t>
            </w:r>
            <w:r>
              <w:rPr>
                <w:strike/>
              </w:rPr>
              <w:t xml:space="preserve">96037995 Southern Union Gas Company </w:t>
            </w:r>
            <w:r>
              <w:rPr/>
              <w:t xml:space="preserve"> 96001400</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TXU Fuel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96003496</w:t>
            </w:r>
          </w:p>
        </w:tc>
        <w:tc>
          <w:tcPr>
            <w:tcW w:w="4518" w:type="dxa"/>
            <w:tcBorders>
              <w:top w:val="single" w:sz="4" w:space="0" w:color="000000"/>
              <w:start w:val="single" w:sz="4" w:space="0" w:color="000000"/>
              <w:bottom w:val="single" w:sz="4" w:space="0" w:color="000000"/>
              <w:end w:val="single" w:sz="4" w:space="0" w:color="000000"/>
            </w:tcBorders>
          </w:tcPr>
          <w:p>
            <w:pPr>
              <w:pStyle w:val="Normal"/>
              <w:rPr/>
            </w:pPr>
            <w:r>
              <w:rPr/>
              <w:t>TXU Fuel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bCs/>
                <w:u w:val="double"/>
              </w:rPr>
            </w:pPr>
            <w:r>
              <w:rPr>
                <w:b/>
                <w:bCs/>
                <w:u w:val="double"/>
              </w:rPr>
              <w:t>96023356</w:t>
            </w:r>
          </w:p>
        </w:tc>
        <w:tc>
          <w:tcPr>
            <w:tcW w:w="4518" w:type="dxa"/>
            <w:tcBorders>
              <w:top w:val="single" w:sz="4" w:space="0" w:color="000000"/>
              <w:start w:val="single" w:sz="4" w:space="0" w:color="000000"/>
              <w:bottom w:val="single" w:sz="4" w:space="0" w:color="000000"/>
              <w:end w:val="single" w:sz="4" w:space="0" w:color="000000"/>
            </w:tcBorders>
          </w:tcPr>
          <w:p>
            <w:pPr>
              <w:pStyle w:val="Normal"/>
              <w:rPr>
                <w:b/>
                <w:bCs/>
                <w:u w:val="double"/>
              </w:rPr>
            </w:pPr>
            <w:r>
              <w:rPr>
                <w:b/>
                <w:bCs/>
                <w:u w:val="double"/>
              </w:rPr>
              <w:t>TXU Fuel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96002879</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b/>
                <w:bCs/>
                <w:u w:val="double"/>
              </w:rPr>
            </w:pPr>
            <w:r>
              <w:rPr/>
              <w:t>Unit Gas Transmission Company Inc.</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bCs/>
                <w:u w:val="double"/>
              </w:rPr>
            </w:pPr>
            <w:r>
              <w:rPr>
                <w:b/>
                <w:bCs/>
                <w:u w:val="double"/>
              </w:rPr>
              <w:t>96060852</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b/>
                <w:bCs/>
                <w:u w:val="double"/>
              </w:rPr>
            </w:pPr>
            <w:r>
              <w:rPr>
                <w:b/>
                <w:bCs/>
                <w:u w:val="double"/>
              </w:rPr>
              <w:t>Entex Gas Resources Corp.</w:t>
            </w:r>
          </w:p>
        </w:tc>
      </w:tr>
    </w:tbl>
    <w:p>
      <w:pPr>
        <w:pStyle w:val="Header"/>
        <w:tabs>
          <w:tab w:val="clear" w:pos="4680"/>
          <w:tab w:val="clear" w:pos="9360"/>
        </w:tabs>
        <w:jc w:val="both"/>
        <w:rPr/>
      </w:pPr>
      <w:r>
        <w:rPr/>
      </w:r>
    </w:p>
    <w:p>
      <w:pPr>
        <w:pStyle w:val="Header"/>
        <w:tabs>
          <w:tab w:val="clear" w:pos="4680"/>
          <w:tab w:val="clear" w:pos="9360"/>
        </w:tabs>
        <w:jc w:val="both"/>
        <w:rPr/>
      </w:pPr>
      <w:r>
        <w:rPr/>
        <w:t>(b)</w:t>
      </w:r>
    </w:p>
    <w:p>
      <w:pPr>
        <w:pStyle w:val="Header"/>
        <w:tabs>
          <w:tab w:val="clear" w:pos="4680"/>
          <w:tab w:val="clear" w:pos="9360"/>
        </w:tabs>
        <w:jc w:val="both"/>
        <w:rPr/>
      </w:pPr>
      <w:r>
        <w:rPr/>
      </w:r>
    </w:p>
    <w:p>
      <w:pPr>
        <w:pStyle w:val="Header"/>
        <w:tabs>
          <w:tab w:val="clear" w:pos="4680"/>
          <w:tab w:val="clear" w:pos="9360"/>
        </w:tabs>
        <w:jc w:val="both"/>
        <w:rPr/>
      </w:pPr>
      <w:r>
        <w:rPr/>
        <w:t>1.</w:t>
        <w:tab/>
        <w:t>ENA and Entex are currently reviewing the preliminary results of an audit conducted on behalf of ENA.  This audit was concluded on 7/17/00 and indicates that Entex may not have taken all volumes of gas required under the contract for the period from April of 1999 through March of 2000. This audit may result in (i) Entex’s taking and paying for greater volumes in the future under the current contract and/or (ii) compensation by Entex for deficient takes under the current contract.</w:t>
      </w:r>
    </w:p>
    <w:p>
      <w:pPr>
        <w:pStyle w:val="Header"/>
        <w:tabs>
          <w:tab w:val="clear" w:pos="4680"/>
          <w:tab w:val="clear" w:pos="9360"/>
        </w:tabs>
        <w:jc w:val="both"/>
        <w:rPr/>
      </w:pPr>
      <w:r>
        <w:rPr/>
      </w:r>
    </w:p>
    <w:p>
      <w:pPr>
        <w:pStyle w:val="Header"/>
        <w:tabs>
          <w:tab w:val="clear" w:pos="4680"/>
          <w:tab w:val="clear" w:pos="9360"/>
        </w:tabs>
        <w:jc w:val="both"/>
        <w:rPr/>
      </w:pPr>
      <w:r>
        <w:rPr/>
        <w:t>2.</w:t>
        <w:tab/>
        <w:t>The Base Contract for Short-Term Sale and Purchase of Natural Gas dated as of June 11, 1999 and all provisions and special provisions thereto between ENA, as successor in interest to Columbia Energy Services Corporation (“CES”), and Guadalupe Power Partners, LP (“GPP”), as amended by the Amendment to Base Contract for Short-Term Sale and Purchase of Natural Gas dated as of August 25, 1999 (the “Agreement”) has had gas flow thereunder during the months of December, 2000 and January, 2001.  The Agreement was not generated by ENA, but was acquired by ENA from CES.  In discussions between ENA and GPP concerning the start up of GPP’s power generation facilities, it appears there is a difference of opinion as to the nomination procedures under the Agreement relating to GPP’s swing and sell-back rights.  GPP has to date adhered to ENA’s view of the nomination procedures, however GPP has also sent a “reservation of rights letter” concerning its opinion of the nomination procedure.  Such letter dated December 5, 2000 has been provided to Buyer.</w:t>
      </w:r>
    </w:p>
    <w:p>
      <w:pPr>
        <w:pStyle w:val="Header"/>
        <w:tabs>
          <w:tab w:val="clear" w:pos="4680"/>
          <w:tab w:val="clear" w:pos="9360"/>
        </w:tabs>
        <w:jc w:val="both"/>
        <w:rPr/>
      </w:pPr>
      <w:r>
        <w:rPr/>
      </w:r>
    </w:p>
    <w:p>
      <w:pPr>
        <w:pStyle w:val="Normal"/>
        <w:jc w:val="both"/>
        <w:rPr/>
      </w:pPr>
      <w:r>
        <w:rPr/>
        <w:t>3.</w:t>
        <w:tab/>
        <w:t>The Seller of gas under the Enfolio Gas Purchase Agreement (Reserves committed/Index Pricing) Offshore Waters dated July 1, 2000 between Spinnaker Exploration Company, L.L.C. and Houston Pipe Line Company is providing natural gas to HPL, as buyer, which is outside the contractual specifications and HPL is currently in the process of exploring its various legal and operational options.</w:t>
      </w:r>
    </w:p>
    <w:p>
      <w:pPr>
        <w:pStyle w:val="Normal"/>
        <w:jc w:val="center"/>
        <w:rPr>
          <w:b/>
          <w:bCs/>
        </w:rPr>
      </w:pPr>
      <w:r>
        <w:rPr>
          <w:b/>
          <w:bCs/>
        </w:rPr>
        <w:t>PROJECTED CAPITAL EXPENDITURE</w:t>
      </w:r>
    </w:p>
    <w:p>
      <w:pPr>
        <w:pStyle w:val="Normal"/>
        <w:jc w:val="center"/>
        <w:rPr>
          <w:b/>
          <w:bCs/>
        </w:rPr>
      </w:pPr>
      <w:r>
        <w:rPr>
          <w:b/>
          <w:bCs/>
        </w:rPr>
        <w:t>HPL</w:t>
      </w:r>
    </w:p>
    <w:p>
      <w:pPr>
        <w:pStyle w:val="Normal"/>
        <w:jc w:val="center"/>
        <w:rPr>
          <w:b/>
          <w:bCs/>
        </w:rPr>
      </w:pPr>
      <w:r>
        <w:rPr>
          <w:b/>
          <w:bCs/>
        </w:rPr>
        <w:t>SUMMARY OF COMMITMENTS**</w:t>
      </w:r>
    </w:p>
    <w:p>
      <w:pPr>
        <w:pStyle w:val="Header"/>
        <w:tabs>
          <w:tab w:val="clear" w:pos="4680"/>
          <w:tab w:val="clear" w:pos="9360"/>
        </w:tabs>
        <w:ind w:hanging="432" w:start="432" w:end="0"/>
        <w:rPr>
          <w:b/>
          <w:bCs/>
        </w:rPr>
      </w:pPr>
      <w:r>
        <w:rPr>
          <w:b/>
          <w:bCs/>
        </w:rPr>
      </w:r>
    </w:p>
    <w:tbl>
      <w:tblPr>
        <w:tblW w:w="10642" w:type="dxa"/>
        <w:jc w:val="center"/>
        <w:tblInd w:w="0" w:type="dxa"/>
        <w:tblLayout w:type="fixed"/>
        <w:tblCellMar>
          <w:top w:w="20" w:type="dxa"/>
          <w:start w:w="20" w:type="dxa"/>
          <w:bottom w:w="0" w:type="dxa"/>
          <w:end w:w="20" w:type="dxa"/>
        </w:tblCellMar>
      </w:tblPr>
      <w:tblGrid>
        <w:gridCol w:w="1903"/>
        <w:gridCol w:w="165"/>
        <w:gridCol w:w="3150"/>
        <w:gridCol w:w="90"/>
        <w:gridCol w:w="1478"/>
        <w:gridCol w:w="360"/>
        <w:gridCol w:w="1508"/>
        <w:gridCol w:w="164"/>
        <w:gridCol w:w="1824"/>
      </w:tblGrid>
      <w:tr>
        <w:trPr>
          <w:trHeight w:val="492" w:hRule="atLeast"/>
        </w:trPr>
        <w:tc>
          <w:tcPr>
            <w:tcW w:w="1903"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Tahoma"/>
                <w:b/>
                <w:bCs/>
                <w:sz w:val="20"/>
                <w:szCs w:val="20"/>
              </w:rPr>
            </w:pPr>
            <w:r>
              <w:rPr>
                <w:b/>
                <w:bCs/>
                <w:sz w:val="20"/>
                <w:szCs w:val="20"/>
              </w:rPr>
              <w:t>Work Order Number</w:t>
            </w:r>
          </w:p>
        </w:tc>
        <w:tc>
          <w:tcPr>
            <w:tcW w:w="165" w:type="dxa"/>
            <w:tcBorders>
              <w:top w:val="single" w:sz="4" w:space="0" w:color="000000"/>
              <w:bottom w:val="single" w:sz="4" w:space="0" w:color="000000"/>
              <w:end w:val="single" w:sz="4" w:space="0" w:color="000000"/>
            </w:tcBorders>
            <w:vAlign w:val="bottom"/>
          </w:tcPr>
          <w:p>
            <w:pPr>
              <w:pStyle w:val="Normal"/>
              <w:rPr>
                <w:rFonts w:eastAsia="Arial Unicode MS;Tahoma"/>
                <w:b/>
                <w:bCs/>
                <w:sz w:val="20"/>
                <w:szCs w:val="20"/>
              </w:rPr>
            </w:pPr>
            <w:r>
              <w:rPr>
                <w:b/>
                <w:bCs/>
                <w:sz w:val="20"/>
                <w:szCs w:val="20"/>
              </w:rPr>
              <w:t> </w:t>
            </w:r>
          </w:p>
        </w:tc>
        <w:tc>
          <w:tcPr>
            <w:tcW w:w="3150" w:type="dxa"/>
            <w:tcBorders>
              <w:top w:val="single" w:sz="4" w:space="0" w:color="000000"/>
              <w:bottom w:val="single" w:sz="4" w:space="0" w:color="000000"/>
              <w:end w:val="single" w:sz="4" w:space="0" w:color="000000"/>
            </w:tcBorders>
            <w:vAlign w:val="bottom"/>
          </w:tcPr>
          <w:p>
            <w:pPr>
              <w:pStyle w:val="Normal"/>
              <w:rPr>
                <w:rFonts w:eastAsia="Arial Unicode MS;Tahoma"/>
                <w:b/>
                <w:bCs/>
                <w:sz w:val="20"/>
                <w:szCs w:val="20"/>
              </w:rPr>
            </w:pPr>
            <w:r>
              <w:rPr>
                <w:b/>
                <w:bCs/>
                <w:sz w:val="20"/>
                <w:szCs w:val="20"/>
              </w:rPr>
              <w:t>Description</w:t>
            </w:r>
          </w:p>
        </w:tc>
        <w:tc>
          <w:tcPr>
            <w:tcW w:w="90" w:type="dxa"/>
            <w:tcBorders>
              <w:top w:val="single" w:sz="4" w:space="0" w:color="000000"/>
              <w:bottom w:val="single" w:sz="4" w:space="0" w:color="000000"/>
              <w:end w:val="single" w:sz="4" w:space="0" w:color="000000"/>
            </w:tcBorders>
            <w:vAlign w:val="bottom"/>
          </w:tcPr>
          <w:p>
            <w:pPr>
              <w:pStyle w:val="Normal"/>
              <w:rPr>
                <w:rFonts w:eastAsia="Arial Unicode MS;Tahoma"/>
                <w:b/>
                <w:bCs/>
                <w:sz w:val="20"/>
                <w:szCs w:val="20"/>
              </w:rPr>
            </w:pPr>
            <w:r>
              <w:rPr>
                <w:b/>
                <w:bCs/>
                <w:sz w:val="20"/>
                <w:szCs w:val="20"/>
              </w:rPr>
              <w:t> </w:t>
            </w:r>
          </w:p>
        </w:tc>
        <w:tc>
          <w:tcPr>
            <w:tcW w:w="1478" w:type="dxa"/>
            <w:tcBorders>
              <w:top w:val="single" w:sz="4" w:space="0" w:color="000000"/>
              <w:bottom w:val="single" w:sz="4" w:space="0" w:color="000000"/>
              <w:end w:val="single" w:sz="4" w:space="0" w:color="000000"/>
            </w:tcBorders>
            <w:vAlign w:val="bottom"/>
          </w:tcPr>
          <w:p>
            <w:pPr>
              <w:pStyle w:val="Normal"/>
              <w:rPr>
                <w:rFonts w:eastAsia="Arial Unicode MS;Tahoma"/>
                <w:b/>
                <w:bCs/>
                <w:sz w:val="20"/>
                <w:szCs w:val="20"/>
              </w:rPr>
            </w:pPr>
            <w:r>
              <w:rPr>
                <w:b/>
                <w:bCs/>
                <w:sz w:val="20"/>
                <w:szCs w:val="20"/>
              </w:rPr>
              <w:t>Forecasted Amount</w:t>
            </w:r>
          </w:p>
        </w:tc>
        <w:tc>
          <w:tcPr>
            <w:tcW w:w="360" w:type="dxa"/>
            <w:tcBorders>
              <w:top w:val="single" w:sz="4" w:space="0" w:color="000000"/>
              <w:bottom w:val="single" w:sz="4" w:space="0" w:color="000000"/>
              <w:end w:val="single" w:sz="4" w:space="0" w:color="000000"/>
            </w:tcBorders>
            <w:vAlign w:val="bottom"/>
          </w:tcPr>
          <w:p>
            <w:pPr>
              <w:pStyle w:val="Normal"/>
              <w:rPr>
                <w:rFonts w:eastAsia="Arial Unicode MS;Tahoma"/>
                <w:b/>
                <w:bCs/>
                <w:sz w:val="20"/>
                <w:szCs w:val="20"/>
              </w:rPr>
            </w:pPr>
            <w:r>
              <w:rPr>
                <w:b/>
                <w:bCs/>
                <w:sz w:val="20"/>
                <w:szCs w:val="20"/>
              </w:rPr>
              <w:t> </w:t>
            </w:r>
          </w:p>
        </w:tc>
        <w:tc>
          <w:tcPr>
            <w:tcW w:w="1508" w:type="dxa"/>
            <w:tcBorders>
              <w:top w:val="single" w:sz="4" w:space="0" w:color="000000"/>
              <w:bottom w:val="single" w:sz="4" w:space="0" w:color="000000"/>
              <w:end w:val="single" w:sz="4" w:space="0" w:color="000000"/>
            </w:tcBorders>
            <w:shd w:fill="FFFF00" w:val="clear"/>
            <w:vAlign w:val="bottom"/>
          </w:tcPr>
          <w:p>
            <w:pPr>
              <w:pStyle w:val="Normal"/>
              <w:rPr>
                <w:rFonts w:eastAsia="Arial Unicode MS;Tahoma"/>
                <w:b/>
                <w:bCs/>
                <w:sz w:val="20"/>
                <w:szCs w:val="20"/>
              </w:rPr>
            </w:pPr>
            <w:r>
              <w:rPr>
                <w:b/>
                <w:bCs/>
                <w:sz w:val="20"/>
                <w:szCs w:val="20"/>
              </w:rPr>
              <w:t>Actual Amount as of 4/30/01</w:t>
            </w:r>
          </w:p>
        </w:tc>
        <w:tc>
          <w:tcPr>
            <w:tcW w:w="164" w:type="dxa"/>
            <w:tcBorders>
              <w:top w:val="single" w:sz="4" w:space="0" w:color="000000"/>
              <w:bottom w:val="single" w:sz="4" w:space="0" w:color="000000"/>
              <w:end w:val="single" w:sz="4" w:space="0" w:color="000000"/>
            </w:tcBorders>
            <w:vAlign w:val="bottom"/>
          </w:tcPr>
          <w:p>
            <w:pPr>
              <w:pStyle w:val="Normal"/>
              <w:rPr>
                <w:rFonts w:eastAsia="Arial Unicode MS;Tahoma"/>
                <w:b/>
                <w:bCs/>
                <w:sz w:val="20"/>
                <w:szCs w:val="20"/>
              </w:rPr>
            </w:pPr>
            <w:r>
              <w:rPr>
                <w:b/>
                <w:bCs/>
                <w:sz w:val="20"/>
                <w:szCs w:val="20"/>
              </w:rPr>
              <w:t> </w:t>
            </w:r>
          </w:p>
        </w:tc>
        <w:tc>
          <w:tcPr>
            <w:tcW w:w="1824" w:type="dxa"/>
            <w:tcBorders>
              <w:top w:val="single" w:sz="4" w:space="0" w:color="000000"/>
              <w:bottom w:val="single" w:sz="4" w:space="0" w:color="000000"/>
              <w:end w:val="single" w:sz="4" w:space="0" w:color="000000"/>
            </w:tcBorders>
            <w:vAlign w:val="bottom"/>
          </w:tcPr>
          <w:p>
            <w:pPr>
              <w:pStyle w:val="Normal"/>
              <w:jc w:val="center"/>
              <w:rPr>
                <w:rFonts w:eastAsia="Arial Unicode MS;Tahoma"/>
                <w:b/>
                <w:bCs/>
                <w:sz w:val="20"/>
                <w:szCs w:val="20"/>
              </w:rPr>
            </w:pPr>
            <w:r>
              <w:rPr>
                <w:b/>
                <w:bCs/>
                <w:sz w:val="20"/>
                <w:szCs w:val="20"/>
              </w:rPr>
              <w:t>Remaining Committed Amount</w:t>
            </w:r>
          </w:p>
        </w:tc>
      </w:tr>
      <w:tr>
        <w:trPr>
          <w:trHeight w:val="255" w:hRule="atLeast"/>
        </w:trPr>
        <w:tc>
          <w:tcPr>
            <w:tcW w:w="1903" w:type="dxa"/>
            <w:tcBorders>
              <w:start w:val="single" w:sz="4" w:space="0" w:color="000000"/>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65"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315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9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47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36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50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6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82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r>
      <w:tr>
        <w:trPr>
          <w:trHeight w:val="255" w:hRule="atLeast"/>
        </w:trPr>
        <w:tc>
          <w:tcPr>
            <w:tcW w:w="1903" w:type="dxa"/>
            <w:tcBorders>
              <w:start w:val="single" w:sz="4" w:space="0" w:color="000000"/>
              <w:bottom w:val="single" w:sz="4" w:space="0" w:color="000000"/>
              <w:end w:val="single" w:sz="4" w:space="0" w:color="000000"/>
            </w:tcBorders>
            <w:vAlign w:val="bottom"/>
          </w:tcPr>
          <w:p>
            <w:pPr>
              <w:pStyle w:val="Normal"/>
              <w:rPr>
                <w:rFonts w:eastAsia="Arial Unicode MS;Tahoma"/>
                <w:b/>
                <w:bCs/>
                <w:sz w:val="20"/>
                <w:szCs w:val="20"/>
              </w:rPr>
            </w:pPr>
            <w:r>
              <w:rPr>
                <w:b/>
                <w:bCs/>
                <w:sz w:val="20"/>
                <w:szCs w:val="20"/>
              </w:rPr>
              <w:t>Spinnaker</w:t>
            </w:r>
          </w:p>
        </w:tc>
        <w:tc>
          <w:tcPr>
            <w:tcW w:w="165"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315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9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47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36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50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6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82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r>
      <w:tr>
        <w:trPr>
          <w:trHeight w:val="255" w:hRule="atLeast"/>
        </w:trPr>
        <w:tc>
          <w:tcPr>
            <w:tcW w:w="1903" w:type="dxa"/>
            <w:tcBorders>
              <w:start w:val="single" w:sz="4" w:space="0" w:color="000000"/>
              <w:bottom w:val="single" w:sz="4" w:space="0" w:color="000000"/>
              <w:end w:val="single" w:sz="4" w:space="0" w:color="000000"/>
            </w:tcBorders>
            <w:vAlign w:val="bottom"/>
          </w:tcPr>
          <w:p>
            <w:pPr>
              <w:pStyle w:val="Normal"/>
              <w:rPr>
                <w:rFonts w:eastAsia="Arial Unicode MS;Tahoma"/>
                <w:sz w:val="20"/>
                <w:szCs w:val="20"/>
              </w:rPr>
            </w:pPr>
            <w:r>
              <w:rPr>
                <w:sz w:val="20"/>
                <w:szCs w:val="20"/>
              </w:rPr>
              <w:t>C007359I</w:t>
            </w:r>
          </w:p>
        </w:tc>
        <w:tc>
          <w:tcPr>
            <w:tcW w:w="165"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315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9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47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xml:space="preserve"> </w:t>
            </w:r>
            <w:r>
              <w:rPr>
                <w:sz w:val="20"/>
                <w:szCs w:val="20"/>
              </w:rPr>
              <w:t xml:space="preserve">$     200,000 </w:t>
            </w:r>
          </w:p>
        </w:tc>
        <w:tc>
          <w:tcPr>
            <w:tcW w:w="36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508" w:type="dxa"/>
            <w:tcBorders>
              <w:bottom w:val="single" w:sz="4" w:space="0" w:color="000000"/>
              <w:end w:val="single" w:sz="4" w:space="0" w:color="000000"/>
            </w:tcBorders>
            <w:shd w:fill="FFFF00" w:val="clear"/>
            <w:vAlign w:val="bottom"/>
          </w:tcPr>
          <w:p>
            <w:pPr>
              <w:pStyle w:val="Normal"/>
              <w:rPr>
                <w:rFonts w:eastAsia="Arial Unicode MS;Tahoma"/>
                <w:sz w:val="20"/>
                <w:szCs w:val="20"/>
              </w:rPr>
            </w:pPr>
            <w:r>
              <w:rPr>
                <w:sz w:val="20"/>
                <w:szCs w:val="20"/>
              </w:rPr>
              <w:t xml:space="preserve"> </w:t>
            </w:r>
            <w:r>
              <w:rPr>
                <w:sz w:val="20"/>
                <w:szCs w:val="20"/>
              </w:rPr>
              <w:t xml:space="preserve">$         142,041 </w:t>
            </w:r>
          </w:p>
        </w:tc>
        <w:tc>
          <w:tcPr>
            <w:tcW w:w="16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824" w:type="dxa"/>
            <w:tcBorders>
              <w:bottom w:val="single" w:sz="4" w:space="0" w:color="000000"/>
              <w:end w:val="single" w:sz="4" w:space="0" w:color="000000"/>
            </w:tcBorders>
            <w:shd w:fill="FFFF00" w:val="clear"/>
            <w:vAlign w:val="bottom"/>
          </w:tcPr>
          <w:p>
            <w:pPr>
              <w:pStyle w:val="Normal"/>
              <w:rPr>
                <w:rFonts w:eastAsia="Arial Unicode MS;Tahoma"/>
                <w:sz w:val="20"/>
                <w:szCs w:val="20"/>
              </w:rPr>
            </w:pPr>
            <w:r>
              <w:rPr>
                <w:sz w:val="20"/>
                <w:szCs w:val="20"/>
              </w:rPr>
              <w:t xml:space="preserve"> </w:t>
            </w:r>
            <w:r>
              <w:rPr>
                <w:sz w:val="20"/>
                <w:szCs w:val="20"/>
              </w:rPr>
              <w:t xml:space="preserve">$           57,959 </w:t>
            </w:r>
          </w:p>
        </w:tc>
      </w:tr>
      <w:tr>
        <w:trPr>
          <w:trHeight w:val="255" w:hRule="atLeast"/>
        </w:trPr>
        <w:tc>
          <w:tcPr>
            <w:tcW w:w="1903" w:type="dxa"/>
            <w:tcBorders>
              <w:start w:val="single" w:sz="4" w:space="0" w:color="000000"/>
              <w:bottom w:val="single" w:sz="4" w:space="0" w:color="000000"/>
              <w:end w:val="single" w:sz="4" w:space="0" w:color="000000"/>
            </w:tcBorders>
            <w:vAlign w:val="bottom"/>
          </w:tcPr>
          <w:p>
            <w:pPr>
              <w:pStyle w:val="Normal"/>
              <w:rPr>
                <w:rFonts w:eastAsia="Arial Unicode MS;Tahoma"/>
                <w:sz w:val="20"/>
                <w:szCs w:val="20"/>
              </w:rPr>
            </w:pPr>
            <w:r>
              <w:rPr>
                <w:sz w:val="20"/>
                <w:szCs w:val="20"/>
              </w:rPr>
              <w:t>C007358R</w:t>
            </w:r>
          </w:p>
        </w:tc>
        <w:tc>
          <w:tcPr>
            <w:tcW w:w="165"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315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9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47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xml:space="preserve"> </w:t>
            </w:r>
            <w:r>
              <w:rPr>
                <w:sz w:val="20"/>
                <w:szCs w:val="20"/>
              </w:rPr>
              <w:t xml:space="preserve">$      40,000 </w:t>
            </w:r>
          </w:p>
        </w:tc>
        <w:tc>
          <w:tcPr>
            <w:tcW w:w="36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508" w:type="dxa"/>
            <w:tcBorders>
              <w:bottom w:val="single" w:sz="4" w:space="0" w:color="000000"/>
              <w:end w:val="single" w:sz="4" w:space="0" w:color="000000"/>
            </w:tcBorders>
            <w:shd w:fill="FFFF00" w:val="clear"/>
            <w:vAlign w:val="bottom"/>
          </w:tcPr>
          <w:p>
            <w:pPr>
              <w:pStyle w:val="Normal"/>
              <w:rPr>
                <w:rFonts w:eastAsia="Arial Unicode MS;Tahoma"/>
                <w:sz w:val="20"/>
                <w:szCs w:val="20"/>
              </w:rPr>
            </w:pPr>
            <w:r>
              <w:rPr>
                <w:sz w:val="20"/>
                <w:szCs w:val="20"/>
              </w:rPr>
              <w:t xml:space="preserve"> </w:t>
            </w:r>
            <w:r>
              <w:rPr>
                <w:sz w:val="20"/>
                <w:szCs w:val="20"/>
              </w:rPr>
              <w:t>$            (2,210)</w:t>
            </w:r>
          </w:p>
        </w:tc>
        <w:tc>
          <w:tcPr>
            <w:tcW w:w="16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824" w:type="dxa"/>
            <w:tcBorders>
              <w:bottom w:val="single" w:sz="4" w:space="0" w:color="000000"/>
              <w:end w:val="single" w:sz="4" w:space="0" w:color="000000"/>
            </w:tcBorders>
            <w:shd w:fill="FFFF00" w:val="clear"/>
            <w:vAlign w:val="bottom"/>
          </w:tcPr>
          <w:p>
            <w:pPr>
              <w:pStyle w:val="Normal"/>
              <w:rPr>
                <w:rFonts w:eastAsia="Arial Unicode MS;Tahoma"/>
                <w:sz w:val="20"/>
                <w:szCs w:val="20"/>
              </w:rPr>
            </w:pPr>
            <w:r>
              <w:rPr>
                <w:sz w:val="20"/>
                <w:szCs w:val="20"/>
              </w:rPr>
              <w:t xml:space="preserve"> </w:t>
            </w:r>
            <w:r>
              <w:rPr>
                <w:sz w:val="20"/>
                <w:szCs w:val="20"/>
              </w:rPr>
              <w:t xml:space="preserve">$           42,210 </w:t>
            </w:r>
          </w:p>
        </w:tc>
      </w:tr>
      <w:tr>
        <w:trPr>
          <w:trHeight w:val="255" w:hRule="atLeast"/>
        </w:trPr>
        <w:tc>
          <w:tcPr>
            <w:tcW w:w="1903" w:type="dxa"/>
            <w:tcBorders>
              <w:start w:val="single" w:sz="4" w:space="0" w:color="000000"/>
              <w:bottom w:val="single" w:sz="4" w:space="0" w:color="000000"/>
              <w:end w:val="single" w:sz="4" w:space="0" w:color="000000"/>
            </w:tcBorders>
            <w:vAlign w:val="bottom"/>
          </w:tcPr>
          <w:p>
            <w:pPr>
              <w:pStyle w:val="Normal"/>
              <w:rPr>
                <w:rFonts w:eastAsia="Arial Unicode MS;Tahoma"/>
                <w:sz w:val="20"/>
                <w:szCs w:val="20"/>
              </w:rPr>
            </w:pPr>
            <w:r>
              <w:rPr>
                <w:sz w:val="20"/>
                <w:szCs w:val="20"/>
              </w:rPr>
              <w:t>C007331I</w:t>
            </w:r>
          </w:p>
        </w:tc>
        <w:tc>
          <w:tcPr>
            <w:tcW w:w="165"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315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9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47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xml:space="preserve"> </w:t>
            </w:r>
            <w:r>
              <w:rPr>
                <w:sz w:val="20"/>
                <w:szCs w:val="20"/>
              </w:rPr>
              <w:t xml:space="preserve">$  1,100,000 </w:t>
            </w:r>
          </w:p>
        </w:tc>
        <w:tc>
          <w:tcPr>
            <w:tcW w:w="36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508" w:type="dxa"/>
            <w:tcBorders>
              <w:bottom w:val="single" w:sz="4" w:space="0" w:color="000000"/>
              <w:end w:val="single" w:sz="4" w:space="0" w:color="000000"/>
            </w:tcBorders>
            <w:shd w:fill="FFFF00" w:val="clear"/>
            <w:vAlign w:val="bottom"/>
          </w:tcPr>
          <w:p>
            <w:pPr>
              <w:pStyle w:val="Normal"/>
              <w:rPr>
                <w:rFonts w:eastAsia="Arial Unicode MS;Tahoma"/>
                <w:sz w:val="20"/>
                <w:szCs w:val="20"/>
              </w:rPr>
            </w:pPr>
            <w:r>
              <w:rPr>
                <w:sz w:val="20"/>
                <w:szCs w:val="20"/>
              </w:rPr>
              <w:t xml:space="preserve"> </w:t>
            </w:r>
            <w:r>
              <w:rPr>
                <w:sz w:val="20"/>
                <w:szCs w:val="20"/>
              </w:rPr>
              <w:t xml:space="preserve">$       1,120,476 </w:t>
            </w:r>
          </w:p>
        </w:tc>
        <w:tc>
          <w:tcPr>
            <w:tcW w:w="16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824" w:type="dxa"/>
            <w:tcBorders>
              <w:bottom w:val="single" w:sz="4" w:space="0" w:color="000000"/>
              <w:end w:val="single" w:sz="4" w:space="0" w:color="000000"/>
            </w:tcBorders>
            <w:shd w:fill="FFFF00" w:val="clear"/>
            <w:vAlign w:val="bottom"/>
          </w:tcPr>
          <w:p>
            <w:pPr>
              <w:pStyle w:val="Normal"/>
              <w:rPr>
                <w:rFonts w:eastAsia="Arial Unicode MS;Tahoma"/>
                <w:sz w:val="20"/>
                <w:szCs w:val="20"/>
              </w:rPr>
            </w:pPr>
            <w:r>
              <w:rPr>
                <w:sz w:val="20"/>
                <w:szCs w:val="20"/>
              </w:rPr>
              <w:t xml:space="preserve"> </w:t>
            </w:r>
            <w:r>
              <w:rPr>
                <w:sz w:val="20"/>
                <w:szCs w:val="20"/>
              </w:rPr>
              <w:t>$          (20,476)</w:t>
            </w:r>
          </w:p>
        </w:tc>
      </w:tr>
      <w:tr>
        <w:trPr>
          <w:trHeight w:val="255" w:hRule="atLeast"/>
        </w:trPr>
        <w:tc>
          <w:tcPr>
            <w:tcW w:w="1903" w:type="dxa"/>
            <w:tcBorders>
              <w:start w:val="single" w:sz="4" w:space="0" w:color="000000"/>
              <w:bottom w:val="single" w:sz="4" w:space="0" w:color="000000"/>
              <w:end w:val="single" w:sz="4" w:space="0" w:color="000000"/>
            </w:tcBorders>
            <w:vAlign w:val="bottom"/>
          </w:tcPr>
          <w:p>
            <w:pPr>
              <w:pStyle w:val="Normal"/>
              <w:rPr>
                <w:rFonts w:eastAsia="Arial Unicode MS;Tahoma"/>
                <w:sz w:val="20"/>
                <w:szCs w:val="20"/>
              </w:rPr>
            </w:pPr>
            <w:r>
              <w:rPr>
                <w:sz w:val="20"/>
                <w:szCs w:val="20"/>
              </w:rPr>
              <w:t>C007328I</w:t>
            </w:r>
          </w:p>
        </w:tc>
        <w:tc>
          <w:tcPr>
            <w:tcW w:w="165"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315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9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47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xml:space="preserve"> </w:t>
            </w:r>
            <w:r>
              <w:rPr>
                <w:sz w:val="20"/>
                <w:szCs w:val="20"/>
              </w:rPr>
              <w:t xml:space="preserve">$  1,300,000 </w:t>
            </w:r>
          </w:p>
        </w:tc>
        <w:tc>
          <w:tcPr>
            <w:tcW w:w="36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508" w:type="dxa"/>
            <w:tcBorders>
              <w:bottom w:val="single" w:sz="4" w:space="0" w:color="000000"/>
              <w:end w:val="single" w:sz="4" w:space="0" w:color="000000"/>
            </w:tcBorders>
            <w:shd w:fill="FFFF00" w:val="clear"/>
            <w:vAlign w:val="bottom"/>
          </w:tcPr>
          <w:p>
            <w:pPr>
              <w:pStyle w:val="Normal"/>
              <w:rPr>
                <w:rFonts w:eastAsia="Arial Unicode MS;Tahoma"/>
                <w:sz w:val="20"/>
                <w:szCs w:val="20"/>
              </w:rPr>
            </w:pPr>
            <w:r>
              <w:rPr>
                <w:sz w:val="20"/>
                <w:szCs w:val="20"/>
              </w:rPr>
              <w:t xml:space="preserve"> </w:t>
            </w:r>
            <w:r>
              <w:rPr>
                <w:sz w:val="20"/>
                <w:szCs w:val="20"/>
              </w:rPr>
              <w:t xml:space="preserve">$       1,542,937 </w:t>
            </w:r>
          </w:p>
        </w:tc>
        <w:tc>
          <w:tcPr>
            <w:tcW w:w="16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824" w:type="dxa"/>
            <w:tcBorders>
              <w:bottom w:val="single" w:sz="4" w:space="0" w:color="000000"/>
              <w:end w:val="single" w:sz="4" w:space="0" w:color="000000"/>
            </w:tcBorders>
            <w:shd w:fill="FFFF00" w:val="clear"/>
            <w:vAlign w:val="bottom"/>
          </w:tcPr>
          <w:p>
            <w:pPr>
              <w:pStyle w:val="Normal"/>
              <w:rPr>
                <w:rFonts w:eastAsia="Arial Unicode MS;Tahoma"/>
                <w:sz w:val="20"/>
                <w:szCs w:val="20"/>
              </w:rPr>
            </w:pPr>
            <w:r>
              <w:rPr>
                <w:sz w:val="20"/>
                <w:szCs w:val="20"/>
              </w:rPr>
              <w:t xml:space="preserve"> </w:t>
            </w:r>
            <w:r>
              <w:rPr>
                <w:sz w:val="20"/>
                <w:szCs w:val="20"/>
              </w:rPr>
              <w:t>$        (242,937)</w:t>
            </w:r>
          </w:p>
        </w:tc>
      </w:tr>
      <w:tr>
        <w:trPr>
          <w:trHeight w:val="255" w:hRule="atLeast"/>
        </w:trPr>
        <w:tc>
          <w:tcPr>
            <w:tcW w:w="1903" w:type="dxa"/>
            <w:tcBorders>
              <w:start w:val="single" w:sz="4" w:space="0" w:color="000000"/>
              <w:bottom w:val="single" w:sz="4" w:space="0" w:color="000000"/>
              <w:end w:val="single" w:sz="4" w:space="0" w:color="000000"/>
            </w:tcBorders>
            <w:shd w:fill="FFFF00" w:val="clear"/>
            <w:vAlign w:val="bottom"/>
          </w:tcPr>
          <w:p>
            <w:pPr>
              <w:pStyle w:val="Normal"/>
              <w:rPr>
                <w:rFonts w:eastAsia="Arial Unicode MS;Tahoma"/>
                <w:sz w:val="20"/>
                <w:szCs w:val="20"/>
              </w:rPr>
            </w:pPr>
            <w:r>
              <w:rPr>
                <w:sz w:val="20"/>
                <w:szCs w:val="20"/>
              </w:rPr>
              <w:t>C007313I</w:t>
            </w:r>
          </w:p>
        </w:tc>
        <w:tc>
          <w:tcPr>
            <w:tcW w:w="165"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315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9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47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xml:space="preserve"> </w:t>
            </w:r>
            <w:r>
              <w:rPr>
                <w:sz w:val="20"/>
                <w:szCs w:val="20"/>
              </w:rPr>
              <w:t xml:space="preserve">$      75,000 </w:t>
            </w:r>
          </w:p>
        </w:tc>
        <w:tc>
          <w:tcPr>
            <w:tcW w:w="36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508" w:type="dxa"/>
            <w:tcBorders>
              <w:bottom w:val="single" w:sz="4" w:space="0" w:color="000000"/>
              <w:end w:val="single" w:sz="4" w:space="0" w:color="000000"/>
            </w:tcBorders>
            <w:shd w:fill="FFFF00" w:val="clear"/>
            <w:vAlign w:val="bottom"/>
          </w:tcPr>
          <w:p>
            <w:pPr>
              <w:pStyle w:val="Normal"/>
              <w:rPr>
                <w:rFonts w:eastAsia="Arial Unicode MS;Tahoma"/>
                <w:sz w:val="20"/>
                <w:szCs w:val="20"/>
              </w:rPr>
            </w:pPr>
            <w:r>
              <w:rPr>
                <w:sz w:val="20"/>
                <w:szCs w:val="20"/>
              </w:rPr>
              <w:t xml:space="preserve"> </w:t>
            </w:r>
            <w:r>
              <w:rPr>
                <w:sz w:val="20"/>
                <w:szCs w:val="20"/>
              </w:rPr>
              <w:t xml:space="preserve">$           92,906 </w:t>
            </w:r>
          </w:p>
        </w:tc>
        <w:tc>
          <w:tcPr>
            <w:tcW w:w="16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824" w:type="dxa"/>
            <w:tcBorders>
              <w:bottom w:val="single" w:sz="4" w:space="0" w:color="000000"/>
              <w:end w:val="single" w:sz="4" w:space="0" w:color="000000"/>
            </w:tcBorders>
            <w:shd w:fill="FFFF00" w:val="clear"/>
            <w:vAlign w:val="bottom"/>
          </w:tcPr>
          <w:p>
            <w:pPr>
              <w:pStyle w:val="Normal"/>
              <w:rPr>
                <w:rFonts w:eastAsia="Arial Unicode MS;Tahoma"/>
                <w:sz w:val="20"/>
                <w:szCs w:val="20"/>
              </w:rPr>
            </w:pPr>
            <w:r>
              <w:rPr>
                <w:sz w:val="20"/>
                <w:szCs w:val="20"/>
              </w:rPr>
              <w:t xml:space="preserve"> </w:t>
            </w:r>
            <w:r>
              <w:rPr>
                <w:sz w:val="20"/>
                <w:szCs w:val="20"/>
              </w:rPr>
              <w:t>$          (17,906)</w:t>
            </w:r>
          </w:p>
        </w:tc>
      </w:tr>
      <w:tr>
        <w:trPr>
          <w:trHeight w:val="255" w:hRule="atLeast"/>
        </w:trPr>
        <w:tc>
          <w:tcPr>
            <w:tcW w:w="1903" w:type="dxa"/>
            <w:tcBorders>
              <w:start w:val="single" w:sz="4" w:space="0" w:color="000000"/>
              <w:end w:val="single" w:sz="4" w:space="0" w:color="000000"/>
            </w:tcBorders>
            <w:shd w:fill="FFFF00" w:val="clear"/>
            <w:vAlign w:val="bottom"/>
          </w:tcPr>
          <w:p>
            <w:pPr>
              <w:pStyle w:val="Normal"/>
              <w:rPr>
                <w:rFonts w:eastAsia="Arial Unicode MS;Tahoma"/>
                <w:sz w:val="20"/>
                <w:szCs w:val="20"/>
              </w:rPr>
            </w:pPr>
            <w:r>
              <w:rPr>
                <w:sz w:val="20"/>
                <w:szCs w:val="20"/>
              </w:rPr>
              <w:t>C007373I</w:t>
            </w:r>
          </w:p>
        </w:tc>
        <w:tc>
          <w:tcPr>
            <w:tcW w:w="165" w:type="dxa"/>
            <w:tcBorders>
              <w:end w:val="single" w:sz="4" w:space="0" w:color="000000"/>
            </w:tcBorders>
            <w:vAlign w:val="bottom"/>
          </w:tcPr>
          <w:p>
            <w:pPr>
              <w:pStyle w:val="Normal"/>
              <w:rPr>
                <w:rFonts w:eastAsia="Arial Unicode MS;Tahoma"/>
                <w:sz w:val="20"/>
                <w:szCs w:val="20"/>
              </w:rPr>
            </w:pPr>
            <w:r>
              <w:rPr>
                <w:sz w:val="20"/>
                <w:szCs w:val="20"/>
              </w:rPr>
              <w:t> </w:t>
            </w:r>
          </w:p>
        </w:tc>
        <w:tc>
          <w:tcPr>
            <w:tcW w:w="3150" w:type="dxa"/>
            <w:tcBorders>
              <w:end w:val="single" w:sz="4" w:space="0" w:color="000000"/>
            </w:tcBorders>
            <w:vAlign w:val="bottom"/>
          </w:tcPr>
          <w:p>
            <w:pPr>
              <w:pStyle w:val="Normal"/>
              <w:rPr>
                <w:rFonts w:eastAsia="Arial Unicode MS;Tahoma"/>
                <w:sz w:val="20"/>
                <w:szCs w:val="20"/>
              </w:rPr>
            </w:pPr>
            <w:r>
              <w:rPr>
                <w:sz w:val="20"/>
                <w:szCs w:val="20"/>
              </w:rPr>
              <w:t> </w:t>
            </w:r>
          </w:p>
        </w:tc>
        <w:tc>
          <w:tcPr>
            <w:tcW w:w="90" w:type="dxa"/>
            <w:tcBorders>
              <w:end w:val="single" w:sz="4" w:space="0" w:color="000000"/>
            </w:tcBorders>
            <w:vAlign w:val="bottom"/>
          </w:tcPr>
          <w:p>
            <w:pPr>
              <w:pStyle w:val="Normal"/>
              <w:rPr>
                <w:rFonts w:eastAsia="Arial Unicode MS;Tahoma"/>
                <w:sz w:val="20"/>
                <w:szCs w:val="20"/>
              </w:rPr>
            </w:pPr>
            <w:r>
              <w:rPr>
                <w:sz w:val="20"/>
                <w:szCs w:val="20"/>
              </w:rPr>
              <w:t> </w:t>
            </w:r>
          </w:p>
        </w:tc>
        <w:tc>
          <w:tcPr>
            <w:tcW w:w="1478" w:type="dxa"/>
            <w:tcBorders>
              <w:end w:val="single" w:sz="4" w:space="0" w:color="000000"/>
            </w:tcBorders>
            <w:vAlign w:val="bottom"/>
          </w:tcPr>
          <w:p>
            <w:pPr>
              <w:pStyle w:val="Normal"/>
              <w:rPr>
                <w:rFonts w:eastAsia="Arial Unicode MS;Tahoma"/>
                <w:sz w:val="20"/>
                <w:szCs w:val="20"/>
              </w:rPr>
            </w:pPr>
            <w:r>
              <w:rPr>
                <w:sz w:val="20"/>
                <w:szCs w:val="20"/>
              </w:rPr>
              <w:t xml:space="preserve"> </w:t>
            </w:r>
            <w:r>
              <w:rPr>
                <w:sz w:val="20"/>
                <w:szCs w:val="20"/>
              </w:rPr>
              <w:t xml:space="preserve">$  6,600,000# </w:t>
            </w:r>
          </w:p>
        </w:tc>
        <w:tc>
          <w:tcPr>
            <w:tcW w:w="360" w:type="dxa"/>
            <w:tcBorders>
              <w:end w:val="single" w:sz="4" w:space="0" w:color="000000"/>
            </w:tcBorders>
            <w:vAlign w:val="bottom"/>
          </w:tcPr>
          <w:p>
            <w:pPr>
              <w:pStyle w:val="Normal"/>
              <w:rPr>
                <w:rFonts w:eastAsia="Arial Unicode MS;Tahoma"/>
                <w:sz w:val="20"/>
                <w:szCs w:val="20"/>
              </w:rPr>
            </w:pPr>
            <w:r>
              <w:rPr>
                <w:sz w:val="20"/>
                <w:szCs w:val="20"/>
              </w:rPr>
              <w:t> </w:t>
            </w:r>
          </w:p>
        </w:tc>
        <w:tc>
          <w:tcPr>
            <w:tcW w:w="1508" w:type="dxa"/>
            <w:tcBorders>
              <w:end w:val="single" w:sz="4" w:space="0" w:color="000000"/>
            </w:tcBorders>
            <w:shd w:fill="FFFF00" w:val="clear"/>
            <w:vAlign w:val="bottom"/>
          </w:tcPr>
          <w:p>
            <w:pPr>
              <w:pStyle w:val="Normal"/>
              <w:rPr>
                <w:rFonts w:eastAsia="Arial Unicode MS;Tahoma"/>
                <w:sz w:val="20"/>
                <w:szCs w:val="20"/>
              </w:rPr>
            </w:pPr>
            <w:r>
              <w:rPr>
                <w:sz w:val="20"/>
                <w:szCs w:val="20"/>
              </w:rPr>
              <w:t xml:space="preserve"> </w:t>
            </w:r>
            <w:r>
              <w:rPr>
                <w:sz w:val="20"/>
                <w:szCs w:val="20"/>
              </w:rPr>
              <w:t xml:space="preserve">$       3,480,992 </w:t>
            </w:r>
          </w:p>
        </w:tc>
        <w:tc>
          <w:tcPr>
            <w:tcW w:w="164" w:type="dxa"/>
            <w:tcBorders>
              <w:end w:val="single" w:sz="4" w:space="0" w:color="000000"/>
            </w:tcBorders>
            <w:vAlign w:val="bottom"/>
          </w:tcPr>
          <w:p>
            <w:pPr>
              <w:pStyle w:val="Normal"/>
              <w:rPr>
                <w:rFonts w:eastAsia="Arial Unicode MS;Tahoma"/>
                <w:sz w:val="20"/>
                <w:szCs w:val="20"/>
              </w:rPr>
            </w:pPr>
            <w:r>
              <w:rPr>
                <w:sz w:val="20"/>
                <w:szCs w:val="20"/>
              </w:rPr>
              <w:t> </w:t>
            </w:r>
          </w:p>
        </w:tc>
        <w:tc>
          <w:tcPr>
            <w:tcW w:w="1824" w:type="dxa"/>
            <w:tcBorders>
              <w:end w:val="single" w:sz="4" w:space="0" w:color="000000"/>
            </w:tcBorders>
            <w:shd w:fill="FFFF00" w:val="clear"/>
            <w:vAlign w:val="bottom"/>
          </w:tcPr>
          <w:p>
            <w:pPr>
              <w:pStyle w:val="Normal"/>
              <w:rPr>
                <w:rFonts w:eastAsia="Arial Unicode MS;Tahoma"/>
                <w:sz w:val="20"/>
                <w:szCs w:val="20"/>
              </w:rPr>
            </w:pPr>
            <w:r>
              <w:rPr>
                <w:sz w:val="20"/>
                <w:szCs w:val="20"/>
              </w:rPr>
              <w:t xml:space="preserve"> </w:t>
            </w:r>
            <w:r>
              <w:rPr>
                <w:sz w:val="20"/>
                <w:szCs w:val="20"/>
              </w:rPr>
              <w:t>$       3,119,008 #</w:t>
            </w:r>
          </w:p>
        </w:tc>
      </w:tr>
      <w:tr>
        <w:trPr>
          <w:trHeight w:val="255" w:hRule="atLeast"/>
        </w:trPr>
        <w:tc>
          <w:tcPr>
            <w:tcW w:w="1903"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Tahoma"/>
                <w:sz w:val="20"/>
                <w:szCs w:val="20"/>
              </w:rPr>
            </w:pPr>
            <w:r>
              <w:rPr>
                <w:sz w:val="20"/>
                <w:szCs w:val="20"/>
              </w:rPr>
              <w:t>C007441R</w:t>
            </w:r>
          </w:p>
        </w:tc>
        <w:tc>
          <w:tcPr>
            <w:tcW w:w="165" w:type="dxa"/>
            <w:tcBorders>
              <w:top w:val="single" w:sz="4" w:space="0" w:color="000000"/>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3150" w:type="dxa"/>
            <w:tcBorders>
              <w:top w:val="single" w:sz="4" w:space="0" w:color="000000"/>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90" w:type="dxa"/>
            <w:tcBorders>
              <w:top w:val="single" w:sz="4" w:space="0" w:color="000000"/>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478" w:type="dxa"/>
            <w:tcBorders>
              <w:top w:val="single" w:sz="4" w:space="0" w:color="000000"/>
              <w:bottom w:val="single" w:sz="4" w:space="0" w:color="000000"/>
              <w:end w:val="single" w:sz="4" w:space="0" w:color="000000"/>
            </w:tcBorders>
            <w:vAlign w:val="bottom"/>
          </w:tcPr>
          <w:p>
            <w:pPr>
              <w:pStyle w:val="Normal"/>
              <w:rPr>
                <w:rFonts w:eastAsia="Arial Unicode MS;Tahoma"/>
                <w:sz w:val="20"/>
                <w:szCs w:val="20"/>
              </w:rPr>
            </w:pPr>
            <w:r>
              <w:rPr>
                <w:sz w:val="20"/>
                <w:szCs w:val="20"/>
              </w:rPr>
              <w:t xml:space="preserve"> </w:t>
            </w:r>
            <w:r>
              <w:rPr>
                <w:sz w:val="20"/>
                <w:szCs w:val="20"/>
              </w:rPr>
              <w:t xml:space="preserve">$      28,000 </w:t>
            </w:r>
          </w:p>
        </w:tc>
        <w:tc>
          <w:tcPr>
            <w:tcW w:w="360" w:type="dxa"/>
            <w:tcBorders>
              <w:top w:val="single" w:sz="4" w:space="0" w:color="000000"/>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508" w:type="dxa"/>
            <w:tcBorders>
              <w:top w:val="single" w:sz="4" w:space="0" w:color="000000"/>
              <w:bottom w:val="single" w:sz="4" w:space="0" w:color="000000"/>
              <w:end w:val="single" w:sz="4" w:space="0" w:color="000000"/>
            </w:tcBorders>
            <w:vAlign w:val="bottom"/>
          </w:tcPr>
          <w:p>
            <w:pPr>
              <w:pStyle w:val="Normal"/>
              <w:rPr>
                <w:rFonts w:eastAsia="Arial Unicode MS;Tahoma"/>
                <w:sz w:val="20"/>
                <w:szCs w:val="20"/>
              </w:rPr>
            </w:pPr>
            <w:r>
              <w:rPr>
                <w:sz w:val="20"/>
                <w:szCs w:val="20"/>
              </w:rPr>
              <w:t xml:space="preserve"> </w:t>
            </w:r>
            <w:r>
              <w:rPr>
                <w:sz w:val="20"/>
                <w:szCs w:val="20"/>
              </w:rPr>
              <w:t xml:space="preserve">$                  -   </w:t>
            </w:r>
          </w:p>
        </w:tc>
        <w:tc>
          <w:tcPr>
            <w:tcW w:w="164" w:type="dxa"/>
            <w:tcBorders>
              <w:top w:val="single" w:sz="4" w:space="0" w:color="000000"/>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824" w:type="dxa"/>
            <w:tcBorders>
              <w:top w:val="single" w:sz="4" w:space="0" w:color="000000"/>
              <w:bottom w:val="single" w:sz="4" w:space="0" w:color="000000"/>
            </w:tcBorders>
            <w:vAlign w:val="bottom"/>
          </w:tcPr>
          <w:p>
            <w:pPr>
              <w:pStyle w:val="Normal"/>
              <w:rPr>
                <w:rFonts w:eastAsia="Arial Unicode MS;Tahoma"/>
                <w:sz w:val="20"/>
                <w:szCs w:val="20"/>
              </w:rPr>
            </w:pPr>
            <w:r>
              <w:rPr>
                <w:sz w:val="20"/>
                <w:szCs w:val="20"/>
              </w:rPr>
              <w:t xml:space="preserve"> </w:t>
            </w:r>
            <w:r>
              <w:rPr>
                <w:sz w:val="20"/>
                <w:szCs w:val="20"/>
              </w:rPr>
              <w:t xml:space="preserve">$           28,000 </w:t>
            </w:r>
          </w:p>
        </w:tc>
      </w:tr>
      <w:tr>
        <w:trPr>
          <w:trHeight w:val="255" w:hRule="atLeast"/>
        </w:trPr>
        <w:tc>
          <w:tcPr>
            <w:tcW w:w="1903" w:type="dxa"/>
            <w:tcBorders>
              <w:start w:val="single" w:sz="4" w:space="0" w:color="000000"/>
              <w:bottom w:val="single" w:sz="4" w:space="0" w:color="000000"/>
              <w:end w:val="single" w:sz="4" w:space="0" w:color="000000"/>
            </w:tcBorders>
            <w:vAlign w:val="bottom"/>
          </w:tcPr>
          <w:p>
            <w:pPr>
              <w:pStyle w:val="Normal"/>
              <w:rPr>
                <w:rFonts w:eastAsia="Arial Unicode MS;Tahoma"/>
                <w:sz w:val="20"/>
                <w:szCs w:val="20"/>
              </w:rPr>
            </w:pPr>
            <w:r>
              <w:rPr>
                <w:sz w:val="20"/>
                <w:szCs w:val="20"/>
              </w:rPr>
              <w:t>C007792</w:t>
            </w:r>
          </w:p>
        </w:tc>
        <w:tc>
          <w:tcPr>
            <w:tcW w:w="165"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315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Install Tank Flare Lehman</w:t>
            </w:r>
          </w:p>
        </w:tc>
        <w:tc>
          <w:tcPr>
            <w:tcW w:w="9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47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xml:space="preserve"> </w:t>
            </w:r>
            <w:r>
              <w:rPr>
                <w:sz w:val="20"/>
                <w:szCs w:val="20"/>
              </w:rPr>
              <w:t xml:space="preserve">$      90,780 </w:t>
            </w:r>
          </w:p>
        </w:tc>
        <w:tc>
          <w:tcPr>
            <w:tcW w:w="36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50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xml:space="preserve"> </w:t>
            </w:r>
            <w:r>
              <w:rPr>
                <w:sz w:val="20"/>
                <w:szCs w:val="20"/>
              </w:rPr>
              <w:t xml:space="preserve">$                  -   </w:t>
            </w:r>
          </w:p>
        </w:tc>
        <w:tc>
          <w:tcPr>
            <w:tcW w:w="16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824" w:type="dxa"/>
            <w:tcBorders>
              <w:bottom w:val="single" w:sz="4" w:space="0" w:color="000000"/>
            </w:tcBorders>
            <w:vAlign w:val="bottom"/>
          </w:tcPr>
          <w:p>
            <w:pPr>
              <w:pStyle w:val="Normal"/>
              <w:rPr>
                <w:rFonts w:eastAsia="Arial Unicode MS;Tahoma"/>
                <w:sz w:val="20"/>
                <w:szCs w:val="20"/>
              </w:rPr>
            </w:pPr>
            <w:r>
              <w:rPr>
                <w:sz w:val="20"/>
                <w:szCs w:val="20"/>
              </w:rPr>
              <w:t xml:space="preserve"> </w:t>
            </w:r>
            <w:r>
              <w:rPr>
                <w:sz w:val="20"/>
                <w:szCs w:val="20"/>
              </w:rPr>
              <w:t xml:space="preserve">$           90,780 </w:t>
            </w:r>
          </w:p>
        </w:tc>
      </w:tr>
      <w:tr>
        <w:trPr>
          <w:trHeight w:val="270" w:hRule="atLeast"/>
        </w:trPr>
        <w:tc>
          <w:tcPr>
            <w:tcW w:w="1903" w:type="dxa"/>
            <w:tcBorders>
              <w:start w:val="single" w:sz="8" w:space="0" w:color="000000"/>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Total</w:t>
            </w:r>
          </w:p>
        </w:tc>
        <w:tc>
          <w:tcPr>
            <w:tcW w:w="165" w:type="dxa"/>
            <w:tcBorders>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 </w:t>
            </w:r>
          </w:p>
        </w:tc>
        <w:tc>
          <w:tcPr>
            <w:tcW w:w="3150" w:type="dxa"/>
            <w:tcBorders>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 </w:t>
            </w:r>
          </w:p>
        </w:tc>
        <w:tc>
          <w:tcPr>
            <w:tcW w:w="90" w:type="dxa"/>
            <w:tcBorders>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 </w:t>
            </w:r>
          </w:p>
        </w:tc>
        <w:tc>
          <w:tcPr>
            <w:tcW w:w="1478" w:type="dxa"/>
            <w:tcBorders>
              <w:bottom w:val="single" w:sz="8" w:space="0" w:color="000000"/>
              <w:end w:val="single" w:sz="8" w:space="0" w:color="000000"/>
            </w:tcBorders>
            <w:vAlign w:val="bottom"/>
          </w:tcPr>
          <w:p>
            <w:pPr>
              <w:pStyle w:val="Normal"/>
              <w:rPr>
                <w:rFonts w:eastAsia="Arial Unicode MS;Tahoma"/>
                <w:b/>
                <w:bCs/>
                <w:sz w:val="20"/>
                <w:szCs w:val="20"/>
              </w:rPr>
            </w:pPr>
            <w:r>
              <w:rPr>
                <w:b/>
                <w:bCs/>
                <w:sz w:val="20"/>
                <w:szCs w:val="20"/>
              </w:rPr>
              <w:t xml:space="preserve"> </w:t>
            </w:r>
            <w:r>
              <w:rPr>
                <w:b/>
                <w:bCs/>
                <w:sz w:val="20"/>
                <w:szCs w:val="20"/>
              </w:rPr>
              <w:t xml:space="preserve">$  9,433,780 </w:t>
            </w:r>
          </w:p>
        </w:tc>
        <w:tc>
          <w:tcPr>
            <w:tcW w:w="360" w:type="dxa"/>
            <w:tcBorders>
              <w:start w:val="single" w:sz="4" w:space="0" w:color="000000"/>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 </w:t>
            </w:r>
          </w:p>
        </w:tc>
        <w:tc>
          <w:tcPr>
            <w:tcW w:w="1508" w:type="dxa"/>
            <w:tcBorders>
              <w:bottom w:val="single" w:sz="8" w:space="0" w:color="000000"/>
              <w:end w:val="single" w:sz="8" w:space="0" w:color="000000"/>
            </w:tcBorders>
            <w:shd w:fill="FFFF00" w:val="clear"/>
            <w:vAlign w:val="bottom"/>
          </w:tcPr>
          <w:p>
            <w:pPr>
              <w:pStyle w:val="Normal"/>
              <w:rPr>
                <w:rFonts w:eastAsia="Arial Unicode MS;Tahoma"/>
                <w:b/>
                <w:bCs/>
                <w:sz w:val="20"/>
                <w:szCs w:val="20"/>
              </w:rPr>
            </w:pPr>
            <w:r>
              <w:rPr>
                <w:b/>
                <w:bCs/>
                <w:sz w:val="20"/>
                <w:szCs w:val="20"/>
              </w:rPr>
              <w:t xml:space="preserve"> </w:t>
            </w:r>
            <w:r>
              <w:rPr>
                <w:b/>
                <w:bCs/>
                <w:sz w:val="20"/>
                <w:szCs w:val="20"/>
              </w:rPr>
              <w:t xml:space="preserve">$       6,377,142 </w:t>
            </w:r>
          </w:p>
        </w:tc>
        <w:tc>
          <w:tcPr>
            <w:tcW w:w="164" w:type="dxa"/>
            <w:tcBorders>
              <w:start w:val="single" w:sz="4" w:space="0" w:color="000000"/>
              <w:bottom w:val="single" w:sz="8" w:space="0" w:color="000000"/>
              <w:end w:val="single" w:sz="4" w:space="0" w:color="000000"/>
            </w:tcBorders>
            <w:shd w:fill="FFFF00" w:val="clear"/>
            <w:vAlign w:val="bottom"/>
          </w:tcPr>
          <w:p>
            <w:pPr>
              <w:pStyle w:val="Normal"/>
              <w:rPr>
                <w:rFonts w:eastAsia="Arial Unicode MS;Tahoma"/>
                <w:b/>
                <w:bCs/>
                <w:sz w:val="20"/>
                <w:szCs w:val="20"/>
              </w:rPr>
            </w:pPr>
            <w:r>
              <w:rPr>
                <w:b/>
                <w:bCs/>
                <w:sz w:val="20"/>
                <w:szCs w:val="20"/>
              </w:rPr>
              <w:t> </w:t>
            </w:r>
          </w:p>
        </w:tc>
        <w:tc>
          <w:tcPr>
            <w:tcW w:w="1824" w:type="dxa"/>
            <w:tcBorders>
              <w:bottom w:val="single" w:sz="8" w:space="0" w:color="000000"/>
              <w:end w:val="single" w:sz="8" w:space="0" w:color="000000"/>
            </w:tcBorders>
            <w:shd w:fill="FFFF00" w:val="clear"/>
            <w:vAlign w:val="bottom"/>
          </w:tcPr>
          <w:p>
            <w:pPr>
              <w:pStyle w:val="Normal"/>
              <w:rPr>
                <w:rFonts w:eastAsia="Arial Unicode MS;Tahoma"/>
                <w:b/>
                <w:bCs/>
                <w:sz w:val="20"/>
                <w:szCs w:val="20"/>
              </w:rPr>
            </w:pPr>
            <w:r>
              <w:rPr>
                <w:b/>
                <w:bCs/>
                <w:sz w:val="20"/>
                <w:szCs w:val="20"/>
              </w:rPr>
              <w:t xml:space="preserve"> </w:t>
            </w:r>
            <w:r>
              <w:rPr>
                <w:b/>
                <w:bCs/>
                <w:sz w:val="20"/>
                <w:szCs w:val="20"/>
              </w:rPr>
              <w:t xml:space="preserve">$       2,965,858 </w:t>
            </w:r>
          </w:p>
        </w:tc>
      </w:tr>
      <w:tr>
        <w:trPr>
          <w:trHeight w:val="255" w:hRule="atLeast"/>
        </w:trPr>
        <w:tc>
          <w:tcPr>
            <w:tcW w:w="1903" w:type="dxa"/>
            <w:tcBorders>
              <w:start w:val="single" w:sz="4" w:space="0" w:color="000000"/>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65"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315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9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47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36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50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6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82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r>
      <w:tr>
        <w:trPr>
          <w:trHeight w:val="255" w:hRule="atLeast"/>
        </w:trPr>
        <w:tc>
          <w:tcPr>
            <w:tcW w:w="5218" w:type="dxa"/>
            <w:gridSpan w:val="3"/>
            <w:tcBorders>
              <w:start w:val="single" w:sz="4" w:space="0" w:color="000000"/>
              <w:bottom w:val="single" w:sz="4" w:space="0" w:color="000000"/>
              <w:end w:val="single" w:sz="4" w:space="0" w:color="000000"/>
            </w:tcBorders>
            <w:vAlign w:val="bottom"/>
          </w:tcPr>
          <w:p>
            <w:pPr>
              <w:pStyle w:val="Normal"/>
              <w:rPr>
                <w:rFonts w:eastAsia="Arial Unicode MS;Tahoma"/>
                <w:sz w:val="20"/>
                <w:szCs w:val="20"/>
              </w:rPr>
            </w:pPr>
            <w:r>
              <w:rPr>
                <w:b/>
                <w:bCs/>
                <w:sz w:val="20"/>
                <w:szCs w:val="20"/>
              </w:rPr>
              <w:t>HPL -Ship Channel Crossing*</w:t>
            </w:r>
          </w:p>
          <w:p>
            <w:pPr>
              <w:pStyle w:val="Normal"/>
              <w:rPr>
                <w:rFonts w:eastAsia="Arial Unicode MS;Tahoma"/>
                <w:sz w:val="20"/>
                <w:szCs w:val="20"/>
              </w:rPr>
            </w:pPr>
            <w:r>
              <w:rPr>
                <w:sz w:val="20"/>
                <w:szCs w:val="20"/>
              </w:rPr>
              <w:t> </w:t>
            </w:r>
          </w:p>
        </w:tc>
        <w:tc>
          <w:tcPr>
            <w:tcW w:w="9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47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36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50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6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82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r>
      <w:tr>
        <w:trPr>
          <w:trHeight w:val="270" w:hRule="atLeast"/>
        </w:trPr>
        <w:tc>
          <w:tcPr>
            <w:tcW w:w="1903" w:type="dxa"/>
            <w:tcBorders>
              <w:start w:val="single" w:sz="4" w:space="0" w:color="000000"/>
              <w:end w:val="single" w:sz="4" w:space="0" w:color="000000"/>
            </w:tcBorders>
            <w:shd w:fill="FFFF00" w:val="clear"/>
            <w:vAlign w:val="bottom"/>
          </w:tcPr>
          <w:p>
            <w:pPr>
              <w:pStyle w:val="Normal"/>
              <w:rPr>
                <w:rFonts w:eastAsia="Arial Unicode MS;Tahoma"/>
                <w:sz w:val="20"/>
                <w:szCs w:val="20"/>
              </w:rPr>
            </w:pPr>
            <w:r>
              <w:rPr>
                <w:sz w:val="20"/>
                <w:szCs w:val="20"/>
              </w:rPr>
              <w:t>C007512R</w:t>
            </w:r>
          </w:p>
        </w:tc>
        <w:tc>
          <w:tcPr>
            <w:tcW w:w="165" w:type="dxa"/>
            <w:tcBorders>
              <w:end w:val="single" w:sz="4" w:space="0" w:color="000000"/>
            </w:tcBorders>
            <w:vAlign w:val="bottom"/>
          </w:tcPr>
          <w:p>
            <w:pPr>
              <w:pStyle w:val="Normal"/>
              <w:rPr>
                <w:rFonts w:eastAsia="Arial Unicode MS;Tahoma"/>
                <w:sz w:val="20"/>
                <w:szCs w:val="20"/>
              </w:rPr>
            </w:pPr>
            <w:r>
              <w:rPr>
                <w:sz w:val="20"/>
                <w:szCs w:val="20"/>
              </w:rPr>
              <w:t> </w:t>
            </w:r>
          </w:p>
        </w:tc>
        <w:tc>
          <w:tcPr>
            <w:tcW w:w="3150" w:type="dxa"/>
            <w:tcBorders>
              <w:end w:val="single" w:sz="4" w:space="0" w:color="000000"/>
            </w:tcBorders>
            <w:shd w:fill="FFFF00" w:val="clear"/>
            <w:vAlign w:val="bottom"/>
          </w:tcPr>
          <w:p>
            <w:pPr>
              <w:pStyle w:val="Normal"/>
              <w:rPr>
                <w:rFonts w:eastAsia="Arial Unicode MS;Tahoma"/>
                <w:sz w:val="20"/>
                <w:szCs w:val="20"/>
              </w:rPr>
            </w:pPr>
            <w:r>
              <w:rPr>
                <w:sz w:val="20"/>
                <w:szCs w:val="20"/>
              </w:rPr>
              <w:t>Houston Ship Channel Removals</w:t>
            </w:r>
          </w:p>
        </w:tc>
        <w:tc>
          <w:tcPr>
            <w:tcW w:w="90" w:type="dxa"/>
            <w:tcBorders>
              <w:end w:val="single" w:sz="4" w:space="0" w:color="000000"/>
            </w:tcBorders>
            <w:vAlign w:val="bottom"/>
          </w:tcPr>
          <w:p>
            <w:pPr>
              <w:pStyle w:val="Normal"/>
              <w:rPr>
                <w:rFonts w:eastAsia="Arial Unicode MS;Tahoma"/>
                <w:sz w:val="20"/>
                <w:szCs w:val="20"/>
              </w:rPr>
            </w:pPr>
            <w:r>
              <w:rPr>
                <w:sz w:val="20"/>
                <w:szCs w:val="20"/>
              </w:rPr>
              <w:t> </w:t>
            </w:r>
          </w:p>
        </w:tc>
        <w:tc>
          <w:tcPr>
            <w:tcW w:w="1478" w:type="dxa"/>
            <w:tcBorders>
              <w:end w:val="single" w:sz="4" w:space="0" w:color="000000"/>
            </w:tcBorders>
            <w:vAlign w:val="bottom"/>
          </w:tcPr>
          <w:p>
            <w:pPr>
              <w:pStyle w:val="Normal"/>
              <w:rPr>
                <w:rFonts w:eastAsia="Arial Unicode MS;Tahoma"/>
                <w:sz w:val="20"/>
                <w:szCs w:val="20"/>
              </w:rPr>
            </w:pPr>
            <w:r>
              <w:rPr>
                <w:sz w:val="20"/>
                <w:szCs w:val="20"/>
              </w:rPr>
              <w:t xml:space="preserve"> </w:t>
            </w:r>
            <w:r>
              <w:rPr>
                <w:sz w:val="20"/>
                <w:szCs w:val="20"/>
              </w:rPr>
              <w:t xml:space="preserve">$  1,300,000 </w:t>
            </w:r>
          </w:p>
        </w:tc>
        <w:tc>
          <w:tcPr>
            <w:tcW w:w="360" w:type="dxa"/>
            <w:tcBorders>
              <w:end w:val="single" w:sz="4" w:space="0" w:color="000000"/>
            </w:tcBorders>
            <w:vAlign w:val="bottom"/>
          </w:tcPr>
          <w:p>
            <w:pPr>
              <w:pStyle w:val="Normal"/>
              <w:rPr>
                <w:rFonts w:eastAsia="Arial Unicode MS;Tahoma"/>
                <w:sz w:val="20"/>
                <w:szCs w:val="20"/>
              </w:rPr>
            </w:pPr>
            <w:r>
              <w:rPr>
                <w:sz w:val="20"/>
                <w:szCs w:val="20"/>
              </w:rPr>
              <w:t> </w:t>
            </w:r>
          </w:p>
        </w:tc>
        <w:tc>
          <w:tcPr>
            <w:tcW w:w="1508" w:type="dxa"/>
            <w:tcBorders>
              <w:end w:val="single" w:sz="4" w:space="0" w:color="000000"/>
            </w:tcBorders>
            <w:shd w:fill="FFFF00" w:val="clear"/>
            <w:vAlign w:val="bottom"/>
          </w:tcPr>
          <w:p>
            <w:pPr>
              <w:pStyle w:val="Normal"/>
              <w:rPr>
                <w:rFonts w:eastAsia="Arial Unicode MS;Tahoma"/>
                <w:sz w:val="20"/>
                <w:szCs w:val="20"/>
              </w:rPr>
            </w:pPr>
            <w:r>
              <w:rPr>
                <w:sz w:val="20"/>
                <w:szCs w:val="20"/>
              </w:rPr>
              <w:t xml:space="preserve"> </w:t>
            </w:r>
            <w:r>
              <w:rPr>
                <w:sz w:val="20"/>
                <w:szCs w:val="20"/>
              </w:rPr>
              <w:t xml:space="preserve">$         684,964 </w:t>
            </w:r>
          </w:p>
        </w:tc>
        <w:tc>
          <w:tcPr>
            <w:tcW w:w="164" w:type="dxa"/>
            <w:tcBorders>
              <w:end w:val="single" w:sz="4" w:space="0" w:color="000000"/>
            </w:tcBorders>
            <w:shd w:fill="FFFF00" w:val="clear"/>
            <w:vAlign w:val="bottom"/>
          </w:tcPr>
          <w:p>
            <w:pPr>
              <w:pStyle w:val="Normal"/>
              <w:rPr>
                <w:rFonts w:eastAsia="Arial Unicode MS;Tahoma"/>
                <w:sz w:val="20"/>
                <w:szCs w:val="20"/>
              </w:rPr>
            </w:pPr>
            <w:r>
              <w:rPr>
                <w:sz w:val="20"/>
                <w:szCs w:val="20"/>
              </w:rPr>
              <w:t> </w:t>
            </w:r>
          </w:p>
        </w:tc>
        <w:tc>
          <w:tcPr>
            <w:tcW w:w="1824" w:type="dxa"/>
            <w:tcBorders>
              <w:end w:val="single" w:sz="4" w:space="0" w:color="000000"/>
            </w:tcBorders>
            <w:shd w:fill="FFFF00" w:val="clear"/>
            <w:vAlign w:val="bottom"/>
          </w:tcPr>
          <w:p>
            <w:pPr>
              <w:pStyle w:val="Normal"/>
              <w:rPr>
                <w:rFonts w:eastAsia="Arial Unicode MS;Tahoma"/>
                <w:sz w:val="20"/>
                <w:szCs w:val="20"/>
              </w:rPr>
            </w:pPr>
            <w:r>
              <w:rPr>
                <w:sz w:val="20"/>
                <w:szCs w:val="20"/>
              </w:rPr>
              <w:t xml:space="preserve"> </w:t>
            </w:r>
            <w:r>
              <w:rPr>
                <w:sz w:val="20"/>
                <w:szCs w:val="20"/>
              </w:rPr>
              <w:t xml:space="preserve">$         615,036 </w:t>
            </w:r>
          </w:p>
        </w:tc>
      </w:tr>
      <w:tr>
        <w:trPr>
          <w:trHeight w:val="270" w:hRule="atLeast"/>
        </w:trPr>
        <w:tc>
          <w:tcPr>
            <w:tcW w:w="1903" w:type="dxa"/>
            <w:tcBorders>
              <w:top w:val="single" w:sz="8" w:space="0" w:color="000000"/>
              <w:start w:val="single" w:sz="8" w:space="0" w:color="000000"/>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Total</w:t>
            </w:r>
          </w:p>
        </w:tc>
        <w:tc>
          <w:tcPr>
            <w:tcW w:w="165" w:type="dxa"/>
            <w:tcBorders>
              <w:top w:val="single" w:sz="8" w:space="0" w:color="000000"/>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 </w:t>
            </w:r>
          </w:p>
        </w:tc>
        <w:tc>
          <w:tcPr>
            <w:tcW w:w="3150" w:type="dxa"/>
            <w:tcBorders>
              <w:top w:val="single" w:sz="8" w:space="0" w:color="000000"/>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 </w:t>
            </w:r>
          </w:p>
        </w:tc>
        <w:tc>
          <w:tcPr>
            <w:tcW w:w="90" w:type="dxa"/>
            <w:tcBorders>
              <w:top w:val="single" w:sz="8" w:space="0" w:color="000000"/>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 </w:t>
            </w:r>
          </w:p>
        </w:tc>
        <w:tc>
          <w:tcPr>
            <w:tcW w:w="1478" w:type="dxa"/>
            <w:tcBorders>
              <w:top w:val="single" w:sz="8" w:space="0" w:color="000000"/>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 xml:space="preserve"> </w:t>
            </w:r>
            <w:r>
              <w:rPr>
                <w:b/>
                <w:bCs/>
                <w:sz w:val="20"/>
                <w:szCs w:val="20"/>
              </w:rPr>
              <w:t xml:space="preserve">$  1,300,000 </w:t>
            </w:r>
          </w:p>
        </w:tc>
        <w:tc>
          <w:tcPr>
            <w:tcW w:w="360" w:type="dxa"/>
            <w:tcBorders>
              <w:top w:val="single" w:sz="8" w:space="0" w:color="000000"/>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 </w:t>
            </w:r>
          </w:p>
        </w:tc>
        <w:tc>
          <w:tcPr>
            <w:tcW w:w="1508" w:type="dxa"/>
            <w:tcBorders>
              <w:top w:val="single" w:sz="8" w:space="0" w:color="000000"/>
              <w:bottom w:val="single" w:sz="8" w:space="0" w:color="000000"/>
              <w:end w:val="single" w:sz="8" w:space="0" w:color="000000"/>
            </w:tcBorders>
            <w:shd w:fill="FFFF00" w:val="clear"/>
            <w:vAlign w:val="bottom"/>
          </w:tcPr>
          <w:p>
            <w:pPr>
              <w:pStyle w:val="Normal"/>
              <w:rPr>
                <w:rFonts w:eastAsia="Arial Unicode MS;Tahoma"/>
                <w:b/>
                <w:bCs/>
                <w:sz w:val="20"/>
                <w:szCs w:val="20"/>
              </w:rPr>
            </w:pPr>
            <w:r>
              <w:rPr>
                <w:b/>
                <w:bCs/>
                <w:sz w:val="20"/>
                <w:szCs w:val="20"/>
              </w:rPr>
              <w:t xml:space="preserve"> </w:t>
            </w:r>
            <w:r>
              <w:rPr>
                <w:b/>
                <w:bCs/>
                <w:sz w:val="20"/>
                <w:szCs w:val="20"/>
              </w:rPr>
              <w:t xml:space="preserve">$         684,964 </w:t>
            </w:r>
          </w:p>
        </w:tc>
        <w:tc>
          <w:tcPr>
            <w:tcW w:w="164" w:type="dxa"/>
            <w:tcBorders>
              <w:top w:val="single" w:sz="8" w:space="0" w:color="000000"/>
              <w:start w:val="single" w:sz="4" w:space="0" w:color="000000"/>
              <w:bottom w:val="single" w:sz="8" w:space="0" w:color="000000"/>
              <w:end w:val="single" w:sz="4" w:space="0" w:color="000000"/>
            </w:tcBorders>
            <w:shd w:fill="FFFF00" w:val="clear"/>
            <w:vAlign w:val="bottom"/>
          </w:tcPr>
          <w:p>
            <w:pPr>
              <w:pStyle w:val="Normal"/>
              <w:rPr>
                <w:rFonts w:eastAsia="Arial Unicode MS;Tahoma"/>
                <w:b/>
                <w:bCs/>
                <w:sz w:val="20"/>
                <w:szCs w:val="20"/>
              </w:rPr>
            </w:pPr>
            <w:r>
              <w:rPr>
                <w:b/>
                <w:bCs/>
                <w:sz w:val="20"/>
                <w:szCs w:val="20"/>
              </w:rPr>
              <w:t> </w:t>
            </w:r>
          </w:p>
        </w:tc>
        <w:tc>
          <w:tcPr>
            <w:tcW w:w="1824" w:type="dxa"/>
            <w:tcBorders>
              <w:top w:val="single" w:sz="8" w:space="0" w:color="000000"/>
              <w:bottom w:val="single" w:sz="8" w:space="0" w:color="000000"/>
              <w:end w:val="single" w:sz="8" w:space="0" w:color="000000"/>
            </w:tcBorders>
            <w:shd w:fill="FFFF00" w:val="clear"/>
            <w:vAlign w:val="bottom"/>
          </w:tcPr>
          <w:p>
            <w:pPr>
              <w:pStyle w:val="Normal"/>
              <w:rPr>
                <w:rFonts w:eastAsia="Arial Unicode MS;Tahoma"/>
                <w:b/>
                <w:bCs/>
                <w:sz w:val="20"/>
                <w:szCs w:val="20"/>
              </w:rPr>
            </w:pPr>
            <w:r>
              <w:rPr>
                <w:b/>
                <w:bCs/>
                <w:sz w:val="20"/>
                <w:szCs w:val="20"/>
              </w:rPr>
              <w:t xml:space="preserve"> </w:t>
            </w:r>
            <w:r>
              <w:rPr>
                <w:b/>
                <w:bCs/>
                <w:sz w:val="20"/>
                <w:szCs w:val="20"/>
              </w:rPr>
              <w:t xml:space="preserve">$         615,036 </w:t>
            </w:r>
          </w:p>
        </w:tc>
      </w:tr>
      <w:tr>
        <w:trPr>
          <w:trHeight w:val="255" w:hRule="atLeast"/>
        </w:trPr>
        <w:tc>
          <w:tcPr>
            <w:tcW w:w="1903" w:type="dxa"/>
            <w:tcBorders>
              <w:start w:val="single" w:sz="4" w:space="0" w:color="000000"/>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65"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315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9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47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36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50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6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82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r>
      <w:tr>
        <w:trPr>
          <w:trHeight w:val="255" w:hRule="atLeast"/>
        </w:trPr>
        <w:tc>
          <w:tcPr>
            <w:tcW w:w="5218" w:type="dxa"/>
            <w:gridSpan w:val="3"/>
            <w:tcBorders>
              <w:start w:val="single" w:sz="4" w:space="0" w:color="000000"/>
              <w:bottom w:val="single" w:sz="4" w:space="0" w:color="000000"/>
              <w:end w:val="single" w:sz="4" w:space="0" w:color="000000"/>
            </w:tcBorders>
            <w:vAlign w:val="bottom"/>
          </w:tcPr>
          <w:p>
            <w:pPr>
              <w:pStyle w:val="Normal"/>
              <w:rPr>
                <w:rFonts w:eastAsia="Arial Unicode MS;Tahoma"/>
                <w:b/>
                <w:bCs/>
                <w:sz w:val="20"/>
                <w:szCs w:val="20"/>
              </w:rPr>
            </w:pPr>
            <w:r>
              <w:rPr>
                <w:b/>
                <w:bCs/>
                <w:sz w:val="20"/>
                <w:szCs w:val="20"/>
              </w:rPr>
              <w:t>AS Line -Ship Channel Crossing*</w:t>
            </w:r>
          </w:p>
        </w:tc>
        <w:tc>
          <w:tcPr>
            <w:tcW w:w="9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47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36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50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6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82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r>
      <w:tr>
        <w:trPr>
          <w:trHeight w:val="270" w:hRule="atLeast"/>
        </w:trPr>
        <w:tc>
          <w:tcPr>
            <w:tcW w:w="1903" w:type="dxa"/>
            <w:tcBorders>
              <w:start w:val="single" w:sz="4" w:space="0" w:color="000000"/>
              <w:end w:val="single" w:sz="4" w:space="0" w:color="000000"/>
            </w:tcBorders>
            <w:vAlign w:val="bottom"/>
          </w:tcPr>
          <w:p>
            <w:pPr>
              <w:pStyle w:val="Normal"/>
              <w:rPr>
                <w:rFonts w:eastAsia="Arial Unicode MS;Tahoma"/>
                <w:sz w:val="20"/>
                <w:szCs w:val="20"/>
              </w:rPr>
            </w:pPr>
            <w:r>
              <w:rPr>
                <w:sz w:val="20"/>
                <w:szCs w:val="20"/>
              </w:rPr>
              <w:t>Not Assigned</w:t>
            </w:r>
          </w:p>
        </w:tc>
        <w:tc>
          <w:tcPr>
            <w:tcW w:w="165" w:type="dxa"/>
            <w:tcBorders>
              <w:end w:val="single" w:sz="4" w:space="0" w:color="000000"/>
            </w:tcBorders>
            <w:vAlign w:val="bottom"/>
          </w:tcPr>
          <w:p>
            <w:pPr>
              <w:pStyle w:val="Normal"/>
              <w:rPr>
                <w:rFonts w:eastAsia="Arial Unicode MS;Tahoma"/>
                <w:sz w:val="20"/>
                <w:szCs w:val="20"/>
              </w:rPr>
            </w:pPr>
            <w:r>
              <w:rPr>
                <w:sz w:val="20"/>
                <w:szCs w:val="20"/>
              </w:rPr>
              <w:t> </w:t>
            </w:r>
          </w:p>
        </w:tc>
        <w:tc>
          <w:tcPr>
            <w:tcW w:w="3150" w:type="dxa"/>
            <w:tcBorders>
              <w:end w:val="single" w:sz="4" w:space="0" w:color="000000"/>
            </w:tcBorders>
            <w:vAlign w:val="bottom"/>
          </w:tcPr>
          <w:p>
            <w:pPr>
              <w:pStyle w:val="Normal"/>
              <w:rPr>
                <w:rFonts w:eastAsia="Arial Unicode MS;Tahoma"/>
                <w:sz w:val="20"/>
                <w:szCs w:val="20"/>
              </w:rPr>
            </w:pPr>
            <w:r>
              <w:rPr>
                <w:sz w:val="20"/>
                <w:szCs w:val="20"/>
              </w:rPr>
              <w:t>AS Line Ship Channel Removals</w:t>
            </w:r>
          </w:p>
        </w:tc>
        <w:tc>
          <w:tcPr>
            <w:tcW w:w="90" w:type="dxa"/>
            <w:tcBorders>
              <w:end w:val="single" w:sz="4" w:space="0" w:color="000000"/>
            </w:tcBorders>
            <w:vAlign w:val="bottom"/>
          </w:tcPr>
          <w:p>
            <w:pPr>
              <w:pStyle w:val="Normal"/>
              <w:rPr>
                <w:rFonts w:eastAsia="Arial Unicode MS;Tahoma"/>
                <w:sz w:val="20"/>
                <w:szCs w:val="20"/>
              </w:rPr>
            </w:pPr>
            <w:r>
              <w:rPr>
                <w:sz w:val="20"/>
                <w:szCs w:val="20"/>
              </w:rPr>
              <w:t> </w:t>
            </w:r>
          </w:p>
        </w:tc>
        <w:tc>
          <w:tcPr>
            <w:tcW w:w="1478" w:type="dxa"/>
            <w:tcBorders>
              <w:end w:val="single" w:sz="4" w:space="0" w:color="000000"/>
            </w:tcBorders>
            <w:vAlign w:val="bottom"/>
          </w:tcPr>
          <w:p>
            <w:pPr>
              <w:pStyle w:val="Normal"/>
              <w:rPr>
                <w:rFonts w:eastAsia="Arial Unicode MS;Tahoma"/>
                <w:sz w:val="20"/>
                <w:szCs w:val="20"/>
              </w:rPr>
            </w:pPr>
            <w:r>
              <w:rPr>
                <w:sz w:val="20"/>
                <w:szCs w:val="20"/>
              </w:rPr>
              <w:t xml:space="preserve"> </w:t>
            </w:r>
            <w:r>
              <w:rPr>
                <w:sz w:val="20"/>
                <w:szCs w:val="20"/>
              </w:rPr>
              <w:t xml:space="preserve">$  1,645,010 </w:t>
            </w:r>
          </w:p>
        </w:tc>
        <w:tc>
          <w:tcPr>
            <w:tcW w:w="360" w:type="dxa"/>
            <w:tcBorders>
              <w:end w:val="single" w:sz="4" w:space="0" w:color="000000"/>
            </w:tcBorders>
            <w:vAlign w:val="bottom"/>
          </w:tcPr>
          <w:p>
            <w:pPr>
              <w:pStyle w:val="Normal"/>
              <w:rPr>
                <w:rFonts w:eastAsia="Arial Unicode MS;Tahoma"/>
                <w:sz w:val="20"/>
                <w:szCs w:val="20"/>
              </w:rPr>
            </w:pPr>
            <w:r>
              <w:rPr>
                <w:sz w:val="20"/>
                <w:szCs w:val="20"/>
              </w:rPr>
              <w:t> </w:t>
            </w:r>
          </w:p>
        </w:tc>
        <w:tc>
          <w:tcPr>
            <w:tcW w:w="1508" w:type="dxa"/>
            <w:tcBorders>
              <w:end w:val="single" w:sz="4" w:space="0" w:color="000000"/>
            </w:tcBorders>
            <w:vAlign w:val="bottom"/>
          </w:tcPr>
          <w:p>
            <w:pPr>
              <w:pStyle w:val="Normal"/>
              <w:rPr>
                <w:rFonts w:eastAsia="Arial Unicode MS;Tahoma"/>
                <w:sz w:val="20"/>
                <w:szCs w:val="20"/>
              </w:rPr>
            </w:pPr>
            <w:r>
              <w:rPr>
                <w:sz w:val="20"/>
                <w:szCs w:val="20"/>
              </w:rPr>
              <w:t xml:space="preserve"> </w:t>
            </w:r>
            <w:r>
              <w:rPr>
                <w:sz w:val="20"/>
                <w:szCs w:val="20"/>
              </w:rPr>
              <w:t xml:space="preserve">$                  -   </w:t>
            </w:r>
          </w:p>
        </w:tc>
        <w:tc>
          <w:tcPr>
            <w:tcW w:w="164" w:type="dxa"/>
            <w:tcBorders>
              <w:end w:val="single" w:sz="4" w:space="0" w:color="000000"/>
            </w:tcBorders>
            <w:vAlign w:val="bottom"/>
          </w:tcPr>
          <w:p>
            <w:pPr>
              <w:pStyle w:val="Normal"/>
              <w:rPr>
                <w:rFonts w:eastAsia="Arial Unicode MS;Tahoma"/>
                <w:sz w:val="20"/>
                <w:szCs w:val="20"/>
              </w:rPr>
            </w:pPr>
            <w:r>
              <w:rPr>
                <w:sz w:val="20"/>
                <w:szCs w:val="20"/>
              </w:rPr>
              <w:t> </w:t>
            </w:r>
          </w:p>
        </w:tc>
        <w:tc>
          <w:tcPr>
            <w:tcW w:w="1824" w:type="dxa"/>
            <w:tcBorders>
              <w:end w:val="single" w:sz="4" w:space="0" w:color="000000"/>
            </w:tcBorders>
            <w:vAlign w:val="bottom"/>
          </w:tcPr>
          <w:p>
            <w:pPr>
              <w:pStyle w:val="Normal"/>
              <w:rPr>
                <w:rFonts w:eastAsia="Arial Unicode MS;Tahoma"/>
                <w:sz w:val="20"/>
                <w:szCs w:val="20"/>
              </w:rPr>
            </w:pPr>
            <w:r>
              <w:rPr>
                <w:sz w:val="20"/>
                <w:szCs w:val="20"/>
              </w:rPr>
              <w:t xml:space="preserve"> </w:t>
            </w:r>
            <w:r>
              <w:rPr>
                <w:sz w:val="20"/>
                <w:szCs w:val="20"/>
              </w:rPr>
              <w:t xml:space="preserve">$       1,645,010 </w:t>
            </w:r>
          </w:p>
        </w:tc>
      </w:tr>
      <w:tr>
        <w:trPr>
          <w:trHeight w:val="270" w:hRule="atLeast"/>
        </w:trPr>
        <w:tc>
          <w:tcPr>
            <w:tcW w:w="1903" w:type="dxa"/>
            <w:tcBorders>
              <w:top w:val="single" w:sz="8" w:space="0" w:color="000000"/>
              <w:start w:val="single" w:sz="8" w:space="0" w:color="000000"/>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Total</w:t>
            </w:r>
          </w:p>
        </w:tc>
        <w:tc>
          <w:tcPr>
            <w:tcW w:w="165" w:type="dxa"/>
            <w:tcBorders>
              <w:top w:val="single" w:sz="8" w:space="0" w:color="000000"/>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 </w:t>
            </w:r>
          </w:p>
        </w:tc>
        <w:tc>
          <w:tcPr>
            <w:tcW w:w="3150" w:type="dxa"/>
            <w:tcBorders>
              <w:top w:val="single" w:sz="8" w:space="0" w:color="000000"/>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 </w:t>
            </w:r>
          </w:p>
        </w:tc>
        <w:tc>
          <w:tcPr>
            <w:tcW w:w="90" w:type="dxa"/>
            <w:tcBorders>
              <w:top w:val="single" w:sz="8" w:space="0" w:color="000000"/>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 </w:t>
            </w:r>
          </w:p>
        </w:tc>
        <w:tc>
          <w:tcPr>
            <w:tcW w:w="1478" w:type="dxa"/>
            <w:tcBorders>
              <w:top w:val="single" w:sz="8" w:space="0" w:color="000000"/>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 xml:space="preserve"> </w:t>
            </w:r>
            <w:r>
              <w:rPr>
                <w:b/>
                <w:bCs/>
                <w:sz w:val="20"/>
                <w:szCs w:val="20"/>
              </w:rPr>
              <w:t xml:space="preserve">$  1,645,010 </w:t>
            </w:r>
          </w:p>
        </w:tc>
        <w:tc>
          <w:tcPr>
            <w:tcW w:w="360" w:type="dxa"/>
            <w:tcBorders>
              <w:top w:val="single" w:sz="8" w:space="0" w:color="000000"/>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 </w:t>
            </w:r>
          </w:p>
        </w:tc>
        <w:tc>
          <w:tcPr>
            <w:tcW w:w="1508" w:type="dxa"/>
            <w:tcBorders>
              <w:top w:val="single" w:sz="8" w:space="0" w:color="000000"/>
              <w:bottom w:val="single" w:sz="8" w:space="0" w:color="000000"/>
              <w:end w:val="single" w:sz="8" w:space="0" w:color="000000"/>
            </w:tcBorders>
            <w:vAlign w:val="bottom"/>
          </w:tcPr>
          <w:p>
            <w:pPr>
              <w:pStyle w:val="Normal"/>
              <w:rPr>
                <w:rFonts w:eastAsia="Arial Unicode MS;Tahoma"/>
                <w:b/>
                <w:bCs/>
                <w:sz w:val="20"/>
                <w:szCs w:val="20"/>
              </w:rPr>
            </w:pPr>
            <w:r>
              <w:rPr>
                <w:b/>
                <w:bCs/>
                <w:sz w:val="20"/>
                <w:szCs w:val="20"/>
              </w:rPr>
              <w:t xml:space="preserve"> </w:t>
            </w:r>
            <w:r>
              <w:rPr>
                <w:b/>
                <w:bCs/>
                <w:sz w:val="20"/>
                <w:szCs w:val="20"/>
              </w:rPr>
              <w:t xml:space="preserve">$                  -   </w:t>
            </w:r>
          </w:p>
        </w:tc>
        <w:tc>
          <w:tcPr>
            <w:tcW w:w="164" w:type="dxa"/>
            <w:tcBorders>
              <w:top w:val="single" w:sz="8" w:space="0" w:color="000000"/>
              <w:start w:val="single" w:sz="4" w:space="0" w:color="000000"/>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 </w:t>
            </w:r>
          </w:p>
        </w:tc>
        <w:tc>
          <w:tcPr>
            <w:tcW w:w="1824" w:type="dxa"/>
            <w:tcBorders>
              <w:top w:val="single" w:sz="8" w:space="0" w:color="000000"/>
              <w:bottom w:val="single" w:sz="8" w:space="0" w:color="000000"/>
              <w:end w:val="single" w:sz="8" w:space="0" w:color="000000"/>
            </w:tcBorders>
            <w:vAlign w:val="bottom"/>
          </w:tcPr>
          <w:p>
            <w:pPr>
              <w:pStyle w:val="Normal"/>
              <w:rPr>
                <w:rFonts w:eastAsia="Arial Unicode MS;Tahoma"/>
                <w:b/>
                <w:bCs/>
                <w:sz w:val="20"/>
                <w:szCs w:val="20"/>
              </w:rPr>
            </w:pPr>
            <w:r>
              <w:rPr>
                <w:b/>
                <w:bCs/>
                <w:sz w:val="20"/>
                <w:szCs w:val="20"/>
              </w:rPr>
              <w:t xml:space="preserve"> </w:t>
            </w:r>
            <w:r>
              <w:rPr>
                <w:b/>
                <w:bCs/>
                <w:sz w:val="20"/>
                <w:szCs w:val="20"/>
              </w:rPr>
              <w:t xml:space="preserve">$       1,645,010 </w:t>
            </w:r>
          </w:p>
        </w:tc>
      </w:tr>
      <w:tr>
        <w:trPr>
          <w:trHeight w:val="255" w:hRule="atLeast"/>
        </w:trPr>
        <w:tc>
          <w:tcPr>
            <w:tcW w:w="1903" w:type="dxa"/>
            <w:tcBorders>
              <w:start w:val="single" w:sz="4" w:space="0" w:color="000000"/>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65"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315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9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47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36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50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6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82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r>
      <w:tr>
        <w:trPr>
          <w:trHeight w:val="255" w:hRule="atLeast"/>
        </w:trPr>
        <w:tc>
          <w:tcPr>
            <w:tcW w:w="1903" w:type="dxa"/>
            <w:tcBorders>
              <w:start w:val="single" w:sz="4" w:space="0" w:color="000000"/>
              <w:bottom w:val="single" w:sz="4" w:space="0" w:color="000000"/>
              <w:end w:val="single" w:sz="4" w:space="0" w:color="000000"/>
            </w:tcBorders>
            <w:vAlign w:val="bottom"/>
          </w:tcPr>
          <w:p>
            <w:pPr>
              <w:pStyle w:val="Normal"/>
              <w:rPr>
                <w:rFonts w:eastAsia="Arial Unicode MS;Tahoma"/>
                <w:b/>
                <w:bCs/>
                <w:sz w:val="20"/>
                <w:szCs w:val="20"/>
              </w:rPr>
            </w:pPr>
            <w:r>
              <w:rPr>
                <w:b/>
                <w:bCs/>
                <w:sz w:val="20"/>
                <w:szCs w:val="20"/>
              </w:rPr>
              <w:t xml:space="preserve">A/S Line </w:t>
            </w:r>
          </w:p>
        </w:tc>
        <w:tc>
          <w:tcPr>
            <w:tcW w:w="165"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315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9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47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36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50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6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82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r>
      <w:tr>
        <w:trPr>
          <w:trHeight w:val="255" w:hRule="atLeast"/>
        </w:trPr>
        <w:tc>
          <w:tcPr>
            <w:tcW w:w="1903" w:type="dxa"/>
            <w:tcBorders>
              <w:start w:val="single" w:sz="4" w:space="0" w:color="000000"/>
              <w:bottom w:val="single" w:sz="4" w:space="0" w:color="000000"/>
              <w:end w:val="single" w:sz="4" w:space="0" w:color="000000"/>
            </w:tcBorders>
            <w:shd w:fill="FFFF00" w:val="clear"/>
            <w:vAlign w:val="bottom"/>
          </w:tcPr>
          <w:p>
            <w:pPr>
              <w:pStyle w:val="Normal"/>
              <w:rPr>
                <w:rFonts w:eastAsia="Arial Unicode MS;Tahoma"/>
                <w:sz w:val="20"/>
                <w:szCs w:val="20"/>
              </w:rPr>
            </w:pPr>
            <w:r>
              <w:rPr>
                <w:sz w:val="20"/>
                <w:szCs w:val="20"/>
              </w:rPr>
              <w:t>C007552I</w:t>
            </w:r>
          </w:p>
        </w:tc>
        <w:tc>
          <w:tcPr>
            <w:tcW w:w="165"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3150" w:type="dxa"/>
            <w:tcBorders>
              <w:bottom w:val="single" w:sz="4" w:space="0" w:color="000000"/>
              <w:end w:val="single" w:sz="4" w:space="0" w:color="000000"/>
            </w:tcBorders>
            <w:shd w:fill="FFFF00" w:val="clear"/>
            <w:vAlign w:val="bottom"/>
          </w:tcPr>
          <w:p>
            <w:pPr>
              <w:pStyle w:val="Normal"/>
              <w:rPr>
                <w:rFonts w:eastAsia="Arial Unicode MS;Tahoma"/>
                <w:sz w:val="20"/>
                <w:szCs w:val="20"/>
              </w:rPr>
            </w:pPr>
            <w:r>
              <w:rPr>
                <w:sz w:val="20"/>
                <w:szCs w:val="20"/>
              </w:rPr>
              <w:t>A/S Line 30" Pipeline Replacement***</w:t>
            </w:r>
          </w:p>
        </w:tc>
        <w:tc>
          <w:tcPr>
            <w:tcW w:w="9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478" w:type="dxa"/>
            <w:tcBorders>
              <w:bottom w:val="single" w:sz="4" w:space="0" w:color="000000"/>
              <w:end w:val="single" w:sz="4" w:space="0" w:color="000000"/>
            </w:tcBorders>
            <w:shd w:fill="FFFF00" w:val="clear"/>
            <w:vAlign w:val="bottom"/>
          </w:tcPr>
          <w:p>
            <w:pPr>
              <w:pStyle w:val="Normal"/>
              <w:rPr>
                <w:rFonts w:eastAsia="Arial Unicode MS;Tahoma"/>
                <w:sz w:val="20"/>
                <w:szCs w:val="20"/>
              </w:rPr>
            </w:pPr>
            <w:r>
              <w:rPr>
                <w:sz w:val="20"/>
                <w:szCs w:val="20"/>
              </w:rPr>
              <w:t xml:space="preserve"> </w:t>
            </w:r>
            <w:r>
              <w:rPr>
                <w:sz w:val="20"/>
                <w:szCs w:val="20"/>
              </w:rPr>
              <w:t xml:space="preserve">$     444,125 </w:t>
            </w:r>
          </w:p>
        </w:tc>
        <w:tc>
          <w:tcPr>
            <w:tcW w:w="36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50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xml:space="preserve"> </w:t>
            </w:r>
            <w:r>
              <w:rPr>
                <w:sz w:val="20"/>
                <w:szCs w:val="20"/>
              </w:rPr>
              <w:t xml:space="preserve">$                  -   </w:t>
            </w:r>
          </w:p>
        </w:tc>
        <w:tc>
          <w:tcPr>
            <w:tcW w:w="16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824" w:type="dxa"/>
            <w:tcBorders>
              <w:bottom w:val="single" w:sz="4" w:space="0" w:color="000000"/>
              <w:end w:val="single" w:sz="4" w:space="0" w:color="000000"/>
            </w:tcBorders>
            <w:shd w:fill="FFFF00" w:val="clear"/>
            <w:vAlign w:val="bottom"/>
          </w:tcPr>
          <w:p>
            <w:pPr>
              <w:pStyle w:val="Normal"/>
              <w:rPr>
                <w:rFonts w:eastAsia="Arial Unicode MS;Tahoma"/>
                <w:sz w:val="20"/>
                <w:szCs w:val="20"/>
              </w:rPr>
            </w:pPr>
            <w:r>
              <w:rPr>
                <w:sz w:val="20"/>
                <w:szCs w:val="20"/>
              </w:rPr>
              <w:t xml:space="preserve"> </w:t>
            </w:r>
            <w:r>
              <w:rPr>
                <w:sz w:val="20"/>
                <w:szCs w:val="20"/>
              </w:rPr>
              <w:t xml:space="preserve">$         444,125 </w:t>
            </w:r>
          </w:p>
        </w:tc>
      </w:tr>
      <w:tr>
        <w:trPr>
          <w:trHeight w:val="255" w:hRule="atLeast"/>
        </w:trPr>
        <w:tc>
          <w:tcPr>
            <w:tcW w:w="1903" w:type="dxa"/>
            <w:tcBorders>
              <w:start w:val="single" w:sz="4" w:space="0" w:color="000000"/>
              <w:bottom w:val="single" w:sz="4" w:space="0" w:color="000000"/>
              <w:end w:val="single" w:sz="4" w:space="0" w:color="000000"/>
            </w:tcBorders>
            <w:shd w:fill="FFFF00" w:val="clear"/>
            <w:vAlign w:val="bottom"/>
          </w:tcPr>
          <w:p>
            <w:pPr>
              <w:pStyle w:val="Normal"/>
              <w:rPr>
                <w:rFonts w:eastAsia="Arial Unicode MS;Tahoma"/>
                <w:sz w:val="20"/>
                <w:szCs w:val="20"/>
              </w:rPr>
            </w:pPr>
            <w:r>
              <w:rPr>
                <w:sz w:val="20"/>
                <w:szCs w:val="20"/>
              </w:rPr>
              <w:t>C007521I</w:t>
            </w:r>
          </w:p>
        </w:tc>
        <w:tc>
          <w:tcPr>
            <w:tcW w:w="165"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3150" w:type="dxa"/>
            <w:tcBorders>
              <w:bottom w:val="single" w:sz="4" w:space="0" w:color="000000"/>
              <w:end w:val="single" w:sz="4" w:space="0" w:color="000000"/>
            </w:tcBorders>
            <w:shd w:fill="FFFF00" w:val="clear"/>
            <w:vAlign w:val="bottom"/>
          </w:tcPr>
          <w:p>
            <w:pPr>
              <w:pStyle w:val="Normal"/>
              <w:rPr>
                <w:rFonts w:eastAsia="Arial Unicode MS;Tahoma"/>
                <w:sz w:val="20"/>
                <w:szCs w:val="20"/>
              </w:rPr>
            </w:pPr>
            <w:r>
              <w:rPr>
                <w:sz w:val="20"/>
                <w:szCs w:val="20"/>
              </w:rPr>
              <w:t>A/S Line Pig Traps &amp; valves****</w:t>
            </w:r>
          </w:p>
        </w:tc>
        <w:tc>
          <w:tcPr>
            <w:tcW w:w="9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478" w:type="dxa"/>
            <w:tcBorders>
              <w:bottom w:val="single" w:sz="4" w:space="0" w:color="000000"/>
              <w:end w:val="single" w:sz="4" w:space="0" w:color="000000"/>
            </w:tcBorders>
            <w:shd w:fill="FFFF00" w:val="clear"/>
            <w:vAlign w:val="bottom"/>
          </w:tcPr>
          <w:p>
            <w:pPr>
              <w:pStyle w:val="Normal"/>
              <w:rPr>
                <w:rFonts w:eastAsia="Arial Unicode MS;Tahoma"/>
                <w:sz w:val="20"/>
                <w:szCs w:val="20"/>
              </w:rPr>
            </w:pPr>
            <w:r>
              <w:rPr>
                <w:sz w:val="20"/>
                <w:szCs w:val="20"/>
              </w:rPr>
              <w:t xml:space="preserve"> </w:t>
            </w:r>
            <w:r>
              <w:rPr>
                <w:sz w:val="20"/>
                <w:szCs w:val="20"/>
              </w:rPr>
              <w:t xml:space="preserve">$  1,378,301 </w:t>
            </w:r>
          </w:p>
        </w:tc>
        <w:tc>
          <w:tcPr>
            <w:tcW w:w="360"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508"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xml:space="preserve"> </w:t>
            </w:r>
            <w:r>
              <w:rPr>
                <w:sz w:val="20"/>
                <w:szCs w:val="20"/>
              </w:rPr>
              <w:t xml:space="preserve">$                  -   </w:t>
            </w:r>
          </w:p>
        </w:tc>
        <w:tc>
          <w:tcPr>
            <w:tcW w:w="164" w:type="dxa"/>
            <w:tcBorders>
              <w:bottom w:val="single" w:sz="4" w:space="0" w:color="000000"/>
              <w:end w:val="single" w:sz="4" w:space="0" w:color="000000"/>
            </w:tcBorders>
            <w:vAlign w:val="bottom"/>
          </w:tcPr>
          <w:p>
            <w:pPr>
              <w:pStyle w:val="Normal"/>
              <w:rPr>
                <w:rFonts w:eastAsia="Arial Unicode MS;Tahoma"/>
                <w:sz w:val="20"/>
                <w:szCs w:val="20"/>
              </w:rPr>
            </w:pPr>
            <w:r>
              <w:rPr>
                <w:sz w:val="20"/>
                <w:szCs w:val="20"/>
              </w:rPr>
              <w:t> </w:t>
            </w:r>
          </w:p>
        </w:tc>
        <w:tc>
          <w:tcPr>
            <w:tcW w:w="1824" w:type="dxa"/>
            <w:tcBorders>
              <w:bottom w:val="single" w:sz="4" w:space="0" w:color="000000"/>
              <w:end w:val="single" w:sz="4" w:space="0" w:color="000000"/>
            </w:tcBorders>
            <w:shd w:fill="FFFF00" w:val="clear"/>
            <w:vAlign w:val="bottom"/>
          </w:tcPr>
          <w:p>
            <w:pPr>
              <w:pStyle w:val="Normal"/>
              <w:rPr>
                <w:rFonts w:eastAsia="Arial Unicode MS;Tahoma"/>
                <w:sz w:val="20"/>
                <w:szCs w:val="20"/>
              </w:rPr>
            </w:pPr>
            <w:r>
              <w:rPr>
                <w:sz w:val="20"/>
                <w:szCs w:val="20"/>
              </w:rPr>
              <w:t xml:space="preserve"> </w:t>
            </w:r>
            <w:r>
              <w:rPr>
                <w:sz w:val="20"/>
                <w:szCs w:val="20"/>
              </w:rPr>
              <w:t xml:space="preserve">$       1,378,301 </w:t>
            </w:r>
          </w:p>
        </w:tc>
      </w:tr>
      <w:tr>
        <w:trPr>
          <w:trHeight w:val="270" w:hRule="atLeast"/>
        </w:trPr>
        <w:tc>
          <w:tcPr>
            <w:tcW w:w="1903" w:type="dxa"/>
            <w:tcBorders>
              <w:start w:val="single" w:sz="4" w:space="0" w:color="000000"/>
              <w:end w:val="single" w:sz="4" w:space="0" w:color="000000"/>
            </w:tcBorders>
            <w:shd w:fill="FFFF00" w:val="clear"/>
            <w:vAlign w:val="bottom"/>
          </w:tcPr>
          <w:p>
            <w:pPr>
              <w:pStyle w:val="Normal"/>
              <w:rPr>
                <w:rFonts w:eastAsia="Arial Unicode MS;Tahoma"/>
                <w:sz w:val="20"/>
                <w:szCs w:val="20"/>
              </w:rPr>
            </w:pPr>
            <w:r>
              <w:rPr>
                <w:sz w:val="20"/>
                <w:szCs w:val="20"/>
              </w:rPr>
              <w:t>C007780I</w:t>
            </w:r>
          </w:p>
        </w:tc>
        <w:tc>
          <w:tcPr>
            <w:tcW w:w="165" w:type="dxa"/>
            <w:tcBorders>
              <w:end w:val="single" w:sz="4" w:space="0" w:color="000000"/>
            </w:tcBorders>
            <w:vAlign w:val="bottom"/>
          </w:tcPr>
          <w:p>
            <w:pPr>
              <w:pStyle w:val="Normal"/>
              <w:rPr>
                <w:rFonts w:eastAsia="Arial Unicode MS;Tahoma"/>
                <w:sz w:val="20"/>
                <w:szCs w:val="20"/>
              </w:rPr>
            </w:pPr>
            <w:r>
              <w:rPr>
                <w:sz w:val="20"/>
                <w:szCs w:val="20"/>
              </w:rPr>
              <w:t> </w:t>
            </w:r>
          </w:p>
        </w:tc>
        <w:tc>
          <w:tcPr>
            <w:tcW w:w="3150" w:type="dxa"/>
            <w:tcBorders>
              <w:end w:val="single" w:sz="4" w:space="0" w:color="000000"/>
            </w:tcBorders>
            <w:shd w:fill="FFFF00" w:val="clear"/>
            <w:vAlign w:val="bottom"/>
          </w:tcPr>
          <w:p>
            <w:pPr>
              <w:pStyle w:val="Normal"/>
              <w:rPr>
                <w:rFonts w:eastAsia="Arial Unicode MS;Tahoma"/>
                <w:sz w:val="20"/>
                <w:szCs w:val="20"/>
              </w:rPr>
            </w:pPr>
            <w:r>
              <w:rPr>
                <w:sz w:val="20"/>
                <w:szCs w:val="20"/>
              </w:rPr>
              <w:t>Repair A/S 816 to Lomax****</w:t>
            </w:r>
          </w:p>
        </w:tc>
        <w:tc>
          <w:tcPr>
            <w:tcW w:w="90" w:type="dxa"/>
            <w:tcBorders>
              <w:end w:val="single" w:sz="4" w:space="0" w:color="000000"/>
            </w:tcBorders>
            <w:vAlign w:val="bottom"/>
          </w:tcPr>
          <w:p>
            <w:pPr>
              <w:pStyle w:val="Normal"/>
              <w:rPr>
                <w:rFonts w:eastAsia="Arial Unicode MS;Tahoma"/>
                <w:sz w:val="20"/>
                <w:szCs w:val="20"/>
              </w:rPr>
            </w:pPr>
            <w:r>
              <w:rPr>
                <w:sz w:val="20"/>
                <w:szCs w:val="20"/>
              </w:rPr>
              <w:t> </w:t>
            </w:r>
          </w:p>
        </w:tc>
        <w:tc>
          <w:tcPr>
            <w:tcW w:w="1478" w:type="dxa"/>
            <w:tcBorders>
              <w:end w:val="single" w:sz="4" w:space="0" w:color="000000"/>
            </w:tcBorders>
            <w:shd w:fill="FFFF00" w:val="clear"/>
            <w:vAlign w:val="bottom"/>
          </w:tcPr>
          <w:p>
            <w:pPr>
              <w:pStyle w:val="Normal"/>
              <w:rPr>
                <w:rFonts w:eastAsia="Arial Unicode MS;Tahoma"/>
                <w:sz w:val="20"/>
                <w:szCs w:val="20"/>
              </w:rPr>
            </w:pPr>
            <w:r>
              <w:rPr>
                <w:sz w:val="20"/>
                <w:szCs w:val="20"/>
              </w:rPr>
              <w:t xml:space="preserve"> </w:t>
            </w:r>
            <w:r>
              <w:rPr>
                <w:sz w:val="20"/>
                <w:szCs w:val="20"/>
              </w:rPr>
              <w:t xml:space="preserve">$     675,000 </w:t>
            </w:r>
          </w:p>
        </w:tc>
        <w:tc>
          <w:tcPr>
            <w:tcW w:w="360" w:type="dxa"/>
            <w:tcBorders>
              <w:end w:val="single" w:sz="4" w:space="0" w:color="000000"/>
            </w:tcBorders>
            <w:vAlign w:val="bottom"/>
          </w:tcPr>
          <w:p>
            <w:pPr>
              <w:pStyle w:val="Normal"/>
              <w:rPr>
                <w:rFonts w:eastAsia="Arial Unicode MS;Tahoma"/>
                <w:sz w:val="20"/>
                <w:szCs w:val="20"/>
              </w:rPr>
            </w:pPr>
            <w:r>
              <w:rPr>
                <w:sz w:val="20"/>
                <w:szCs w:val="20"/>
              </w:rPr>
              <w:t> </w:t>
            </w:r>
          </w:p>
        </w:tc>
        <w:tc>
          <w:tcPr>
            <w:tcW w:w="1508" w:type="dxa"/>
            <w:tcBorders>
              <w:end w:val="single" w:sz="4" w:space="0" w:color="000000"/>
            </w:tcBorders>
            <w:vAlign w:val="bottom"/>
          </w:tcPr>
          <w:p>
            <w:pPr>
              <w:pStyle w:val="Normal"/>
              <w:rPr>
                <w:rFonts w:eastAsia="Arial Unicode MS;Tahoma"/>
                <w:sz w:val="20"/>
                <w:szCs w:val="20"/>
              </w:rPr>
            </w:pPr>
            <w:r>
              <w:rPr>
                <w:sz w:val="20"/>
                <w:szCs w:val="20"/>
              </w:rPr>
              <w:t xml:space="preserve"> </w:t>
            </w:r>
            <w:r>
              <w:rPr>
                <w:sz w:val="20"/>
                <w:szCs w:val="20"/>
              </w:rPr>
              <w:t xml:space="preserve">$                  -   </w:t>
            </w:r>
          </w:p>
        </w:tc>
        <w:tc>
          <w:tcPr>
            <w:tcW w:w="164" w:type="dxa"/>
            <w:tcBorders>
              <w:end w:val="single" w:sz="4" w:space="0" w:color="000000"/>
            </w:tcBorders>
            <w:vAlign w:val="bottom"/>
          </w:tcPr>
          <w:p>
            <w:pPr>
              <w:pStyle w:val="Normal"/>
              <w:rPr>
                <w:rFonts w:eastAsia="Arial Unicode MS;Tahoma"/>
                <w:sz w:val="20"/>
                <w:szCs w:val="20"/>
              </w:rPr>
            </w:pPr>
            <w:r>
              <w:rPr>
                <w:sz w:val="20"/>
                <w:szCs w:val="20"/>
              </w:rPr>
              <w:t> </w:t>
            </w:r>
          </w:p>
        </w:tc>
        <w:tc>
          <w:tcPr>
            <w:tcW w:w="1824" w:type="dxa"/>
            <w:tcBorders>
              <w:end w:val="single" w:sz="4" w:space="0" w:color="000000"/>
            </w:tcBorders>
            <w:shd w:fill="FFFF00" w:val="clear"/>
            <w:vAlign w:val="bottom"/>
          </w:tcPr>
          <w:p>
            <w:pPr>
              <w:pStyle w:val="Normal"/>
              <w:rPr>
                <w:rFonts w:eastAsia="Arial Unicode MS;Tahoma"/>
                <w:sz w:val="20"/>
                <w:szCs w:val="20"/>
              </w:rPr>
            </w:pPr>
            <w:r>
              <w:rPr>
                <w:sz w:val="20"/>
                <w:szCs w:val="20"/>
              </w:rPr>
              <w:t xml:space="preserve"> </w:t>
            </w:r>
            <w:r>
              <w:rPr>
                <w:sz w:val="20"/>
                <w:szCs w:val="20"/>
              </w:rPr>
              <w:t xml:space="preserve">$         675,000 </w:t>
            </w:r>
          </w:p>
        </w:tc>
      </w:tr>
      <w:tr>
        <w:trPr>
          <w:trHeight w:val="270" w:hRule="atLeast"/>
        </w:trPr>
        <w:tc>
          <w:tcPr>
            <w:tcW w:w="1903" w:type="dxa"/>
            <w:tcBorders>
              <w:top w:val="single" w:sz="8" w:space="0" w:color="000000"/>
              <w:start w:val="single" w:sz="8" w:space="0" w:color="000000"/>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Total</w:t>
            </w:r>
          </w:p>
        </w:tc>
        <w:tc>
          <w:tcPr>
            <w:tcW w:w="165" w:type="dxa"/>
            <w:tcBorders>
              <w:top w:val="single" w:sz="8" w:space="0" w:color="000000"/>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 </w:t>
            </w:r>
          </w:p>
        </w:tc>
        <w:tc>
          <w:tcPr>
            <w:tcW w:w="3150" w:type="dxa"/>
            <w:tcBorders>
              <w:top w:val="single" w:sz="8" w:space="0" w:color="000000"/>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 </w:t>
            </w:r>
          </w:p>
        </w:tc>
        <w:tc>
          <w:tcPr>
            <w:tcW w:w="90" w:type="dxa"/>
            <w:tcBorders>
              <w:top w:val="single" w:sz="8" w:space="0" w:color="000000"/>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 </w:t>
            </w:r>
          </w:p>
        </w:tc>
        <w:tc>
          <w:tcPr>
            <w:tcW w:w="1478" w:type="dxa"/>
            <w:tcBorders>
              <w:top w:val="single" w:sz="8" w:space="0" w:color="000000"/>
              <w:bottom w:val="single" w:sz="8" w:space="0" w:color="000000"/>
              <w:end w:val="single" w:sz="4" w:space="0" w:color="000000"/>
            </w:tcBorders>
            <w:shd w:fill="FFFF00" w:val="clear"/>
            <w:vAlign w:val="bottom"/>
          </w:tcPr>
          <w:p>
            <w:pPr>
              <w:pStyle w:val="Normal"/>
              <w:rPr>
                <w:rFonts w:eastAsia="Arial Unicode MS;Tahoma"/>
                <w:b/>
                <w:bCs/>
                <w:sz w:val="20"/>
                <w:szCs w:val="20"/>
              </w:rPr>
            </w:pPr>
            <w:r>
              <w:rPr>
                <w:b/>
                <w:bCs/>
                <w:sz w:val="20"/>
                <w:szCs w:val="20"/>
              </w:rPr>
              <w:t xml:space="preserve"> </w:t>
            </w:r>
            <w:r>
              <w:rPr>
                <w:b/>
                <w:bCs/>
                <w:sz w:val="20"/>
                <w:szCs w:val="20"/>
              </w:rPr>
              <w:t xml:space="preserve">$  2,497,426 </w:t>
            </w:r>
          </w:p>
        </w:tc>
        <w:tc>
          <w:tcPr>
            <w:tcW w:w="360" w:type="dxa"/>
            <w:tcBorders>
              <w:top w:val="single" w:sz="8" w:space="0" w:color="000000"/>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 </w:t>
            </w:r>
          </w:p>
        </w:tc>
        <w:tc>
          <w:tcPr>
            <w:tcW w:w="1508" w:type="dxa"/>
            <w:tcBorders>
              <w:top w:val="single" w:sz="8" w:space="0" w:color="000000"/>
              <w:bottom w:val="single" w:sz="8" w:space="0" w:color="000000"/>
              <w:end w:val="single" w:sz="8" w:space="0" w:color="000000"/>
            </w:tcBorders>
            <w:vAlign w:val="bottom"/>
          </w:tcPr>
          <w:p>
            <w:pPr>
              <w:pStyle w:val="Normal"/>
              <w:rPr>
                <w:rFonts w:eastAsia="Arial Unicode MS;Tahoma"/>
                <w:b/>
                <w:bCs/>
                <w:sz w:val="20"/>
                <w:szCs w:val="20"/>
              </w:rPr>
            </w:pPr>
            <w:r>
              <w:rPr>
                <w:b/>
                <w:bCs/>
                <w:sz w:val="20"/>
                <w:szCs w:val="20"/>
              </w:rPr>
              <w:t xml:space="preserve"> </w:t>
            </w:r>
            <w:r>
              <w:rPr>
                <w:b/>
                <w:bCs/>
                <w:sz w:val="20"/>
                <w:szCs w:val="20"/>
              </w:rPr>
              <w:t xml:space="preserve">$                  -   </w:t>
            </w:r>
          </w:p>
        </w:tc>
        <w:tc>
          <w:tcPr>
            <w:tcW w:w="164" w:type="dxa"/>
            <w:tcBorders>
              <w:top w:val="single" w:sz="8" w:space="0" w:color="000000"/>
              <w:start w:val="single" w:sz="4" w:space="0" w:color="000000"/>
              <w:bottom w:val="single" w:sz="8" w:space="0" w:color="000000"/>
              <w:end w:val="single" w:sz="4" w:space="0" w:color="000000"/>
            </w:tcBorders>
            <w:vAlign w:val="bottom"/>
          </w:tcPr>
          <w:p>
            <w:pPr>
              <w:pStyle w:val="Normal"/>
              <w:rPr>
                <w:rFonts w:eastAsia="Arial Unicode MS;Tahoma"/>
                <w:b/>
                <w:bCs/>
                <w:sz w:val="20"/>
                <w:szCs w:val="20"/>
              </w:rPr>
            </w:pPr>
            <w:r>
              <w:rPr>
                <w:b/>
                <w:bCs/>
                <w:sz w:val="20"/>
                <w:szCs w:val="20"/>
              </w:rPr>
              <w:t> </w:t>
            </w:r>
          </w:p>
        </w:tc>
        <w:tc>
          <w:tcPr>
            <w:tcW w:w="1824" w:type="dxa"/>
            <w:tcBorders>
              <w:top w:val="single" w:sz="8" w:space="0" w:color="000000"/>
              <w:bottom w:val="single" w:sz="8" w:space="0" w:color="000000"/>
              <w:end w:val="single" w:sz="8" w:space="0" w:color="000000"/>
            </w:tcBorders>
            <w:shd w:fill="FFFF00" w:val="clear"/>
            <w:vAlign w:val="bottom"/>
          </w:tcPr>
          <w:p>
            <w:pPr>
              <w:pStyle w:val="Normal"/>
              <w:rPr>
                <w:rFonts w:eastAsia="Arial Unicode MS;Tahoma"/>
                <w:b/>
                <w:bCs/>
                <w:sz w:val="20"/>
                <w:szCs w:val="20"/>
              </w:rPr>
            </w:pPr>
            <w:r>
              <w:rPr>
                <w:b/>
                <w:bCs/>
                <w:sz w:val="20"/>
                <w:szCs w:val="20"/>
              </w:rPr>
              <w:t xml:space="preserve"> </w:t>
            </w:r>
            <w:r>
              <w:rPr>
                <w:b/>
                <w:bCs/>
                <w:sz w:val="20"/>
                <w:szCs w:val="20"/>
              </w:rPr>
              <w:t xml:space="preserve">$       2,497,426 </w:t>
            </w:r>
          </w:p>
        </w:tc>
      </w:tr>
    </w:tbl>
    <w:p>
      <w:pPr>
        <w:pStyle w:val="Header"/>
        <w:tabs>
          <w:tab w:val="clear" w:pos="4680"/>
          <w:tab w:val="clear" w:pos="9360"/>
        </w:tabs>
        <w:ind w:hanging="432" w:start="432" w:end="0"/>
        <w:rPr/>
      </w:pPr>
      <w:r>
        <w:rPr/>
      </w:r>
    </w:p>
    <w:p>
      <w:pPr>
        <w:pStyle w:val="Header"/>
        <w:ind w:hanging="432" w:start="432" w:end="0"/>
        <w:rPr/>
      </w:pPr>
      <w:r>
        <w:rPr/>
        <w:t>*</w:t>
        <w:tab/>
        <w:t xml:space="preserve">Note:  Reflects cost of removing, but not replacing the Ship Channel Crossing.  Decision to replace will be at option of new owner.  </w:t>
        <w:tab/>
        <w:tab/>
        <w:tab/>
        <w:tab/>
        <w:tab/>
        <w:tab/>
        <w:tab/>
        <w:tab/>
        <w:tab/>
        <w:tab/>
      </w:r>
    </w:p>
    <w:p>
      <w:pPr>
        <w:pStyle w:val="Header"/>
        <w:ind w:hanging="432" w:start="432" w:end="0"/>
        <w:rPr/>
      </w:pPr>
      <w:r>
        <w:rPr/>
        <w:t>**</w:t>
        <w:tab/>
        <w:t>Note:  This chart does not include amounts that may need to be expended in response to HPL’s ongoing periodic reviews for maintenance, operations or regulatory requirements review nor amounts which may be necessary in connection with the relocation of pipeline segments as a result of highway, road and street expansions and rerouting by various governmental entities, nor taking pipeline segments out of service.</w:t>
        <w:tab/>
        <w:tab/>
        <w:tab/>
        <w:tab/>
        <w:tab/>
        <w:tab/>
        <w:tab/>
        <w:tab/>
        <w:tab/>
        <w:tab/>
      </w:r>
    </w:p>
    <w:p>
      <w:pPr>
        <w:pStyle w:val="Header"/>
        <w:ind w:hanging="432" w:start="432" w:end="0"/>
        <w:rPr/>
      </w:pPr>
      <w:r>
        <w:rPr/>
        <w:t>*** Note:  Constitutes Retained A/S Line Liabilities, whether involving amounts more or less than reflected above.</w:t>
        <w:tab/>
        <w:tab/>
        <w:tab/>
        <w:tab/>
        <w:tab/>
        <w:tab/>
        <w:tab/>
        <w:tab/>
        <w:tab/>
        <w:tab/>
      </w:r>
    </w:p>
    <w:p>
      <w:pPr>
        <w:pStyle w:val="Header"/>
        <w:tabs>
          <w:tab w:val="clear" w:pos="4680"/>
          <w:tab w:val="clear" w:pos="9360"/>
        </w:tabs>
        <w:ind w:hanging="432" w:start="432" w:end="0"/>
        <w:rPr/>
      </w:pPr>
      <w:r>
        <w:rPr/>
        <w:t>**** Note:  Constitutes A/S Line Additional Liabilities, whether involving amounts more or less than reflected above.</w:t>
      </w:r>
    </w:p>
    <w:p>
      <w:pPr>
        <w:sectPr>
          <w:footerReference w:type="default" r:id="rId7"/>
          <w:footerReference w:type="first" r:id="rId8"/>
          <w:type w:val="nextPage"/>
          <w:pgSz w:w="12240" w:h="15840"/>
          <w:pgMar w:left="1440" w:right="1440" w:gutter="0" w:header="0" w:top="1440" w:footer="720" w:bottom="1440"/>
          <w:pgNumType w:fmt="decimal"/>
          <w:formProt w:val="false"/>
          <w:textDirection w:val="lrTb"/>
          <w:docGrid w:type="default" w:linePitch="360" w:charSpace="0"/>
        </w:sectPr>
        <w:pStyle w:val="Header"/>
        <w:tabs>
          <w:tab w:val="clear" w:pos="4680"/>
          <w:tab w:val="clear" w:pos="9360"/>
        </w:tabs>
        <w:ind w:hanging="432" w:start="432" w:end="0"/>
        <w:rPr/>
      </w:pPr>
      <w:r>
        <w:rPr/>
        <w:t>#</w:t>
        <w:tab/>
        <w:t>Note:  Spinnaker amounts do not reflect what HPL believes is due and owing or will become due and owing but rather is based on assertions of third parties involved in litigation.</w:t>
        <w:tab/>
        <w:tab/>
        <w:tab/>
        <w:tab/>
        <w:tab/>
        <w:tab/>
        <w:tab/>
        <w:tab/>
        <w:tab/>
        <w:tab/>
      </w:r>
    </w:p>
    <w:p>
      <w:pPr>
        <w:pStyle w:val="Header"/>
        <w:tabs>
          <w:tab w:val="clear" w:pos="4680"/>
          <w:tab w:val="clear" w:pos="9360"/>
          <w:tab w:val="left" w:pos="720" w:leader="none"/>
        </w:tabs>
        <w:ind w:hanging="720" w:start="720" w:end="0"/>
        <w:rPr/>
      </w:pPr>
      <w:r>
        <w:rPr/>
      </w:r>
    </w:p>
    <w:p>
      <w:pPr>
        <w:pStyle w:val="Normal"/>
        <w:jc w:val="center"/>
        <w:rPr/>
      </w:pPr>
      <w:r>
        <w:rPr/>
        <w:t>PURCHASE AND SALE AGREEMENT</w:t>
      </w:r>
    </w:p>
    <w:p>
      <w:pPr>
        <w:pStyle w:val="Normal"/>
        <w:jc w:val="center"/>
        <w:rPr/>
      </w:pPr>
      <w:r>
        <w:rPr/>
      </w:r>
    </w:p>
    <w:p>
      <w:pPr>
        <w:pStyle w:val="Normal"/>
        <w:jc w:val="center"/>
        <w:rPr/>
      </w:pPr>
      <w:r>
        <w:rPr/>
        <w:t>Schedule 4.14</w:t>
      </w:r>
    </w:p>
    <w:p>
      <w:pPr>
        <w:pStyle w:val="Normal"/>
        <w:jc w:val="center"/>
        <w:rPr/>
      </w:pPr>
      <w:r>
        <w:rPr/>
        <w:t>Benefit Plans</w:t>
      </w:r>
    </w:p>
    <w:p>
      <w:pPr>
        <w:pStyle w:val="Normal"/>
        <w:jc w:val="center"/>
        <w:rPr/>
      </w:pPr>
      <w:r>
        <w:rPr/>
      </w:r>
    </w:p>
    <w:p>
      <w:pPr>
        <w:pStyle w:val="Normal"/>
        <w:jc w:val="center"/>
        <w:rPr/>
      </w:pPr>
      <w:r>
        <w:rPr/>
      </w:r>
    </w:p>
    <w:p>
      <w:pPr>
        <w:pStyle w:val="Normal"/>
        <w:jc w:val="center"/>
        <w:rPr/>
      </w:pPr>
      <w:r>
        <w:rPr/>
      </w:r>
    </w:p>
    <w:p>
      <w:pPr>
        <w:pStyle w:val="Normal"/>
        <w:rPr/>
      </w:pPr>
      <w:r>
        <w:rPr/>
        <w:t>There are no Company Benefit Plans.</w:t>
      </w:r>
    </w:p>
    <w:p>
      <w:pPr>
        <w:pStyle w:val="Normal"/>
        <w:rPr/>
      </w:pPr>
      <w:r>
        <w:rPr/>
      </w:r>
    </w:p>
    <w:p>
      <w:pPr>
        <w:pStyle w:val="Normal"/>
        <w:jc w:val="center"/>
        <w:rPr/>
      </w:pPr>
      <w:r>
        <w:rPr/>
        <w:t>PURCHASE AND SALE AGREEMENT</w:t>
      </w:r>
    </w:p>
    <w:p>
      <w:pPr>
        <w:pStyle w:val="Normal"/>
        <w:jc w:val="center"/>
        <w:rPr/>
      </w:pPr>
      <w:r>
        <w:rPr/>
      </w:r>
    </w:p>
    <w:p>
      <w:pPr>
        <w:pStyle w:val="Normal"/>
        <w:jc w:val="center"/>
        <w:rPr/>
      </w:pPr>
      <w:r>
        <w:rPr/>
        <w:t>Schedule 4.15(a)</w:t>
      </w:r>
    </w:p>
    <w:p>
      <w:pPr>
        <w:pStyle w:val="Normal"/>
        <w:jc w:val="center"/>
        <w:rPr/>
      </w:pPr>
      <w:r>
        <w:rPr/>
        <w:t>Environmental Matters</w:t>
      </w:r>
    </w:p>
    <w:p>
      <w:pPr>
        <w:pStyle w:val="Normal"/>
        <w:jc w:val="center"/>
        <w:rPr/>
      </w:pPr>
      <w:r>
        <w:rPr/>
      </w:r>
    </w:p>
    <w:p>
      <w:pPr>
        <w:pStyle w:val="Normal"/>
        <w:tabs>
          <w:tab w:val="clear" w:pos="720"/>
          <w:tab w:val="left" w:pos="-720" w:leader="none"/>
        </w:tabs>
        <w:suppressAutoHyphens w:val="true"/>
        <w:jc w:val="both"/>
        <w:rPr/>
      </w:pPr>
      <w:r>
        <w:rPr>
          <w:rFonts w:cs="CG Times 12pt;Times New Roman" w:ascii="CG Times 12pt;Times New Roman" w:hAnsi="CG Times 12pt;Times New Roman"/>
          <w:b/>
          <w:bCs/>
          <w:spacing w:val="-3"/>
        </w:rPr>
        <w:t>NOTE:</w:t>
      </w:r>
      <w:r>
        <w:rPr>
          <w:rFonts w:cs="CG Times 12pt;Times New Roman" w:ascii="CG Times 12pt;Times New Roman" w:hAnsi="CG Times 12pt;Times New Roman"/>
          <w:spacing w:val="-3"/>
        </w:rPr>
        <w:t xml:space="preserve"> While not conceding or admitting that the conditions listed below constitute violations of any environmental laws, corrective actions may be required or are currently being undertaken at the following site(s).</w:t>
      </w:r>
    </w:p>
    <w:p>
      <w:pPr>
        <w:pStyle w:val="Normal"/>
        <w:autoSpaceDE w:val="false"/>
        <w:ind w:firstLine="60" w:end="0"/>
        <w:rPr/>
      </w:pPr>
      <w:r>
        <w:rPr/>
      </w:r>
    </w:p>
    <w:p>
      <w:pPr>
        <w:pStyle w:val="Heading2"/>
        <w:ind w:hanging="0" w:start="0"/>
        <w:rPr>
          <w:b w:val="false"/>
          <w:bCs w:val="false"/>
        </w:rPr>
      </w:pPr>
      <w:r>
        <w:rPr>
          <w:b w:val="false"/>
          <w:bCs w:val="false"/>
        </w:rPr>
        <w:t>HPL Properties</w:t>
      </w:r>
    </w:p>
    <w:p>
      <w:pPr>
        <w:pStyle w:val="Normal"/>
        <w:rPr>
          <w:b/>
          <w:bCs/>
        </w:rPr>
      </w:pPr>
      <w:r>
        <w:rPr>
          <w:b/>
          <w:bCs/>
        </w:rPr>
      </w:r>
    </w:p>
    <w:p>
      <w:pPr>
        <w:pStyle w:val="EndnoteText"/>
        <w:rPr>
          <w:rFonts w:ascii="Times New Roman" w:hAnsi="Times New Roman" w:cs="Times New Roman"/>
          <w:u w:val="single"/>
        </w:rPr>
      </w:pPr>
      <w:r>
        <w:rPr>
          <w:rFonts w:cs="Times New Roman" w:ascii="Times New Roman" w:hAnsi="Times New Roman"/>
          <w:u w:val="single"/>
        </w:rPr>
        <w:t>Dehydrator Sites</w:t>
      </w:r>
    </w:p>
    <w:p>
      <w:pPr>
        <w:pStyle w:val="Normal"/>
        <w:rPr>
          <w:rFonts w:ascii="Times New Roman" w:hAnsi="Times New Roman" w:cs="Times New Roman"/>
          <w:u w:val="single"/>
        </w:rPr>
      </w:pPr>
      <w:r>
        <w:rPr>
          <w:rFonts w:cs="Times New Roman"/>
          <w:u w:val="single"/>
        </w:rPr>
      </w:r>
    </w:p>
    <w:p>
      <w:pPr>
        <w:pStyle w:val="Normal"/>
        <w:rPr>
          <w:spacing w:val="-3"/>
        </w:rPr>
      </w:pPr>
      <w:r>
        <w:rPr>
          <w:spacing w:val="-3"/>
        </w:rPr>
        <w:t>Lehman Dehydrator Site</w:t>
      </w:r>
    </w:p>
    <w:p>
      <w:pPr>
        <w:pStyle w:val="Normal"/>
        <w:rPr/>
      </w:pPr>
      <w:r>
        <w:rPr/>
        <w:t xml:space="preserve">Hydrocarbon impact (TPH and BTEX) to soil and potentially groundwater from a former dehydrator site. Previous investigations did not encounter groundwater.  </w:t>
      </w:r>
    </w:p>
    <w:p>
      <w:pPr>
        <w:pStyle w:val="Normal"/>
        <w:rPr/>
      </w:pPr>
      <w:r>
        <w:rPr/>
      </w:r>
    </w:p>
    <w:p>
      <w:pPr>
        <w:pStyle w:val="Normal"/>
        <w:rPr/>
      </w:pPr>
      <w:r>
        <w:rPr/>
        <w:t>Triton Dehydrator Site</w:t>
      </w:r>
    </w:p>
    <w:p>
      <w:pPr>
        <w:pStyle w:val="Normal"/>
        <w:rPr/>
      </w:pPr>
      <w:r>
        <w:rPr/>
        <w:t xml:space="preserve">Hydrocarbon impact (dissolved TPH and BTEX) to soil and groundwater from a former evaporation impoundment. Remediation and/or removal of impacted (near surface) soil was conducted at the site in 1990 and 1991. </w:t>
      </w:r>
      <w:r>
        <w:rPr>
          <w:spacing w:val="-3"/>
        </w:rPr>
        <w:t>Based on favorable results of a formal Risk Assessment study, a request for site “closure” was made to TRC in 1997.  TRC recently requested additional monitoring data and risk evaluation for the site. Additional groundwater samples were obtained in November 2000. Third party activities have impacted the site. The third party and Texas Railroad Commission are being notified of these activities.</w:t>
      </w:r>
    </w:p>
    <w:p>
      <w:pPr>
        <w:pStyle w:val="Normal"/>
        <w:rPr>
          <w:spacing w:val="-3"/>
        </w:rPr>
      </w:pPr>
      <w:r>
        <w:rPr>
          <w:spacing w:val="-3"/>
        </w:rPr>
      </w:r>
    </w:p>
    <w:p>
      <w:pPr>
        <w:pStyle w:val="Normal"/>
        <w:rPr>
          <w:spacing w:val="-3"/>
        </w:rPr>
      </w:pPr>
      <w:r>
        <w:rPr>
          <w:spacing w:val="-3"/>
        </w:rPr>
        <w:t>San Patricio Dehydrator Site</w:t>
      </w:r>
    </w:p>
    <w:p>
      <w:pPr>
        <w:pStyle w:val="Normal"/>
        <w:rPr/>
      </w:pPr>
      <w:r>
        <w:rPr/>
        <w:t xml:space="preserve">Hydrocarbon impact (dissolved TPH and BTEX) to soil and groundwater from a former evaporation impoundment. Remediation and/or removal of impacted (near surface) soil was conducted at the site in 1990 and 1991. </w:t>
      </w:r>
      <w:r>
        <w:rPr>
          <w:spacing w:val="-3"/>
        </w:rPr>
        <w:t xml:space="preserve">Based on favorable results of a formal Risk Assessment study, a request for site “closure” was made to TRC in 1997.  TRC recently requested additional monitoring data and risk evaluation for the site. Additional groundwater samples were obtained in November 2000. </w:t>
      </w:r>
    </w:p>
    <w:p>
      <w:pPr>
        <w:pStyle w:val="Normal"/>
        <w:rPr>
          <w:spacing w:val="-3"/>
        </w:rPr>
      </w:pPr>
      <w:r>
        <w:rPr>
          <w:spacing w:val="-3"/>
        </w:rPr>
      </w:r>
    </w:p>
    <w:p>
      <w:pPr>
        <w:pStyle w:val="Normal"/>
        <w:rPr>
          <w:spacing w:val="-3"/>
        </w:rPr>
      </w:pPr>
      <w:r>
        <w:rPr>
          <w:spacing w:val="-3"/>
        </w:rPr>
        <w:t>Daggs #1 Dehydrator Site</w:t>
      </w:r>
    </w:p>
    <w:p>
      <w:pPr>
        <w:pStyle w:val="Normal"/>
        <w:rPr/>
      </w:pPr>
      <w:r>
        <w:rPr/>
        <w:t xml:space="preserve">Hydrocarbon impact (dissolved TPH and BTEX) to soil and groundwater from a former evaporation impoundment. Remediation and/or removal of impacted (near surface) soil was conducted at the site in 1990 and 1991. </w:t>
      </w:r>
      <w:r>
        <w:rPr>
          <w:spacing w:val="-3"/>
        </w:rPr>
        <w:t xml:space="preserve">Based on favorable results of a formal Risk Assessment study, a request for site “closure” was made to TRC in 1997.  TRC recently requested additional monitoring data and risk evaluation for the site. Additional groundwater samples were obtained in November 2000. </w:t>
      </w:r>
    </w:p>
    <w:p>
      <w:pPr>
        <w:pStyle w:val="Normal"/>
        <w:rPr>
          <w:spacing w:val="-3"/>
        </w:rPr>
      </w:pPr>
      <w:r>
        <w:rPr>
          <w:spacing w:val="-3"/>
        </w:rPr>
      </w:r>
    </w:p>
    <w:p>
      <w:pPr>
        <w:pStyle w:val="Normal"/>
        <w:keepNext w:val="true"/>
        <w:rPr>
          <w:spacing w:val="-3"/>
        </w:rPr>
      </w:pPr>
      <w:r>
        <w:rPr>
          <w:spacing w:val="-3"/>
        </w:rPr>
        <w:t>Texana Field Dehydrator Site</w:t>
      </w:r>
    </w:p>
    <w:p>
      <w:pPr>
        <w:pStyle w:val="Normal"/>
        <w:rPr/>
      </w:pPr>
      <w:r>
        <w:rPr/>
        <w:t xml:space="preserve">Hydrocarbon impact (dissolved TPH and BTEX) to soil and groundwater from a former evaporation impoundment. Remediation and/or removal of impacted (near surface) soil was conducted at the site in 1990 and 1991. </w:t>
      </w:r>
      <w:r>
        <w:rPr>
          <w:spacing w:val="-3"/>
        </w:rPr>
        <w:t>Based on favorable results of a formal Risk Assessment study, a request for site “closure” was made to TRC in 1997.  TRC recently issued a letter of concurrence with the closure recommendation.</w:t>
      </w:r>
    </w:p>
    <w:p>
      <w:pPr>
        <w:pStyle w:val="Normal"/>
        <w:rPr>
          <w:spacing w:val="-3"/>
        </w:rPr>
      </w:pPr>
      <w:r>
        <w:rPr>
          <w:spacing w:val="-3"/>
        </w:rPr>
      </w:r>
    </w:p>
    <w:p>
      <w:pPr>
        <w:pStyle w:val="Normal"/>
        <w:rPr>
          <w:spacing w:val="-3"/>
        </w:rPr>
      </w:pPr>
      <w:r>
        <w:rPr>
          <w:spacing w:val="-3"/>
        </w:rPr>
        <w:t>Franks #1 Dehydrator Site</w:t>
      </w:r>
    </w:p>
    <w:p>
      <w:pPr>
        <w:pStyle w:val="Normal"/>
        <w:rPr/>
      </w:pPr>
      <w:r>
        <w:rPr/>
        <w:t xml:space="preserve">Hydrocarbon impact (dissolved TPH and BTEX) to soil and groundwater from a former evaporation impoundment. Remediation and/or removal of impacted (near surface) soil was conducted at the site in 1990 and 1991. </w:t>
      </w:r>
      <w:r>
        <w:rPr>
          <w:spacing w:val="-3"/>
        </w:rPr>
        <w:t xml:space="preserve">Based on favorable results of a formal Risk Assessment study, a request for site “closure” was made to TRC in 1997.  TRC recently requested additional monitoring data and risk evaluation for the site. Additional groundwater samples were obtained in November 2000. </w:t>
      </w:r>
    </w:p>
    <w:p>
      <w:pPr>
        <w:pStyle w:val="Normal"/>
        <w:rPr>
          <w:spacing w:val="-3"/>
        </w:rPr>
      </w:pPr>
      <w:r>
        <w:rPr>
          <w:spacing w:val="-3"/>
        </w:rPr>
      </w:r>
    </w:p>
    <w:p>
      <w:pPr>
        <w:pStyle w:val="Normal"/>
        <w:rPr>
          <w:spacing w:val="-3"/>
        </w:rPr>
      </w:pPr>
      <w:r>
        <w:rPr>
          <w:spacing w:val="-3"/>
        </w:rPr>
        <w:t>Panther Point Dehydrator Site</w:t>
      </w:r>
    </w:p>
    <w:p>
      <w:pPr>
        <w:pStyle w:val="Normal"/>
        <w:rPr/>
      </w:pPr>
      <w:r>
        <w:rPr/>
        <w:t>Hydrocarbon impact (dissolved TPH and BTEX) to soil and groundwater from a former evaporation impoundment. Remediation and/or removal of impacted (near surface) soil was conducted at the site in 1990 and 1991.</w:t>
      </w:r>
      <w:r>
        <w:rPr>
          <w:spacing w:val="-3"/>
        </w:rPr>
        <w:t xml:space="preserve">  Groundwater monitoring is continuing and a formal risk assessment is planned for 2001.</w:t>
      </w:r>
    </w:p>
    <w:p>
      <w:pPr>
        <w:pStyle w:val="Normal"/>
        <w:rPr>
          <w:spacing w:val="-3"/>
        </w:rPr>
      </w:pPr>
      <w:r>
        <w:rPr>
          <w:spacing w:val="-3"/>
        </w:rPr>
      </w:r>
    </w:p>
    <w:p>
      <w:pPr>
        <w:pStyle w:val="Normal"/>
        <w:rPr/>
      </w:pPr>
      <w:r>
        <w:rPr/>
        <w:t>“</w:t>
      </w:r>
      <w:r>
        <w:rPr/>
        <w:t>Fingers Farm” Dehydrator Site</w:t>
      </w:r>
    </w:p>
    <w:p>
      <w:pPr>
        <w:pStyle w:val="Normal"/>
        <w:rPr/>
      </w:pPr>
      <w:r>
        <w:rPr/>
        <w:t>Hydrocarbon impact (dissolved TPH and BTEX) to soil and groundwater from a former evaporation impoundment. Remediation and/or removal of impacted (near surface) soil was conducted at the site in 1990 and 1991. Groundwater monitoring is in progress at the site and additional remediation may be required.</w:t>
      </w:r>
    </w:p>
    <w:p>
      <w:pPr>
        <w:pStyle w:val="Normal"/>
        <w:rPr/>
      </w:pPr>
      <w:r>
        <w:rPr/>
      </w:r>
    </w:p>
    <w:p>
      <w:pPr>
        <w:pStyle w:val="Normal"/>
        <w:autoSpaceDE w:val="false"/>
        <w:spacing w:lineRule="atLeast" w:line="240"/>
        <w:rPr>
          <w:color w:val="000000"/>
        </w:rPr>
      </w:pPr>
      <w:r>
        <w:rPr>
          <w:color w:val="000000"/>
        </w:rPr>
        <w:t>Yougeen Dehydrator</w:t>
      </w:r>
    </w:p>
    <w:p>
      <w:pPr>
        <w:pStyle w:val="Normal"/>
        <w:autoSpaceDE w:val="false"/>
        <w:spacing w:lineRule="atLeast" w:line="240"/>
        <w:rPr>
          <w:color w:val="000000"/>
        </w:rPr>
      </w:pPr>
      <w:r>
        <w:rPr>
          <w:color w:val="000000"/>
        </w:rPr>
        <w:t>Bee County, Texas</w:t>
      </w:r>
    </w:p>
    <w:p>
      <w:pPr>
        <w:pStyle w:val="Normal"/>
        <w:autoSpaceDE w:val="false"/>
        <w:spacing w:lineRule="atLeast" w:line="240"/>
        <w:rPr>
          <w:color w:val="000000"/>
        </w:rPr>
      </w:pPr>
      <w:r>
        <w:rPr>
          <w:color w:val="000000"/>
        </w:rPr>
        <w:t xml:space="preserve">Hydrocarbon impact (PSH and dissolved TPH and BTEX) to soil and groundwater from a former evaporation impoundment. Remediation and/or removal of impacted (near surface) soil was conducted at the site in 1990 and 1991.  Assessment study conducted in 1994 indicated TPH and BTEX groundwater impact in 1 of 3 monitor wells installed at the site.  Results of a preliminary Risk Assessment conducted in 1996 recommended no further action with respect to TPH and BEX in groundwater.   Production related equipment (owned and operated by others) appears to be a potential source of groundwater impact.  No further action planned by HPL at this time due to condition of 3rd party facilities. </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Hughes &amp; Hughes (Dougherty) Dehydrator</w:t>
      </w:r>
    </w:p>
    <w:p>
      <w:pPr>
        <w:pStyle w:val="Normal"/>
        <w:autoSpaceDE w:val="false"/>
        <w:spacing w:lineRule="atLeast" w:line="240"/>
        <w:rPr>
          <w:color w:val="000000"/>
        </w:rPr>
      </w:pPr>
      <w:r>
        <w:rPr>
          <w:color w:val="000000"/>
        </w:rPr>
        <w:t>Bee County, Texas</w:t>
      </w:r>
    </w:p>
    <w:p>
      <w:pPr>
        <w:pStyle w:val="Normal"/>
        <w:rPr>
          <w:color w:val="000000"/>
        </w:rPr>
      </w:pPr>
      <w:r>
        <w:rPr>
          <w:color w:val="000000"/>
        </w:rPr>
        <w:t>Hydrocarbon impact (PSH and dissolved TPH and BTEX) to soil and groundwater from a former evaporation impoundment. Remediation and/or removal of impacted (near surface) soil was conducted at the site in 1990 and 1991.  Assessment study conducted in 1994 indicated TPH and BTEX groundwater impact in 1 monitor well installed.  Production related equipment (owned and operated by others) appears to be a potential source of groundwater impact.  No further action planned by HPL at this time due to condition of 3rd party facilities.</w:t>
      </w:r>
    </w:p>
    <w:p>
      <w:pPr>
        <w:pStyle w:val="Normal"/>
        <w:rPr>
          <w:spacing w:val="-3"/>
        </w:rPr>
      </w:pPr>
      <w:r>
        <w:rPr>
          <w:spacing w:val="-3"/>
        </w:rPr>
      </w:r>
    </w:p>
    <w:p>
      <w:pPr>
        <w:pStyle w:val="Normal"/>
        <w:rPr>
          <w:spacing w:val="-3"/>
        </w:rPr>
      </w:pPr>
      <w:r>
        <w:rPr>
          <w:spacing w:val="-3"/>
        </w:rPr>
      </w:r>
    </w:p>
    <w:p>
      <w:pPr>
        <w:pStyle w:val="Heading3"/>
        <w:ind w:hanging="0" w:start="0"/>
        <w:rPr>
          <w:rFonts w:ascii="Times New Roman" w:hAnsi="Times New Roman" w:cs="Times New Roman"/>
          <w:b w:val="false"/>
          <w:bCs w:val="false"/>
          <w:sz w:val="24"/>
          <w:szCs w:val="24"/>
          <w:u w:val="single"/>
        </w:rPr>
      </w:pPr>
      <w:r>
        <w:rPr>
          <w:rFonts w:cs="Times New Roman" w:ascii="Times New Roman" w:hAnsi="Times New Roman"/>
          <w:b w:val="false"/>
          <w:bCs w:val="false"/>
          <w:sz w:val="24"/>
          <w:szCs w:val="24"/>
          <w:u w:val="single"/>
        </w:rPr>
        <w:t>Compressor Station Sites</w:t>
      </w:r>
    </w:p>
    <w:p>
      <w:pPr>
        <w:pStyle w:val="Normal"/>
        <w:keepNext w:val="true"/>
        <w:rPr>
          <w:rFonts w:ascii="Times New Roman" w:hAnsi="Times New Roman" w:cs="Times New Roman"/>
          <w:b/>
          <w:bCs/>
          <w:spacing w:val="-3"/>
          <w:sz w:val="24"/>
          <w:szCs w:val="24"/>
          <w:u w:val="single"/>
        </w:rPr>
      </w:pPr>
      <w:r>
        <w:rPr>
          <w:rFonts w:cs="Times New Roman"/>
          <w:b/>
          <w:bCs/>
          <w:spacing w:val="-3"/>
          <w:sz w:val="24"/>
          <w:szCs w:val="24"/>
          <w:u w:val="single"/>
        </w:rPr>
      </w:r>
    </w:p>
    <w:p>
      <w:pPr>
        <w:pStyle w:val="Normal"/>
        <w:rPr>
          <w:spacing w:val="-3"/>
        </w:rPr>
      </w:pPr>
      <w:r>
        <w:rPr>
          <w:spacing w:val="-3"/>
        </w:rPr>
        <w:t xml:space="preserve">Odem Compressor Station Site (Compressor equipment owned and operated by Hanover) </w:t>
      </w:r>
    </w:p>
    <w:p>
      <w:pPr>
        <w:pStyle w:val="Normal"/>
        <w:rPr>
          <w:spacing w:val="-3"/>
        </w:rPr>
      </w:pPr>
      <w:r>
        <w:rPr>
          <w:spacing w:val="-3"/>
        </w:rPr>
        <w:t xml:space="preserve">An environmental site assessment conducted in 1999 indicated impact (dissolved TPH and BTEX) to soil and groundwater.  Groundwater monitoring wells were installed at this location in August 2000.  Results of sampling and analysis of groundwater indicates no significant impact has occurred. Additional groundwater sampling is planned in December and mid year 2001 to confirm. </w:t>
      </w:r>
    </w:p>
    <w:p>
      <w:pPr>
        <w:pStyle w:val="Normal"/>
        <w:rPr>
          <w:spacing w:val="-3"/>
        </w:rPr>
      </w:pPr>
      <w:r>
        <w:rPr>
          <w:spacing w:val="-3"/>
        </w:rPr>
      </w:r>
    </w:p>
    <w:p>
      <w:pPr>
        <w:pStyle w:val="Normal"/>
        <w:rPr>
          <w:spacing w:val="-3"/>
        </w:rPr>
      </w:pPr>
      <w:r>
        <w:rPr>
          <w:spacing w:val="-3"/>
        </w:rPr>
        <w:t>Caney Compressor Station Site (Compressor equipment owned and operated by Hanover)</w:t>
      </w:r>
    </w:p>
    <w:p>
      <w:pPr>
        <w:pStyle w:val="Normal"/>
        <w:rPr>
          <w:spacing w:val="-3"/>
        </w:rPr>
      </w:pPr>
      <w:r>
        <w:rPr>
          <w:spacing w:val="-3"/>
        </w:rPr>
        <w:t xml:space="preserve">An environmental site assessment conducted in 1999 indicated impact (dissolved TPH and BTEX) to soil and groundwater.  Groundwater monitoring wells were installed at this location in August 2000.  Results of sampling and analysis of groundwater indicates no significant impact has occurred. Additional groundwater sampling is planned in December and mid year 2001 to confirm. </w:t>
      </w:r>
    </w:p>
    <w:p>
      <w:pPr>
        <w:pStyle w:val="Normal"/>
        <w:rPr>
          <w:spacing w:val="-3"/>
        </w:rPr>
      </w:pPr>
      <w:r>
        <w:rPr>
          <w:spacing w:val="-3"/>
        </w:rPr>
      </w:r>
    </w:p>
    <w:p>
      <w:pPr>
        <w:pStyle w:val="Normal"/>
        <w:rPr/>
      </w:pPr>
      <w:r>
        <w:rPr/>
        <w:t xml:space="preserve">McMullen Plant and Tilden Compressor Station. </w:t>
      </w:r>
      <w:r>
        <w:rPr>
          <w:spacing w:val="-3"/>
        </w:rPr>
        <w:t>(Compressor equipment owned and operated by Hanover)</w:t>
      </w:r>
    </w:p>
    <w:p>
      <w:pPr>
        <w:pStyle w:val="Normal"/>
        <w:rPr>
          <w:spacing w:val="-3"/>
        </w:rPr>
      </w:pPr>
      <w:r>
        <w:rPr/>
        <w:t>Minor impact of various constituents as outlined in draft Brown and Caldwell report of November 20, 2000.  Some additional surface hydrocarbon impact at the Tilden Compression Station.</w:t>
      </w:r>
    </w:p>
    <w:p>
      <w:pPr>
        <w:pStyle w:val="Normal"/>
        <w:rPr>
          <w:spacing w:val="-3"/>
        </w:rPr>
      </w:pPr>
      <w:r>
        <w:rPr>
          <w:spacing w:val="-3"/>
        </w:rPr>
      </w:r>
    </w:p>
    <w:p>
      <w:pPr>
        <w:pStyle w:val="Normal"/>
        <w:rPr>
          <w:spacing w:val="-3"/>
        </w:rPr>
      </w:pPr>
      <w:r>
        <w:rPr>
          <w:spacing w:val="-3"/>
        </w:rPr>
        <w:t>Mission Valley Compressor Station (Compressor equipment owned and operated by Hanover)</w:t>
      </w:r>
    </w:p>
    <w:p>
      <w:pPr>
        <w:pStyle w:val="Normal"/>
        <w:rPr>
          <w:spacing w:val="-3"/>
        </w:rPr>
      </w:pPr>
      <w:r>
        <w:rPr>
          <w:spacing w:val="-3"/>
        </w:rPr>
        <w:t xml:space="preserve">An environmental site assessment conducted in 1999 indicated impact (dissolved TPH and BTEX) to soil and groundwater.  Groundwater monitoring wells were installed at this location in August 2000.  Results of sampling and analysis of groundwater indicates no significant impact has occurred. Additional groundwater sampling is planned in December and mid year 2001 to confirm. </w:t>
      </w:r>
    </w:p>
    <w:p>
      <w:pPr>
        <w:pStyle w:val="Normal"/>
        <w:rPr>
          <w:spacing w:val="-3"/>
        </w:rPr>
      </w:pPr>
      <w:r>
        <w:rPr>
          <w:spacing w:val="-3"/>
        </w:rPr>
      </w:r>
    </w:p>
    <w:p>
      <w:pPr>
        <w:pStyle w:val="Heading3"/>
        <w:ind w:hanging="0" w:start="0"/>
        <w:rPr>
          <w:rFonts w:ascii="Times New Roman" w:hAnsi="Times New Roman" w:cs="Times New Roman"/>
          <w:b w:val="false"/>
          <w:bCs w:val="false"/>
          <w:sz w:val="24"/>
          <w:szCs w:val="24"/>
          <w:u w:val="single"/>
        </w:rPr>
      </w:pPr>
      <w:r>
        <w:rPr>
          <w:rFonts w:cs="Times New Roman" w:ascii="Times New Roman" w:hAnsi="Times New Roman"/>
          <w:b w:val="false"/>
          <w:bCs w:val="false"/>
          <w:sz w:val="24"/>
          <w:szCs w:val="24"/>
          <w:u w:val="single"/>
        </w:rPr>
        <w:t>Pipeline Sites</w:t>
      </w:r>
    </w:p>
    <w:p>
      <w:pPr>
        <w:pStyle w:val="Normal"/>
        <w:rPr>
          <w:rFonts w:ascii="Times New Roman" w:hAnsi="Times New Roman" w:cs="Times New Roman"/>
          <w:b/>
          <w:bCs/>
          <w:spacing w:val="-3"/>
          <w:sz w:val="24"/>
          <w:szCs w:val="24"/>
          <w:u w:val="single"/>
        </w:rPr>
      </w:pPr>
      <w:r>
        <w:rPr>
          <w:rFonts w:cs="Times New Roman"/>
          <w:b/>
          <w:bCs/>
          <w:spacing w:val="-3"/>
          <w:sz w:val="24"/>
          <w:szCs w:val="24"/>
          <w:u w:val="single"/>
        </w:rPr>
      </w:r>
    </w:p>
    <w:p>
      <w:pPr>
        <w:pStyle w:val="Normal"/>
        <w:rPr>
          <w:spacing w:val="-3"/>
        </w:rPr>
      </w:pPr>
      <w:r>
        <w:rPr>
          <w:spacing w:val="-3"/>
        </w:rPr>
        <w:t>Point Comfort Loop Pipeline Leak Site</w:t>
      </w:r>
    </w:p>
    <w:p>
      <w:pPr>
        <w:pStyle w:val="Normal"/>
        <w:rPr>
          <w:spacing w:val="-3"/>
        </w:rPr>
      </w:pPr>
      <w:r>
        <w:rPr>
          <w:spacing w:val="-3"/>
        </w:rPr>
        <w:t>Soil and possible groundwater impact (TPH and BTEX) from a pipeline leak, which was discovered and repaired in 2000. Groundwater monitoring wells were installed at this location in August 2000. Current estimate to resolve: $30,000 to $50,000.  Preliminary results of groundwater sample analyses indicate that shallow groundwater has been impacted by TPH and BTEX. Additional groundwater sampling and risk assessment is planned for 2001.</w:t>
      </w:r>
    </w:p>
    <w:p>
      <w:pPr>
        <w:pStyle w:val="Normal"/>
        <w:rPr>
          <w:spacing w:val="-3"/>
        </w:rPr>
      </w:pPr>
      <w:r>
        <w:rPr>
          <w:spacing w:val="-3"/>
        </w:rPr>
      </w:r>
    </w:p>
    <w:p>
      <w:pPr>
        <w:pStyle w:val="Normal"/>
        <w:rPr>
          <w:spacing w:val="-3"/>
        </w:rPr>
      </w:pPr>
      <w:r>
        <w:rPr>
          <w:spacing w:val="-3"/>
        </w:rPr>
        <w:t>Mykawa 18” Pipeline Leak Site</w:t>
      </w:r>
    </w:p>
    <w:p>
      <w:pPr>
        <w:pStyle w:val="Normal"/>
        <w:rPr>
          <w:spacing w:val="-3"/>
        </w:rPr>
      </w:pPr>
      <w:r>
        <w:rPr>
          <w:spacing w:val="-3"/>
        </w:rPr>
        <w:t xml:space="preserve">Soil and possible groundwater impact (TPH and BTEX) from a pipeline leak, which was discovered and repaired in 1998. Current plans to install a groundwater monitoring well have been delayed due to right-of-way issues. </w:t>
      </w:r>
    </w:p>
    <w:p>
      <w:pPr>
        <w:pStyle w:val="Normal"/>
        <w:rPr>
          <w:spacing w:val="-3"/>
        </w:rPr>
      </w:pPr>
      <w:r>
        <w:rPr>
          <w:spacing w:val="-3"/>
        </w:rPr>
      </w:r>
    </w:p>
    <w:p>
      <w:pPr>
        <w:pStyle w:val="Normal"/>
        <w:rPr>
          <w:spacing w:val="-3"/>
          <w:u w:val="single"/>
        </w:rPr>
      </w:pPr>
      <w:r>
        <w:rPr>
          <w:spacing w:val="-3"/>
          <w:u w:val="single"/>
        </w:rPr>
        <w:t>Other:</w:t>
      </w:r>
    </w:p>
    <w:p>
      <w:pPr>
        <w:pStyle w:val="Normal"/>
        <w:rPr/>
      </w:pPr>
      <w:r>
        <w:rPr/>
        <w:t>Texaco/Kaiser Francis field compression site in the Bammel Storage Field (SW corner of the @ 1,000 acres)</w:t>
      </w:r>
    </w:p>
    <w:p>
      <w:pPr>
        <w:pStyle w:val="Normal"/>
        <w:autoSpaceDE w:val="false"/>
        <w:rPr>
          <w:rFonts w:ascii="CG Times 12pt;Times New Roman" w:hAnsi="CG Times 12pt;Times New Roman" w:cs="CG Times 12pt;Times New Roman"/>
          <w:spacing w:val="-3"/>
        </w:rPr>
      </w:pPr>
      <w:r>
        <w:rPr/>
        <w:t>Potential contamination from surface compression operations of lease operator.  Surface staining from hydrocarbons observed.  Extent and nature of impact, if any, unknown.</w:t>
      </w:r>
    </w:p>
    <w:p>
      <w:pPr>
        <w:pStyle w:val="Normal"/>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EndnoteText"/>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Normal"/>
        <w:autoSpaceDE w:val="false"/>
        <w:ind w:start="360" w:end="0"/>
        <w:rPr>
          <w:u w:val="single"/>
        </w:rPr>
      </w:pPr>
      <w:r>
        <w:rPr>
          <w:u w:val="single"/>
        </w:rPr>
        <w:t>Air Compliance</w:t>
      </w:r>
    </w:p>
    <w:p>
      <w:pPr>
        <w:pStyle w:val="Normal"/>
        <w:autoSpaceDE w:val="false"/>
        <w:ind w:start="360" w:end="0"/>
        <w:rPr>
          <w:u w:val="single"/>
        </w:rPr>
      </w:pPr>
      <w:r>
        <w:rPr>
          <w:u w:val="single"/>
        </w:rPr>
      </w:r>
    </w:p>
    <w:p>
      <w:pPr>
        <w:pStyle w:val="Normal"/>
        <w:autoSpaceDE w:val="false"/>
        <w:ind w:start="360" w:end="0"/>
        <w:rPr>
          <w:spacing w:val="-3"/>
        </w:rPr>
      </w:pPr>
      <w:r>
        <w:rPr>
          <w:spacing w:val="-3"/>
        </w:rPr>
        <w:t xml:space="preserve">Lehman Dehydrator Site.  </w:t>
      </w:r>
    </w:p>
    <w:p>
      <w:pPr>
        <w:pStyle w:val="Normal"/>
        <w:autoSpaceDE w:val="false"/>
        <w:rPr>
          <w:rFonts w:ascii="CG Times 12pt;Times New Roman" w:hAnsi="CG Times 12pt;Times New Roman" w:cs="CG Times 12pt;Times New Roman"/>
          <w:spacing w:val="-3"/>
        </w:rPr>
      </w:pPr>
      <w:r>
        <w:rPr>
          <w:spacing w:val="-3"/>
        </w:rPr>
        <w:t>On April 13, 2001 representatives of HPL met with TNRCC Corpus Christi staff to self-report emission conditions at the Lehman dehydrator site.  The site was originally believed to be qualified for Permit By Rule (30 TAC 106).  Upon further review it discovered that the site did not qualify and a Standard Permit (30 TAC 116) application was submitted to the TNRCC Corpus Christi office in mid-March 2001.  Subsequently, additional emission estimates were performed for the operating period preceding the submittal of the Standard Permit application. These emission conditions were immediately reported to the TNRCC in a meeting on april 13, 2001 in Corpus Christi.  Over the next weeks HPL devoted considerable resources to collecting additional data and information from the site and analyzing site conditions.  On April 27, 2001 HPL representatives notified the TNRCC that the estimated VOC (volatile organic compounds) emissions from the site during the upset period (mid-October 2000 to present) were approximately 350 to 400 tons.  Based upon additional information and data, on May 9, 2001 HPL representatives met with the TNRCC Corpus Christi staff and reported that total estimated VOC emissions from the site for the period of mid-October to present was 248.72 tons and that the site was emitting approximately 1 ton per day.  A plan was provided to the TNRCC describing the installation of additional site controls (a flare for the emissions from the tanks and vapor recovery for the truck loading operations) which when installed should reduce emissions from the site to less than 25 tons per year and therefore potentially qualify the site for Permit By Rule (30 TAC 106).  The estimated in service date for the additional controls is approximately five weeks from the May 9</w:t>
      </w:r>
      <w:r>
        <w:rPr>
          <w:spacing w:val="-3"/>
          <w:vertAlign w:val="superscript"/>
        </w:rPr>
        <w:t>th</w:t>
      </w:r>
      <w:r>
        <w:rPr>
          <w:spacing w:val="-3"/>
        </w:rPr>
        <w:t xml:space="preserve"> meeting.  Additional modifications to the site were also described including a vapor recovery system in lieu of the existing flare system.  Such modifications may take place in 8 to 12 weeks.  Follow-up meetings with the TNRCC staff to discuss permitting requirements for the additional control devices and potential enforcement action are being scheduled for the week of May 14, 2001.</w:t>
      </w:r>
    </w:p>
    <w:p>
      <w:pPr>
        <w:pStyle w:val="Normal"/>
        <w:tabs>
          <w:tab w:val="clear" w:pos="720"/>
          <w:tab w:val="left" w:pos="-720" w:leader="none"/>
          <w:tab w:val="left" w:pos="0" w:leader="none"/>
        </w:tabs>
        <w:suppressAutoHyphens w:val="true"/>
        <w:jc w:val="center"/>
        <w:rPr/>
      </w:pPr>
      <w:r>
        <w:rPr/>
        <w:t>PURCHASE AND SALE AGREEMENT</w:t>
      </w:r>
    </w:p>
    <w:p>
      <w:pPr>
        <w:pStyle w:val="Normal"/>
        <w:jc w:val="center"/>
        <w:rPr/>
      </w:pPr>
      <w:r>
        <w:rPr/>
      </w:r>
    </w:p>
    <w:p>
      <w:pPr>
        <w:pStyle w:val="Normal"/>
        <w:jc w:val="center"/>
        <w:rPr/>
      </w:pPr>
      <w:r>
        <w:rPr/>
        <w:t>Schedule 4.15(b)</w:t>
      </w:r>
    </w:p>
    <w:p>
      <w:pPr>
        <w:pStyle w:val="Normal"/>
        <w:jc w:val="center"/>
        <w:rPr>
          <w:spacing w:val="-3"/>
        </w:rPr>
      </w:pPr>
      <w:r>
        <w:rPr/>
        <w:t xml:space="preserve">Environmental </w:t>
      </w:r>
      <w:r>
        <w:rPr>
          <w:rFonts w:cs="CG Times 12pt;Times New Roman" w:ascii="CG Times 12pt;Times New Roman" w:hAnsi="CG Times 12pt;Times New Roman"/>
          <w:spacing w:val="-3"/>
        </w:rPr>
        <w:t>Permits</w:t>
      </w:r>
    </w:p>
    <w:p>
      <w:pPr>
        <w:pStyle w:val="Normal"/>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Normal"/>
        <w:rPr>
          <w:b/>
          <w:bCs/>
        </w:rPr>
      </w:pPr>
      <w:r>
        <w:rPr>
          <w:b/>
          <w:bCs/>
        </w:rPr>
        <w:t>Bammel Gas Storage Facility</w:t>
      </w:r>
    </w:p>
    <w:p>
      <w:pPr>
        <w:pStyle w:val="Normal"/>
        <w:rPr>
          <w:b/>
          <w:bCs/>
          <w:i/>
          <w:i/>
          <w:iCs/>
        </w:rPr>
      </w:pPr>
      <w:r>
        <w:rPr>
          <w:b/>
          <w:bCs/>
          <w:i/>
          <w:iCs/>
        </w:rPr>
        <w:t>Air Authorizations:</w:t>
      </w:r>
    </w:p>
    <w:p>
      <w:pPr>
        <w:pStyle w:val="Normal"/>
        <w:numPr>
          <w:ilvl w:val="0"/>
          <w:numId w:val="18"/>
        </w:numPr>
        <w:rPr/>
      </w:pPr>
      <w:r>
        <w:rPr/>
        <w:t>State Air Permit/PSD No. R-8345/PSE-TX-313 (Renewal Issued 4/26/99, Expires 4/26/09);</w:t>
      </w:r>
    </w:p>
    <w:p>
      <w:pPr>
        <w:pStyle w:val="Normal"/>
        <w:numPr>
          <w:ilvl w:val="0"/>
          <w:numId w:val="18"/>
        </w:numPr>
        <w:rPr/>
      </w:pPr>
      <w:r>
        <w:rPr/>
        <w:t>Title V Permit No. O-00117 (Issued 3/8/00, Expires 3/8/05);</w:t>
      </w:r>
    </w:p>
    <w:p>
      <w:pPr>
        <w:pStyle w:val="Normal"/>
        <w:numPr>
          <w:ilvl w:val="0"/>
          <w:numId w:val="18"/>
        </w:numPr>
        <w:rPr/>
      </w:pPr>
      <w:r>
        <w:rPr/>
        <w:t>Standard Permit No. 26944 for East Dehydrator Flares (Issued 12/1/94);</w:t>
      </w:r>
    </w:p>
    <w:p>
      <w:pPr>
        <w:pStyle w:val="Normal"/>
        <w:numPr>
          <w:ilvl w:val="0"/>
          <w:numId w:val="18"/>
        </w:numPr>
        <w:rPr/>
      </w:pPr>
      <w:r>
        <w:rPr/>
        <w:t>Standard Permit No. 28750 for South Dehydrator Flares (Issued 1/27/95);</w:t>
      </w:r>
    </w:p>
    <w:p>
      <w:pPr>
        <w:pStyle w:val="Normal"/>
        <w:numPr>
          <w:ilvl w:val="0"/>
          <w:numId w:val="18"/>
        </w:numPr>
        <w:rPr/>
      </w:pPr>
      <w:r>
        <w:rPr/>
        <w:t>Standard Permit No. 27851 for West Dehydrator Flares (Issued 1/27/95);</w:t>
      </w:r>
    </w:p>
    <w:p>
      <w:pPr>
        <w:pStyle w:val="Normal"/>
        <w:numPr>
          <w:ilvl w:val="0"/>
          <w:numId w:val="18"/>
        </w:numPr>
        <w:rPr/>
      </w:pPr>
      <w:r>
        <w:rPr/>
        <w:t>Standard Permit No. 27852 for South Bammel Dehydrator Flare (Issued 1/27/95);</w:t>
      </w:r>
    </w:p>
    <w:p>
      <w:pPr>
        <w:pStyle w:val="Normal"/>
        <w:numPr>
          <w:ilvl w:val="0"/>
          <w:numId w:val="18"/>
        </w:numPr>
        <w:rPr/>
      </w:pPr>
      <w:r>
        <w:rPr/>
        <w:t>Standard Exemption X-15788 for Four Engines (Issued 9/84);</w:t>
      </w:r>
    </w:p>
    <w:p>
      <w:pPr>
        <w:pStyle w:val="Normal"/>
        <w:numPr>
          <w:ilvl w:val="0"/>
          <w:numId w:val="18"/>
        </w:numPr>
        <w:rPr/>
      </w:pPr>
      <w:r>
        <w:rPr/>
        <w:t>Standard Exemption X-11272 for Three Engines (Issued 1/80); and</w:t>
      </w:r>
    </w:p>
    <w:p>
      <w:pPr>
        <w:pStyle w:val="Normal"/>
        <w:numPr>
          <w:ilvl w:val="0"/>
          <w:numId w:val="18"/>
        </w:numPr>
        <w:rPr/>
      </w:pPr>
      <w:r>
        <w:rPr/>
        <w:t>Grandfathered Source Registration for Four Engines.</w:t>
      </w:r>
    </w:p>
    <w:p>
      <w:pPr>
        <w:pStyle w:val="Normal"/>
        <w:rPr/>
      </w:pPr>
      <w:r>
        <w:rPr/>
      </w:r>
    </w:p>
    <w:p>
      <w:pPr>
        <w:pStyle w:val="Normal"/>
        <w:rPr>
          <w:b/>
          <w:bCs/>
        </w:rPr>
      </w:pPr>
      <w:r>
        <w:rPr>
          <w:b/>
          <w:bCs/>
        </w:rPr>
        <w:t>Three Rivers Plant</w:t>
      </w:r>
    </w:p>
    <w:p>
      <w:pPr>
        <w:pStyle w:val="Normal"/>
        <w:rPr>
          <w:b/>
          <w:bCs/>
          <w:i/>
          <w:i/>
          <w:iCs/>
        </w:rPr>
      </w:pPr>
      <w:r>
        <w:rPr>
          <w:b/>
          <w:bCs/>
          <w:i/>
          <w:iCs/>
        </w:rPr>
        <w:t>Air Authorizations:</w:t>
      </w:r>
    </w:p>
    <w:p>
      <w:pPr>
        <w:pStyle w:val="Normal"/>
        <w:numPr>
          <w:ilvl w:val="0"/>
          <w:numId w:val="9"/>
        </w:numPr>
        <w:rPr/>
      </w:pPr>
      <w:r>
        <w:rPr/>
        <w:t>Title V Permit No. O-00208 (Issued 6/2/98, Expires 6/2/03);</w:t>
      </w:r>
    </w:p>
    <w:p>
      <w:pPr>
        <w:pStyle w:val="Normal"/>
        <w:numPr>
          <w:ilvl w:val="0"/>
          <w:numId w:val="9"/>
        </w:numPr>
        <w:rPr/>
      </w:pPr>
      <w:r>
        <w:rPr/>
        <w:t>Standard Permit No. 37568 (Issued 3/5/98);</w:t>
      </w:r>
    </w:p>
    <w:p>
      <w:pPr>
        <w:pStyle w:val="Normal"/>
        <w:numPr>
          <w:ilvl w:val="0"/>
          <w:numId w:val="9"/>
        </w:numPr>
        <w:rPr/>
      </w:pPr>
      <w:r>
        <w:rPr/>
        <w:t>Standard Exemption Registration No. 33872 (Issued 11/11/96);</w:t>
      </w:r>
    </w:p>
    <w:p>
      <w:pPr>
        <w:pStyle w:val="Normal"/>
        <w:numPr>
          <w:ilvl w:val="0"/>
          <w:numId w:val="9"/>
        </w:numPr>
        <w:rPr/>
      </w:pPr>
      <w:r>
        <w:rPr/>
        <w:t>Standard Exemption X-21446 (Issued 3/30/92);</w:t>
      </w:r>
    </w:p>
    <w:p>
      <w:pPr>
        <w:pStyle w:val="Normal"/>
        <w:numPr>
          <w:ilvl w:val="0"/>
          <w:numId w:val="9"/>
        </w:numPr>
        <w:rPr/>
      </w:pPr>
      <w:r>
        <w:rPr/>
        <w:t>Standard Exemption Letter (Issued 7/25/90); and</w:t>
      </w:r>
    </w:p>
    <w:p>
      <w:pPr>
        <w:pStyle w:val="Normal"/>
        <w:numPr>
          <w:ilvl w:val="0"/>
          <w:numId w:val="9"/>
        </w:numPr>
        <w:rPr/>
      </w:pPr>
      <w:r>
        <w:rPr/>
        <w:t>Standard Exemption Letter (Issued 8/17/88).</w:t>
      </w:r>
    </w:p>
    <w:p>
      <w:pPr>
        <w:pStyle w:val="Normal"/>
        <w:rPr/>
      </w:pPr>
      <w:r>
        <w:rPr/>
      </w:r>
    </w:p>
    <w:p>
      <w:pPr>
        <w:pStyle w:val="Normal"/>
        <w:rPr>
          <w:b/>
          <w:bCs/>
        </w:rPr>
      </w:pPr>
      <w:r>
        <w:rPr>
          <w:b/>
          <w:bCs/>
        </w:rPr>
        <w:t>Edna Warehouse</w:t>
      </w:r>
    </w:p>
    <w:p>
      <w:pPr>
        <w:pStyle w:val="Normal"/>
        <w:rPr>
          <w:b/>
          <w:bCs/>
          <w:i/>
          <w:i/>
          <w:iCs/>
        </w:rPr>
      </w:pPr>
      <w:r>
        <w:rPr>
          <w:b/>
          <w:bCs/>
          <w:i/>
          <w:iCs/>
        </w:rPr>
        <w:t>Air Authorizations:</w:t>
      </w:r>
    </w:p>
    <w:p>
      <w:pPr>
        <w:pStyle w:val="Normal"/>
        <w:numPr>
          <w:ilvl w:val="0"/>
          <w:numId w:val="4"/>
        </w:numPr>
        <w:rPr/>
      </w:pPr>
      <w:r>
        <w:rPr/>
        <w:t>Standard Exemption Letter for Solid Waste Incinerator (Issued 3/11/92).</w:t>
      </w:r>
    </w:p>
    <w:p>
      <w:pPr>
        <w:pStyle w:val="Normal"/>
        <w:rPr/>
      </w:pPr>
      <w:r>
        <w:rPr/>
      </w:r>
    </w:p>
    <w:p>
      <w:pPr>
        <w:pStyle w:val="Normal"/>
        <w:rPr>
          <w:b/>
          <w:bCs/>
        </w:rPr>
      </w:pPr>
      <w:r>
        <w:rPr>
          <w:b/>
          <w:bCs/>
        </w:rPr>
        <w:t>Lehman Dehydrator Site</w:t>
      </w:r>
    </w:p>
    <w:p>
      <w:pPr>
        <w:pStyle w:val="Normal"/>
        <w:rPr/>
      </w:pPr>
      <w:r>
        <w:rPr/>
        <w:t>See Schedule 4.15(a)</w:t>
      </w:r>
    </w:p>
    <w:p>
      <w:pPr>
        <w:pStyle w:val="Normal"/>
        <w:jc w:val="center"/>
        <w:rPr/>
      </w:pPr>
      <w:r>
        <w:rPr/>
        <w:t>PURCHASE AND SALE AGREEMENT</w:t>
      </w:r>
    </w:p>
    <w:p>
      <w:pPr>
        <w:pStyle w:val="Normal"/>
        <w:jc w:val="center"/>
        <w:rPr/>
      </w:pPr>
      <w:r>
        <w:rPr/>
      </w:r>
    </w:p>
    <w:p>
      <w:pPr>
        <w:pStyle w:val="Normal"/>
        <w:jc w:val="center"/>
        <w:rPr/>
      </w:pPr>
      <w:r>
        <w:rPr/>
        <w:t>Schedule 4.16</w:t>
      </w:r>
    </w:p>
    <w:p>
      <w:pPr>
        <w:pStyle w:val="Normal"/>
        <w:jc w:val="center"/>
        <w:rPr/>
      </w:pPr>
      <w:r>
        <w:rPr/>
        <w:t>Summary of Insurance</w:t>
      </w:r>
    </w:p>
    <w:p>
      <w:pPr>
        <w:pStyle w:val="Normal"/>
        <w:jc w:val="center"/>
        <w:rPr/>
      </w:pPr>
      <w:r>
        <w:rPr/>
      </w:r>
    </w:p>
    <w:p>
      <w:pPr>
        <w:pStyle w:val="Normal"/>
        <w:jc w:val="center"/>
        <w:rPr/>
      </w:pPr>
      <w:r>
        <w:rPr/>
      </w:r>
    </w:p>
    <w:tbl>
      <w:tblPr>
        <w:tblW w:w="10584" w:type="dxa"/>
        <w:jc w:val="start"/>
        <w:tblInd w:w="0" w:type="dxa"/>
        <w:tblLayout w:type="fixed"/>
        <w:tblCellMar>
          <w:top w:w="0" w:type="dxa"/>
          <w:start w:w="54" w:type="dxa"/>
          <w:bottom w:w="0" w:type="dxa"/>
          <w:end w:w="54" w:type="dxa"/>
        </w:tblCellMar>
      </w:tblPr>
      <w:tblGrid>
        <w:gridCol w:w="3564"/>
        <w:gridCol w:w="1980"/>
        <w:gridCol w:w="2430"/>
        <w:gridCol w:w="2610"/>
      </w:tblGrid>
      <w:tr>
        <w:trPr>
          <w:trHeight w:val="315" w:hRule="atLeast"/>
        </w:trPr>
        <w:tc>
          <w:tcPr>
            <w:tcW w:w="3564" w:type="dxa"/>
            <w:tcBorders/>
          </w:tcPr>
          <w:p>
            <w:pPr>
              <w:pStyle w:val="Normal"/>
              <w:widowControl w:val="false"/>
              <w:autoSpaceDE w:val="false"/>
              <w:rPr>
                <w:b/>
                <w:bCs/>
              </w:rPr>
            </w:pPr>
            <w:r>
              <w:rPr>
                <w:b/>
                <w:bCs/>
              </w:rPr>
              <w:t>Excess Liability</w:t>
            </w:r>
          </w:p>
        </w:tc>
        <w:tc>
          <w:tcPr>
            <w:tcW w:w="1980" w:type="dxa"/>
            <w:tcBorders/>
          </w:tcPr>
          <w:p>
            <w:pPr>
              <w:pStyle w:val="Header"/>
              <w:widowControl w:val="false"/>
              <w:tabs>
                <w:tab w:val="clear" w:pos="4680"/>
                <w:tab w:val="clear" w:pos="9360"/>
              </w:tabs>
              <w:autoSpaceDE w:val="false"/>
              <w:snapToGrid w:val="false"/>
              <w:rPr>
                <w:b/>
                <w:bCs/>
              </w:rPr>
            </w:pPr>
            <w:r>
              <w:rPr>
                <w:b/>
                <w:bCs/>
              </w:rPr>
            </w:r>
          </w:p>
        </w:tc>
        <w:tc>
          <w:tcPr>
            <w:tcW w:w="2430" w:type="dxa"/>
            <w:tcBorders/>
          </w:tcPr>
          <w:p>
            <w:pPr>
              <w:pStyle w:val="Header"/>
              <w:widowControl w:val="false"/>
              <w:tabs>
                <w:tab w:val="clear" w:pos="4680"/>
                <w:tab w:val="clear" w:pos="9360"/>
              </w:tabs>
              <w:autoSpaceDE w:val="false"/>
              <w:snapToGrid w:val="false"/>
              <w:rPr/>
            </w:pPr>
            <w:r>
              <w:rPr/>
            </w:r>
          </w:p>
        </w:tc>
        <w:tc>
          <w:tcPr>
            <w:tcW w:w="2610" w:type="dxa"/>
            <w:tcBorders/>
          </w:tcPr>
          <w:p>
            <w:pPr>
              <w:pStyle w:val="Header"/>
              <w:widowControl w:val="false"/>
              <w:tabs>
                <w:tab w:val="clear" w:pos="4680"/>
                <w:tab w:val="clear" w:pos="9360"/>
              </w:tabs>
              <w:autoSpaceDE w:val="false"/>
              <w:snapToGrid w:val="false"/>
              <w:rPr/>
            </w:pPr>
            <w:r>
              <w:rPr/>
            </w:r>
          </w:p>
        </w:tc>
      </w:tr>
      <w:tr>
        <w:trPr>
          <w:trHeight w:val="315" w:hRule="atLeast"/>
        </w:trPr>
        <w:tc>
          <w:tcPr>
            <w:tcW w:w="3564" w:type="dxa"/>
            <w:tcBorders/>
          </w:tcPr>
          <w:p>
            <w:pPr>
              <w:pStyle w:val="Normal"/>
              <w:widowControl w:val="false"/>
              <w:autoSpaceDE w:val="false"/>
              <w:snapToGrid w:val="false"/>
              <w:rPr>
                <w:b/>
                <w:bCs/>
              </w:rPr>
            </w:pPr>
            <w:r>
              <w:rPr>
                <w:b/>
                <w:bCs/>
              </w:rPr>
            </w:r>
          </w:p>
        </w:tc>
        <w:tc>
          <w:tcPr>
            <w:tcW w:w="1980" w:type="dxa"/>
            <w:tcBorders/>
          </w:tcPr>
          <w:p>
            <w:pPr>
              <w:pStyle w:val="Normal"/>
              <w:widowControl w:val="false"/>
              <w:autoSpaceDE w:val="false"/>
              <w:snapToGrid w:val="false"/>
              <w:rPr>
                <w:b/>
                <w:bCs/>
              </w:rPr>
            </w:pPr>
            <w:r>
              <w:rPr>
                <w:b/>
                <w:bCs/>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bCs/>
                <w:u w:val="single"/>
              </w:rPr>
            </w:pPr>
            <w:r>
              <w:rPr>
                <w:b/>
                <w:bCs/>
                <w:u w:val="single"/>
              </w:rPr>
              <w:t>Insurer</w:t>
            </w:r>
          </w:p>
        </w:tc>
        <w:tc>
          <w:tcPr>
            <w:tcW w:w="1980" w:type="dxa"/>
            <w:tcBorders/>
          </w:tcPr>
          <w:p>
            <w:pPr>
              <w:pStyle w:val="Normal"/>
              <w:widowControl w:val="false"/>
              <w:autoSpaceDE w:val="false"/>
              <w:rPr>
                <w:b/>
                <w:bCs/>
                <w:u w:val="single"/>
              </w:rPr>
            </w:pPr>
            <w:r>
              <w:rPr>
                <w:b/>
                <w:bCs/>
                <w:u w:val="single"/>
              </w:rPr>
              <w:t>Policy Number</w:t>
            </w:r>
          </w:p>
        </w:tc>
        <w:tc>
          <w:tcPr>
            <w:tcW w:w="2430" w:type="dxa"/>
            <w:tcBorders/>
          </w:tcPr>
          <w:p>
            <w:pPr>
              <w:pStyle w:val="Normal"/>
              <w:widowControl w:val="false"/>
              <w:autoSpaceDE w:val="false"/>
              <w:rPr>
                <w:b/>
                <w:bCs/>
                <w:u w:val="single"/>
              </w:rPr>
            </w:pPr>
            <w:r>
              <w:rPr>
                <w:b/>
                <w:bCs/>
                <w:u w:val="single"/>
              </w:rPr>
              <w:t>Policy Limits</w:t>
            </w:r>
          </w:p>
        </w:tc>
        <w:tc>
          <w:tcPr>
            <w:tcW w:w="2610" w:type="dxa"/>
            <w:tcBorders/>
          </w:tcPr>
          <w:p>
            <w:pPr>
              <w:pStyle w:val="Normal"/>
              <w:widowControl w:val="false"/>
              <w:autoSpaceDE w:val="false"/>
              <w:rPr>
                <w:b/>
                <w:bCs/>
                <w:u w:val="single"/>
              </w:rPr>
            </w:pPr>
            <w:r>
              <w:rPr>
                <w:b/>
                <w:bCs/>
                <w:u w:val="single"/>
              </w:rPr>
              <w:t>Policy Term</w:t>
            </w:r>
          </w:p>
        </w:tc>
      </w:tr>
      <w:tr>
        <w:trPr>
          <w:trHeight w:val="315" w:hRule="atLeast"/>
        </w:trPr>
        <w:tc>
          <w:tcPr>
            <w:tcW w:w="3564" w:type="dxa"/>
            <w:tcBorders/>
          </w:tcPr>
          <w:p>
            <w:pPr>
              <w:pStyle w:val="Normal"/>
              <w:widowControl w:val="false"/>
              <w:autoSpaceDE w:val="false"/>
              <w:rPr/>
            </w:pPr>
            <w:r>
              <w:rPr/>
              <w:t>AEGIS Insurance Services, Inc.</w:t>
            </w:r>
          </w:p>
        </w:tc>
        <w:tc>
          <w:tcPr>
            <w:tcW w:w="1980" w:type="dxa"/>
            <w:tcBorders/>
          </w:tcPr>
          <w:p>
            <w:pPr>
              <w:pStyle w:val="Normal"/>
              <w:widowControl w:val="false"/>
              <w:autoSpaceDE w:val="false"/>
              <w:rPr/>
            </w:pPr>
            <w:r>
              <w:rPr/>
              <w:t>XOO79A1A99</w:t>
            </w:r>
          </w:p>
        </w:tc>
        <w:tc>
          <w:tcPr>
            <w:tcW w:w="2430" w:type="dxa"/>
            <w:tcBorders/>
          </w:tcPr>
          <w:p>
            <w:pPr>
              <w:pStyle w:val="Normal"/>
              <w:widowControl w:val="false"/>
              <w:autoSpaceDE w:val="false"/>
              <w:rPr/>
            </w:pPr>
            <w:r>
              <w:rPr/>
              <w:t>$35mm occ &amp; agg</w:t>
            </w:r>
          </w:p>
        </w:tc>
        <w:tc>
          <w:tcPr>
            <w:tcW w:w="2610" w:type="dxa"/>
            <w:tcBorders/>
          </w:tcPr>
          <w:p>
            <w:pPr>
              <w:pStyle w:val="Normal"/>
              <w:widowControl w:val="false"/>
              <w:autoSpaceDE w:val="false"/>
              <w:rPr/>
            </w:pPr>
            <w:r>
              <w:rPr/>
              <w:t>4/21/99-03</w:t>
            </w:r>
          </w:p>
        </w:tc>
      </w:tr>
      <w:tr>
        <w:trPr>
          <w:trHeight w:val="315" w:hRule="atLeast"/>
        </w:trPr>
        <w:tc>
          <w:tcPr>
            <w:tcW w:w="3564" w:type="dxa"/>
            <w:tcBorders/>
          </w:tcPr>
          <w:p>
            <w:pPr>
              <w:pStyle w:val="Normal"/>
              <w:widowControl w:val="false"/>
              <w:autoSpaceDE w:val="false"/>
              <w:rPr/>
            </w:pPr>
            <w:r>
              <w:rPr/>
              <w:t>Energy Insurance Mutual</w:t>
            </w:r>
          </w:p>
        </w:tc>
        <w:tc>
          <w:tcPr>
            <w:tcW w:w="1980" w:type="dxa"/>
            <w:tcBorders/>
          </w:tcPr>
          <w:p>
            <w:pPr>
              <w:pStyle w:val="Normal"/>
              <w:widowControl w:val="false"/>
              <w:autoSpaceDE w:val="false"/>
              <w:rPr/>
            </w:pPr>
            <w:r>
              <w:rPr/>
              <w:t>50101900GL</w:t>
            </w:r>
          </w:p>
        </w:tc>
        <w:tc>
          <w:tcPr>
            <w:tcW w:w="2430" w:type="dxa"/>
            <w:tcBorders/>
          </w:tcPr>
          <w:p>
            <w:pPr>
              <w:pStyle w:val="Normal"/>
              <w:widowControl w:val="false"/>
              <w:autoSpaceDE w:val="false"/>
              <w:rPr/>
            </w:pPr>
            <w:r>
              <w:rPr/>
              <w:t>$100mm agg xs of $35mm</w:t>
            </w:r>
          </w:p>
        </w:tc>
        <w:tc>
          <w:tcPr>
            <w:tcW w:w="2610" w:type="dxa"/>
            <w:tcBorders/>
          </w:tcPr>
          <w:p>
            <w:pPr>
              <w:pStyle w:val="Normal"/>
              <w:widowControl w:val="false"/>
              <w:autoSpaceDE w:val="false"/>
              <w:rPr/>
            </w:pPr>
            <w:r>
              <w:rPr/>
              <w:t>4/21/00-01</w:t>
            </w:r>
          </w:p>
        </w:tc>
      </w:tr>
      <w:tr>
        <w:trPr>
          <w:trHeight w:val="315" w:hRule="atLeast"/>
        </w:trPr>
        <w:tc>
          <w:tcPr>
            <w:tcW w:w="3564" w:type="dxa"/>
            <w:tcBorders/>
          </w:tcPr>
          <w:p>
            <w:pPr>
              <w:pStyle w:val="Normal"/>
              <w:widowControl w:val="false"/>
              <w:autoSpaceDE w:val="false"/>
              <w:rPr/>
            </w:pPr>
            <w:r>
              <w:rPr/>
              <w:t>Lloyd's of London</w:t>
            </w:r>
          </w:p>
        </w:tc>
        <w:tc>
          <w:tcPr>
            <w:tcW w:w="1980" w:type="dxa"/>
            <w:tcBorders/>
          </w:tcPr>
          <w:p>
            <w:pPr>
              <w:pStyle w:val="Normal"/>
              <w:widowControl w:val="false"/>
              <w:autoSpaceDE w:val="false"/>
              <w:rPr/>
            </w:pPr>
            <w:r>
              <w:rPr/>
              <w:t>LE0029962</w:t>
            </w:r>
          </w:p>
        </w:tc>
        <w:tc>
          <w:tcPr>
            <w:tcW w:w="2430" w:type="dxa"/>
            <w:tcBorders/>
          </w:tcPr>
          <w:p>
            <w:pPr>
              <w:pStyle w:val="Normal"/>
              <w:widowControl w:val="false"/>
              <w:autoSpaceDE w:val="false"/>
              <w:rPr/>
            </w:pPr>
            <w:r>
              <w:rPr/>
              <w:t>$200mm agg xs of $135mm</w:t>
            </w:r>
          </w:p>
        </w:tc>
        <w:tc>
          <w:tcPr>
            <w:tcW w:w="2610" w:type="dxa"/>
            <w:tcBorders/>
          </w:tcPr>
          <w:p>
            <w:pPr>
              <w:pStyle w:val="Normal"/>
              <w:widowControl w:val="false"/>
              <w:autoSpaceDE w:val="false"/>
              <w:rPr/>
            </w:pPr>
            <w:r>
              <w:rPr/>
              <w:t>4/21/00-01</w:t>
            </w:r>
          </w:p>
        </w:tc>
      </w:tr>
      <w:tr>
        <w:trPr>
          <w:trHeight w:val="315" w:hRule="atLeast"/>
        </w:trPr>
        <w:tc>
          <w:tcPr>
            <w:tcW w:w="3564" w:type="dxa"/>
            <w:tcBorders/>
          </w:tcPr>
          <w:p>
            <w:pPr>
              <w:pStyle w:val="Normal"/>
              <w:widowControl w:val="false"/>
              <w:autoSpaceDE w:val="false"/>
              <w:rPr/>
            </w:pPr>
            <w:r>
              <w:rPr/>
              <w:t>Lloyd's of London</w:t>
            </w:r>
          </w:p>
        </w:tc>
        <w:tc>
          <w:tcPr>
            <w:tcW w:w="1980" w:type="dxa"/>
            <w:tcBorders/>
          </w:tcPr>
          <w:p>
            <w:pPr>
              <w:pStyle w:val="Normal"/>
              <w:widowControl w:val="false"/>
              <w:autoSpaceDE w:val="false"/>
              <w:rPr/>
            </w:pPr>
            <w:r>
              <w:rPr/>
              <w:t>LE0029963</w:t>
            </w:r>
          </w:p>
        </w:tc>
        <w:tc>
          <w:tcPr>
            <w:tcW w:w="2430" w:type="dxa"/>
            <w:tcBorders/>
          </w:tcPr>
          <w:p>
            <w:pPr>
              <w:pStyle w:val="Normal"/>
              <w:widowControl w:val="false"/>
              <w:autoSpaceDE w:val="false"/>
              <w:rPr/>
            </w:pPr>
            <w:r>
              <w:rPr/>
              <w:t>$25mm agg xs of $335mm</w:t>
            </w:r>
          </w:p>
        </w:tc>
        <w:tc>
          <w:tcPr>
            <w:tcW w:w="2610" w:type="dxa"/>
            <w:tcBorders/>
          </w:tcPr>
          <w:p>
            <w:pPr>
              <w:pStyle w:val="Normal"/>
              <w:widowControl w:val="false"/>
              <w:autoSpaceDE w:val="false"/>
              <w:rPr/>
            </w:pPr>
            <w:r>
              <w:rPr/>
              <w:t>4/21/00-01</w:t>
            </w:r>
          </w:p>
        </w:tc>
      </w:tr>
      <w:tr>
        <w:trPr>
          <w:trHeight w:val="315" w:hRule="atLeast"/>
        </w:trPr>
        <w:tc>
          <w:tcPr>
            <w:tcW w:w="3564" w:type="dxa"/>
            <w:tcBorders/>
          </w:tcPr>
          <w:p>
            <w:pPr>
              <w:pStyle w:val="Normal"/>
              <w:widowControl w:val="false"/>
              <w:autoSpaceDE w:val="false"/>
              <w:rPr/>
            </w:pPr>
            <w:r>
              <w:rPr/>
              <w:t>Kemper Ins. Company</w:t>
            </w:r>
          </w:p>
        </w:tc>
        <w:tc>
          <w:tcPr>
            <w:tcW w:w="1980" w:type="dxa"/>
            <w:tcBorders/>
          </w:tcPr>
          <w:p>
            <w:pPr>
              <w:pStyle w:val="Normal"/>
              <w:widowControl w:val="false"/>
              <w:autoSpaceDE w:val="false"/>
              <w:rPr/>
            </w:pPr>
            <w:r>
              <w:rPr/>
              <w:t>9SR131340-00</w:t>
            </w:r>
          </w:p>
        </w:tc>
        <w:tc>
          <w:tcPr>
            <w:tcW w:w="2430" w:type="dxa"/>
            <w:tcBorders/>
          </w:tcPr>
          <w:p>
            <w:pPr>
              <w:pStyle w:val="Normal"/>
              <w:widowControl w:val="false"/>
              <w:autoSpaceDE w:val="false"/>
              <w:rPr/>
            </w:pPr>
            <w:r>
              <w:rPr/>
              <w:t>$50mm agg xs of $360mm</w:t>
            </w:r>
          </w:p>
        </w:tc>
        <w:tc>
          <w:tcPr>
            <w:tcW w:w="2610" w:type="dxa"/>
            <w:tcBorders/>
          </w:tcPr>
          <w:p>
            <w:pPr>
              <w:pStyle w:val="Normal"/>
              <w:widowControl w:val="false"/>
              <w:autoSpaceDE w:val="false"/>
              <w:rPr/>
            </w:pPr>
            <w:r>
              <w:rPr/>
              <w:t>4/21/00-01</w:t>
            </w:r>
          </w:p>
        </w:tc>
      </w:tr>
      <w:tr>
        <w:trPr>
          <w:trHeight w:val="315" w:hRule="atLeast"/>
        </w:trPr>
        <w:tc>
          <w:tcPr>
            <w:tcW w:w="3564" w:type="dxa"/>
            <w:tcBorders/>
          </w:tcPr>
          <w:p>
            <w:pPr>
              <w:pStyle w:val="Normal"/>
              <w:widowControl w:val="false"/>
              <w:autoSpaceDE w:val="false"/>
              <w:rPr/>
            </w:pPr>
            <w:r>
              <w:rPr/>
              <w:t>Bermuda</w:t>
            </w:r>
          </w:p>
        </w:tc>
        <w:tc>
          <w:tcPr>
            <w:tcW w:w="1980" w:type="dxa"/>
            <w:tcBorders/>
          </w:tcPr>
          <w:p>
            <w:pPr>
              <w:pStyle w:val="Normal"/>
              <w:widowControl w:val="false"/>
              <w:autoSpaceDE w:val="false"/>
              <w:rPr/>
            </w:pPr>
            <w:r>
              <w:rPr/>
              <w:t>TBA</w:t>
            </w:r>
          </w:p>
        </w:tc>
        <w:tc>
          <w:tcPr>
            <w:tcW w:w="2430" w:type="dxa"/>
            <w:tcBorders/>
          </w:tcPr>
          <w:p>
            <w:pPr>
              <w:pStyle w:val="Normal"/>
              <w:widowControl w:val="false"/>
              <w:autoSpaceDE w:val="false"/>
              <w:rPr/>
            </w:pPr>
            <w:r>
              <w:rPr/>
              <w:t>$440mm agg xs of $410mm</w:t>
            </w:r>
          </w:p>
        </w:tc>
        <w:tc>
          <w:tcPr>
            <w:tcW w:w="2610" w:type="dxa"/>
            <w:tcBorders/>
          </w:tcPr>
          <w:p>
            <w:pPr>
              <w:pStyle w:val="Normal"/>
              <w:widowControl w:val="false"/>
              <w:autoSpaceDE w:val="false"/>
              <w:rPr/>
            </w:pPr>
            <w:r>
              <w:rPr/>
              <w:t>4/21/00-01</w:t>
            </w:r>
          </w:p>
        </w:tc>
      </w:tr>
      <w:tr>
        <w:trPr>
          <w:trHeight w:val="315" w:hRule="atLeast"/>
        </w:trPr>
        <w:tc>
          <w:tcPr>
            <w:tcW w:w="3564" w:type="dxa"/>
            <w:tcBorders/>
          </w:tcPr>
          <w:p>
            <w:pPr>
              <w:pStyle w:val="Normal"/>
              <w:widowControl w:val="false"/>
              <w:autoSpaceDE w:val="false"/>
              <w:rPr/>
            </w:pPr>
            <w:r>
              <w:rPr/>
              <w:t xml:space="preserve">    </w:t>
            </w:r>
            <w:r>
              <w:rPr/>
              <w:t>XL Ins. Co. ($140mm)</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 xml:space="preserve">   </w:t>
            </w:r>
            <w:r>
              <w:rPr/>
              <w:t>Ace Bermuda Ltd. ($100mm)</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 xml:space="preserve">   </w:t>
            </w:r>
            <w:r>
              <w:rPr/>
              <w:t>Starr Excess Int'l Ltd. ($100mm)</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Header"/>
              <w:widowControl w:val="false"/>
              <w:tabs>
                <w:tab w:val="clear" w:pos="4680"/>
                <w:tab w:val="clear" w:pos="9360"/>
              </w:tabs>
              <w:autoSpaceDE w:val="false"/>
              <w:rPr/>
            </w:pPr>
            <w:r>
              <w:rPr/>
              <w:t xml:space="preserve">   </w:t>
            </w:r>
            <w:r>
              <w:rPr/>
              <w:t xml:space="preserve">Zurich Global Energy Ltd. </w:t>
              <w:tab/>
              <w:t>($100mm)</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bCs/>
              </w:rPr>
            </w:pPr>
            <w:r>
              <w:rPr>
                <w:b/>
                <w:bCs/>
              </w:rPr>
              <w:t>Property</w:t>
            </w:r>
          </w:p>
        </w:tc>
        <w:tc>
          <w:tcPr>
            <w:tcW w:w="1980" w:type="dxa"/>
            <w:tcBorders/>
          </w:tcPr>
          <w:p>
            <w:pPr>
              <w:pStyle w:val="Normal"/>
              <w:widowControl w:val="false"/>
              <w:autoSpaceDE w:val="false"/>
              <w:snapToGrid w:val="false"/>
              <w:rPr>
                <w:b/>
                <w:bCs/>
              </w:rPr>
            </w:pPr>
            <w:r>
              <w:rPr>
                <w:b/>
                <w:bCs/>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snapToGrid w:val="false"/>
              <w:rPr>
                <w:b/>
                <w:bCs/>
              </w:rPr>
            </w:pPr>
            <w:r>
              <w:rPr>
                <w:b/>
                <w:bCs/>
              </w:rPr>
            </w:r>
          </w:p>
        </w:tc>
        <w:tc>
          <w:tcPr>
            <w:tcW w:w="1980" w:type="dxa"/>
            <w:tcBorders/>
          </w:tcPr>
          <w:p>
            <w:pPr>
              <w:pStyle w:val="Normal"/>
              <w:widowControl w:val="false"/>
              <w:autoSpaceDE w:val="false"/>
              <w:snapToGrid w:val="false"/>
              <w:rPr>
                <w:b/>
                <w:bCs/>
              </w:rPr>
            </w:pPr>
            <w:r>
              <w:rPr>
                <w:b/>
                <w:bCs/>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bCs/>
                <w:u w:val="single"/>
              </w:rPr>
            </w:pPr>
            <w:r>
              <w:rPr>
                <w:b/>
                <w:bCs/>
                <w:u w:val="single"/>
              </w:rPr>
              <w:t>Insurer</w:t>
            </w:r>
          </w:p>
        </w:tc>
        <w:tc>
          <w:tcPr>
            <w:tcW w:w="1980" w:type="dxa"/>
            <w:tcBorders/>
          </w:tcPr>
          <w:p>
            <w:pPr>
              <w:pStyle w:val="Normal"/>
              <w:widowControl w:val="false"/>
              <w:autoSpaceDE w:val="false"/>
              <w:rPr>
                <w:b/>
                <w:bCs/>
                <w:u w:val="single"/>
              </w:rPr>
            </w:pPr>
            <w:r>
              <w:rPr>
                <w:b/>
                <w:bCs/>
                <w:u w:val="single"/>
              </w:rPr>
              <w:t>Policy Number</w:t>
            </w:r>
          </w:p>
        </w:tc>
        <w:tc>
          <w:tcPr>
            <w:tcW w:w="2430" w:type="dxa"/>
            <w:tcBorders/>
          </w:tcPr>
          <w:p>
            <w:pPr>
              <w:pStyle w:val="Normal"/>
              <w:widowControl w:val="false"/>
              <w:autoSpaceDE w:val="false"/>
              <w:rPr>
                <w:b/>
                <w:bCs/>
                <w:u w:val="single"/>
              </w:rPr>
            </w:pPr>
            <w:r>
              <w:rPr>
                <w:b/>
                <w:bCs/>
                <w:u w:val="single"/>
              </w:rPr>
              <w:t>Policy Limits</w:t>
            </w:r>
          </w:p>
        </w:tc>
        <w:tc>
          <w:tcPr>
            <w:tcW w:w="2610" w:type="dxa"/>
            <w:tcBorders/>
          </w:tcPr>
          <w:p>
            <w:pPr>
              <w:pStyle w:val="Normal"/>
              <w:widowControl w:val="false"/>
              <w:autoSpaceDE w:val="false"/>
              <w:rPr>
                <w:b/>
                <w:bCs/>
                <w:u w:val="single"/>
              </w:rPr>
            </w:pPr>
            <w:r>
              <w:rPr>
                <w:b/>
                <w:bCs/>
                <w:u w:val="single"/>
              </w:rPr>
              <w:t>Policy Term</w:t>
            </w:r>
          </w:p>
        </w:tc>
      </w:tr>
      <w:tr>
        <w:trPr>
          <w:trHeight w:val="315" w:hRule="atLeast"/>
        </w:trPr>
        <w:tc>
          <w:tcPr>
            <w:tcW w:w="3564" w:type="dxa"/>
            <w:tcBorders/>
          </w:tcPr>
          <w:p>
            <w:pPr>
              <w:pStyle w:val="Normal"/>
              <w:widowControl w:val="false"/>
              <w:autoSpaceDE w:val="false"/>
              <w:rPr/>
            </w:pPr>
            <w:r>
              <w:rPr/>
              <w:t>Lloyd's of London  (60%)</w:t>
            </w:r>
          </w:p>
        </w:tc>
        <w:tc>
          <w:tcPr>
            <w:tcW w:w="1980" w:type="dxa"/>
            <w:tcBorders/>
          </w:tcPr>
          <w:p>
            <w:pPr>
              <w:pStyle w:val="Normal"/>
              <w:widowControl w:val="false"/>
              <w:autoSpaceDE w:val="false"/>
              <w:rPr/>
            </w:pPr>
            <w:r>
              <w:rPr/>
              <w:t>LU0028583</w:t>
            </w:r>
          </w:p>
        </w:tc>
        <w:tc>
          <w:tcPr>
            <w:tcW w:w="2430" w:type="dxa"/>
            <w:tcBorders/>
          </w:tcPr>
          <w:p>
            <w:pPr>
              <w:pStyle w:val="Normal"/>
              <w:widowControl w:val="false"/>
              <w:autoSpaceDE w:val="false"/>
              <w:rPr/>
            </w:pPr>
            <w:r>
              <w:rPr/>
              <w:t>$150mm per occ</w:t>
            </w:r>
          </w:p>
        </w:tc>
        <w:tc>
          <w:tcPr>
            <w:tcW w:w="2610" w:type="dxa"/>
            <w:tcBorders/>
          </w:tcPr>
          <w:p>
            <w:pPr>
              <w:pStyle w:val="Normal"/>
              <w:widowControl w:val="false"/>
              <w:autoSpaceDE w:val="false"/>
              <w:rPr/>
            </w:pPr>
            <w:r>
              <w:rPr/>
              <w:t>3/1/00-01</w:t>
            </w:r>
          </w:p>
        </w:tc>
      </w:tr>
      <w:tr>
        <w:trPr>
          <w:trHeight w:val="315" w:hRule="atLeast"/>
        </w:trPr>
        <w:tc>
          <w:tcPr>
            <w:tcW w:w="3564" w:type="dxa"/>
            <w:tcBorders/>
          </w:tcPr>
          <w:p>
            <w:pPr>
              <w:pStyle w:val="Normal"/>
              <w:widowControl w:val="false"/>
              <w:autoSpaceDE w:val="false"/>
              <w:rPr/>
            </w:pPr>
            <w:r>
              <w:rPr/>
              <w:t>Swiss Re  (20%)</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rPr/>
            </w:pPr>
            <w:r>
              <w:rPr/>
              <w:t xml:space="preserve">$150mm agg for </w:t>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Great Lakes Reinsurance (10%)</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rPr/>
            </w:pPr>
            <w:r>
              <w:rPr/>
              <w:t>Flood &amp; Eq. Except CA</w:t>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Houston Casualty Co.  (10%)</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rPr/>
            </w:pPr>
            <w:r>
              <w:rPr/>
              <w:t>EQ $50mm agg</w:t>
            </w:r>
          </w:p>
        </w:tc>
        <w:tc>
          <w:tcPr>
            <w:tcW w:w="2610" w:type="dxa"/>
            <w:tcBorders/>
          </w:tcPr>
          <w:p>
            <w:pPr>
              <w:pStyle w:val="Normal"/>
              <w:widowControl w:val="false"/>
              <w:autoSpaceDE w:val="false"/>
              <w:snapToGrid w:val="false"/>
              <w:rPr/>
            </w:pPr>
            <w:r>
              <w:rPr/>
            </w:r>
          </w:p>
        </w:tc>
      </w:tr>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bCs/>
              </w:rPr>
            </w:pPr>
            <w:r>
              <w:rPr>
                <w:b/>
                <w:bCs/>
              </w:rPr>
              <w:t>Property (Excess Layer)</w:t>
            </w:r>
          </w:p>
        </w:tc>
        <w:tc>
          <w:tcPr>
            <w:tcW w:w="1980" w:type="dxa"/>
            <w:tcBorders/>
          </w:tcPr>
          <w:p>
            <w:pPr>
              <w:pStyle w:val="Normal"/>
              <w:widowControl w:val="false"/>
              <w:autoSpaceDE w:val="false"/>
              <w:rPr/>
            </w:pPr>
            <w:r>
              <w:rPr/>
              <w:t>LU0028579</w:t>
            </w:r>
          </w:p>
        </w:tc>
        <w:tc>
          <w:tcPr>
            <w:tcW w:w="2430" w:type="dxa"/>
            <w:tcBorders/>
          </w:tcPr>
          <w:p>
            <w:pPr>
              <w:pStyle w:val="Normal"/>
              <w:widowControl w:val="false"/>
              <w:autoSpaceDE w:val="false"/>
              <w:rPr/>
            </w:pPr>
            <w:r>
              <w:rPr/>
              <w:t>$600mm Onshore</w:t>
            </w:r>
          </w:p>
        </w:tc>
        <w:tc>
          <w:tcPr>
            <w:tcW w:w="2610" w:type="dxa"/>
            <w:tcBorders/>
          </w:tcPr>
          <w:p>
            <w:pPr>
              <w:pStyle w:val="Normal"/>
              <w:widowControl w:val="false"/>
              <w:autoSpaceDE w:val="false"/>
              <w:rPr/>
            </w:pPr>
            <w:r>
              <w:rPr/>
              <w:t>3/1/00-01</w:t>
            </w:r>
          </w:p>
        </w:tc>
      </w:tr>
      <w:tr>
        <w:trPr>
          <w:trHeight w:val="315" w:hRule="atLeast"/>
        </w:trPr>
        <w:tc>
          <w:tcPr>
            <w:tcW w:w="3564" w:type="dxa"/>
            <w:tcBorders/>
          </w:tcPr>
          <w:p>
            <w:pPr>
              <w:pStyle w:val="Normal"/>
              <w:widowControl w:val="false"/>
              <w:autoSpaceDE w:val="false"/>
              <w:rPr/>
            </w:pPr>
            <w:r>
              <w:rPr/>
              <w:t>Lloyd's of London  (65%)</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Harrington International Ins. Ltd. (30%)</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Houston Casualty Co.  (5%)</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bl>
    <w:p>
      <w:pPr>
        <w:pStyle w:val="Normal"/>
        <w:jc w:val="center"/>
        <w:rPr/>
      </w:pPr>
      <w:r>
        <w:rPr/>
        <w:t>PURCHASE AND SALE AGREEMENT</w:t>
      </w:r>
    </w:p>
    <w:p>
      <w:pPr>
        <w:pStyle w:val="Normal"/>
        <w:jc w:val="center"/>
        <w:rPr/>
      </w:pPr>
      <w:r>
        <w:rPr/>
      </w:r>
    </w:p>
    <w:p>
      <w:pPr>
        <w:pStyle w:val="Normal"/>
        <w:jc w:val="center"/>
        <w:rPr/>
      </w:pPr>
      <w:r>
        <w:rPr/>
        <w:t>Schedule 4.16</w:t>
      </w:r>
    </w:p>
    <w:p>
      <w:pPr>
        <w:pStyle w:val="Normal"/>
        <w:jc w:val="center"/>
        <w:rPr/>
      </w:pPr>
      <w:r>
        <w:rPr/>
        <w:t>Summary of Insurance, continued (page 2)</w:t>
      </w:r>
    </w:p>
    <w:p>
      <w:pPr>
        <w:pStyle w:val="Normal"/>
        <w:rPr/>
      </w:pPr>
      <w:r>
        <w:rPr/>
      </w:r>
    </w:p>
    <w:tbl>
      <w:tblPr>
        <w:tblW w:w="10584" w:type="dxa"/>
        <w:jc w:val="start"/>
        <w:tblInd w:w="0" w:type="dxa"/>
        <w:tblLayout w:type="fixed"/>
        <w:tblCellMar>
          <w:top w:w="0" w:type="dxa"/>
          <w:start w:w="54" w:type="dxa"/>
          <w:bottom w:w="0" w:type="dxa"/>
          <w:end w:w="54" w:type="dxa"/>
        </w:tblCellMar>
      </w:tblPr>
      <w:tblGrid>
        <w:gridCol w:w="3564"/>
        <w:gridCol w:w="1980"/>
        <w:gridCol w:w="2430"/>
        <w:gridCol w:w="2610"/>
      </w:tblGrid>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bCs/>
              </w:rPr>
            </w:pPr>
            <w:r>
              <w:rPr>
                <w:b/>
                <w:bCs/>
              </w:rPr>
              <w:t>Directors &amp; Officers Liability</w:t>
            </w:r>
          </w:p>
        </w:tc>
        <w:tc>
          <w:tcPr>
            <w:tcW w:w="1980" w:type="dxa"/>
            <w:tcBorders/>
          </w:tcPr>
          <w:p>
            <w:pPr>
              <w:pStyle w:val="Normal"/>
              <w:widowControl w:val="false"/>
              <w:autoSpaceDE w:val="false"/>
              <w:snapToGrid w:val="false"/>
              <w:rPr>
                <w:b/>
                <w:bCs/>
              </w:rPr>
            </w:pPr>
            <w:r>
              <w:rPr>
                <w:b/>
                <w:bCs/>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bCs/>
                <w:u w:val="single"/>
              </w:rPr>
            </w:pPr>
            <w:r>
              <w:rPr>
                <w:b/>
                <w:bCs/>
                <w:u w:val="single"/>
              </w:rPr>
              <w:t>Insurer</w:t>
            </w:r>
          </w:p>
        </w:tc>
        <w:tc>
          <w:tcPr>
            <w:tcW w:w="1980" w:type="dxa"/>
            <w:tcBorders/>
          </w:tcPr>
          <w:p>
            <w:pPr>
              <w:pStyle w:val="Normal"/>
              <w:widowControl w:val="false"/>
              <w:autoSpaceDE w:val="false"/>
              <w:rPr>
                <w:b/>
                <w:bCs/>
                <w:u w:val="single"/>
              </w:rPr>
            </w:pPr>
            <w:r>
              <w:rPr>
                <w:b/>
                <w:bCs/>
                <w:u w:val="single"/>
              </w:rPr>
              <w:t>Policy Number</w:t>
            </w:r>
          </w:p>
        </w:tc>
        <w:tc>
          <w:tcPr>
            <w:tcW w:w="2430" w:type="dxa"/>
            <w:tcBorders/>
          </w:tcPr>
          <w:p>
            <w:pPr>
              <w:pStyle w:val="Normal"/>
              <w:widowControl w:val="false"/>
              <w:autoSpaceDE w:val="false"/>
              <w:rPr>
                <w:b/>
                <w:bCs/>
                <w:u w:val="single"/>
              </w:rPr>
            </w:pPr>
            <w:r>
              <w:rPr>
                <w:b/>
                <w:bCs/>
                <w:u w:val="single"/>
              </w:rPr>
              <w:t>Policy Limits</w:t>
            </w:r>
          </w:p>
        </w:tc>
        <w:tc>
          <w:tcPr>
            <w:tcW w:w="2610" w:type="dxa"/>
            <w:tcBorders/>
          </w:tcPr>
          <w:p>
            <w:pPr>
              <w:pStyle w:val="Normal"/>
              <w:widowControl w:val="false"/>
              <w:autoSpaceDE w:val="false"/>
              <w:rPr>
                <w:b/>
                <w:bCs/>
                <w:u w:val="single"/>
              </w:rPr>
            </w:pPr>
            <w:r>
              <w:rPr>
                <w:b/>
                <w:bCs/>
                <w:u w:val="single"/>
              </w:rPr>
              <w:t>Policy Term</w:t>
            </w:r>
          </w:p>
        </w:tc>
      </w:tr>
      <w:tr>
        <w:trPr>
          <w:trHeight w:val="315" w:hRule="atLeast"/>
        </w:trPr>
        <w:tc>
          <w:tcPr>
            <w:tcW w:w="3564" w:type="dxa"/>
            <w:tcBorders/>
          </w:tcPr>
          <w:p>
            <w:pPr>
              <w:pStyle w:val="Normal"/>
              <w:widowControl w:val="false"/>
              <w:autoSpaceDE w:val="false"/>
              <w:rPr/>
            </w:pPr>
            <w:r>
              <w:rPr/>
              <w:t>AEGIS Insurance Services (D&amp;O)</w:t>
            </w:r>
          </w:p>
        </w:tc>
        <w:tc>
          <w:tcPr>
            <w:tcW w:w="1980" w:type="dxa"/>
            <w:tcBorders/>
          </w:tcPr>
          <w:p>
            <w:pPr>
              <w:pStyle w:val="Normal"/>
              <w:widowControl w:val="false"/>
              <w:autoSpaceDE w:val="false"/>
              <w:rPr/>
            </w:pPr>
            <w:r>
              <w:rPr/>
              <w:t>D0079A1A98</w:t>
            </w:r>
          </w:p>
        </w:tc>
        <w:tc>
          <w:tcPr>
            <w:tcW w:w="2430" w:type="dxa"/>
            <w:tcBorders/>
          </w:tcPr>
          <w:p>
            <w:pPr>
              <w:pStyle w:val="Normal"/>
              <w:widowControl w:val="false"/>
              <w:autoSpaceDE w:val="false"/>
              <w:rPr/>
            </w:pPr>
            <w:r>
              <w:rPr/>
              <w:t>$35mm agg</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AEGIS Insurance Services (GPL)</w:t>
            </w:r>
          </w:p>
        </w:tc>
        <w:tc>
          <w:tcPr>
            <w:tcW w:w="1980" w:type="dxa"/>
            <w:tcBorders/>
          </w:tcPr>
          <w:p>
            <w:pPr>
              <w:pStyle w:val="Normal"/>
              <w:widowControl w:val="false"/>
              <w:autoSpaceDE w:val="false"/>
              <w:rPr/>
            </w:pPr>
            <w:r>
              <w:rPr/>
              <w:t>P051A1A98</w:t>
            </w:r>
          </w:p>
        </w:tc>
        <w:tc>
          <w:tcPr>
            <w:tcW w:w="2430" w:type="dxa"/>
            <w:tcBorders/>
          </w:tcPr>
          <w:p>
            <w:pPr>
              <w:pStyle w:val="Normal"/>
              <w:widowControl w:val="false"/>
              <w:autoSpaceDE w:val="false"/>
              <w:rPr/>
            </w:pPr>
            <w:r>
              <w:rPr/>
              <w:t xml:space="preserve">$35mm agg </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Energy Insurance Mutual</w:t>
            </w:r>
          </w:p>
        </w:tc>
        <w:tc>
          <w:tcPr>
            <w:tcW w:w="1980" w:type="dxa"/>
            <w:tcBorders/>
          </w:tcPr>
          <w:p>
            <w:pPr>
              <w:pStyle w:val="Normal"/>
              <w:widowControl w:val="false"/>
              <w:autoSpaceDE w:val="false"/>
              <w:rPr/>
            </w:pPr>
            <w:r>
              <w:rPr/>
              <w:t>90047798DO</w:t>
            </w:r>
          </w:p>
        </w:tc>
        <w:tc>
          <w:tcPr>
            <w:tcW w:w="2430" w:type="dxa"/>
            <w:tcBorders/>
          </w:tcPr>
          <w:p>
            <w:pPr>
              <w:pStyle w:val="Normal"/>
              <w:widowControl w:val="false"/>
              <w:autoSpaceDE w:val="false"/>
              <w:rPr/>
            </w:pPr>
            <w:r>
              <w:rPr/>
              <w:t>$65mm agg xs of $35mm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Federal Ins. Co. (Chubb)</w:t>
            </w:r>
          </w:p>
        </w:tc>
        <w:tc>
          <w:tcPr>
            <w:tcW w:w="1980" w:type="dxa"/>
            <w:tcBorders/>
          </w:tcPr>
          <w:p>
            <w:pPr>
              <w:pStyle w:val="Normal"/>
              <w:widowControl w:val="false"/>
              <w:autoSpaceDE w:val="false"/>
              <w:rPr/>
            </w:pPr>
            <w:r>
              <w:rPr/>
              <w:t>8142-0547</w:t>
            </w:r>
          </w:p>
        </w:tc>
        <w:tc>
          <w:tcPr>
            <w:tcW w:w="2430" w:type="dxa"/>
            <w:tcBorders/>
          </w:tcPr>
          <w:p>
            <w:pPr>
              <w:pStyle w:val="Normal"/>
              <w:widowControl w:val="false"/>
              <w:autoSpaceDE w:val="false"/>
              <w:rPr/>
            </w:pPr>
            <w:r>
              <w:rPr/>
              <w:t>$25mm agg xs of $100mm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Reliance</w:t>
            </w:r>
          </w:p>
        </w:tc>
        <w:tc>
          <w:tcPr>
            <w:tcW w:w="1980" w:type="dxa"/>
            <w:tcBorders/>
          </w:tcPr>
          <w:p>
            <w:pPr>
              <w:pStyle w:val="Normal"/>
              <w:widowControl w:val="false"/>
              <w:autoSpaceDE w:val="false"/>
              <w:rPr/>
            </w:pPr>
            <w:r>
              <w:rPr/>
              <w:t>NDA013130198</w:t>
            </w:r>
          </w:p>
        </w:tc>
        <w:tc>
          <w:tcPr>
            <w:tcW w:w="2430" w:type="dxa"/>
            <w:tcBorders/>
          </w:tcPr>
          <w:p>
            <w:pPr>
              <w:pStyle w:val="Normal"/>
              <w:widowControl w:val="false"/>
              <w:autoSpaceDE w:val="false"/>
              <w:rPr/>
            </w:pPr>
            <w:r>
              <w:rPr/>
              <w:t>$25mm agg xs of $125mm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Executive Risk</w:t>
            </w:r>
          </w:p>
        </w:tc>
        <w:tc>
          <w:tcPr>
            <w:tcW w:w="1980" w:type="dxa"/>
            <w:tcBorders/>
          </w:tcPr>
          <w:p>
            <w:pPr>
              <w:pStyle w:val="Normal"/>
              <w:widowControl w:val="false"/>
              <w:autoSpaceDE w:val="false"/>
              <w:rPr/>
            </w:pPr>
            <w:r>
              <w:rPr/>
              <w:t>75213995598</w:t>
            </w:r>
          </w:p>
        </w:tc>
        <w:tc>
          <w:tcPr>
            <w:tcW w:w="2430" w:type="dxa"/>
            <w:tcBorders/>
          </w:tcPr>
          <w:p>
            <w:pPr>
              <w:pStyle w:val="Normal"/>
              <w:widowControl w:val="false"/>
              <w:autoSpaceDE w:val="false"/>
              <w:rPr/>
            </w:pPr>
            <w:r>
              <w:rPr/>
              <w:t>$25mm agg xs of $150mm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Lloyds of London</w:t>
            </w:r>
          </w:p>
        </w:tc>
        <w:tc>
          <w:tcPr>
            <w:tcW w:w="1980" w:type="dxa"/>
            <w:tcBorders/>
          </w:tcPr>
          <w:p>
            <w:pPr>
              <w:pStyle w:val="Normal"/>
              <w:widowControl w:val="false"/>
              <w:autoSpaceDE w:val="false"/>
              <w:rPr/>
            </w:pPr>
            <w:r>
              <w:rPr/>
              <w:t>901LK9802531</w:t>
            </w:r>
          </w:p>
        </w:tc>
        <w:tc>
          <w:tcPr>
            <w:tcW w:w="2430" w:type="dxa"/>
            <w:tcBorders/>
          </w:tcPr>
          <w:p>
            <w:pPr>
              <w:pStyle w:val="Normal"/>
              <w:widowControl w:val="false"/>
              <w:autoSpaceDE w:val="false"/>
              <w:rPr/>
            </w:pPr>
            <w:r>
              <w:rPr/>
              <w:t>$25mm agg xs of $175mm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ACE</w:t>
            </w:r>
          </w:p>
        </w:tc>
        <w:tc>
          <w:tcPr>
            <w:tcW w:w="1980" w:type="dxa"/>
            <w:tcBorders/>
          </w:tcPr>
          <w:p>
            <w:pPr>
              <w:pStyle w:val="Normal"/>
              <w:widowControl w:val="false"/>
              <w:autoSpaceDE w:val="false"/>
              <w:rPr/>
            </w:pPr>
            <w:r>
              <w:rPr/>
              <w:t>ENE8920D</w:t>
            </w:r>
          </w:p>
        </w:tc>
        <w:tc>
          <w:tcPr>
            <w:tcW w:w="2430" w:type="dxa"/>
            <w:tcBorders/>
          </w:tcPr>
          <w:p>
            <w:pPr>
              <w:pStyle w:val="Normal"/>
              <w:widowControl w:val="false"/>
              <w:autoSpaceDE w:val="false"/>
              <w:rPr/>
            </w:pPr>
            <w:r>
              <w:rPr/>
              <w:t>$45mm agg xs of $200mm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Royal Ins. Co.</w:t>
            </w:r>
          </w:p>
        </w:tc>
        <w:tc>
          <w:tcPr>
            <w:tcW w:w="1980" w:type="dxa"/>
            <w:tcBorders/>
          </w:tcPr>
          <w:p>
            <w:pPr>
              <w:pStyle w:val="Normal"/>
              <w:widowControl w:val="false"/>
              <w:autoSpaceDE w:val="false"/>
              <w:rPr/>
            </w:pPr>
            <w:r>
              <w:rPr/>
              <w:t>PSF0006333</w:t>
            </w:r>
          </w:p>
        </w:tc>
        <w:tc>
          <w:tcPr>
            <w:tcW w:w="2430" w:type="dxa"/>
            <w:tcBorders/>
          </w:tcPr>
          <w:p>
            <w:pPr>
              <w:pStyle w:val="Normal"/>
              <w:widowControl w:val="false"/>
              <w:autoSpaceDE w:val="false"/>
              <w:rPr/>
            </w:pPr>
            <w:r>
              <w:rPr/>
              <w:t>$25mm agg xs of $245mm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Federal Ins. Co. (Chubb)</w:t>
            </w:r>
          </w:p>
        </w:tc>
        <w:tc>
          <w:tcPr>
            <w:tcW w:w="1980" w:type="dxa"/>
            <w:tcBorders/>
          </w:tcPr>
          <w:p>
            <w:pPr>
              <w:pStyle w:val="Normal"/>
              <w:widowControl w:val="false"/>
              <w:autoSpaceDE w:val="false"/>
              <w:rPr/>
            </w:pPr>
            <w:r>
              <w:rPr/>
              <w:t>8152-8579</w:t>
            </w:r>
          </w:p>
        </w:tc>
        <w:tc>
          <w:tcPr>
            <w:tcW w:w="2430" w:type="dxa"/>
            <w:tcBorders/>
          </w:tcPr>
          <w:p>
            <w:pPr>
              <w:pStyle w:val="Normal"/>
              <w:widowControl w:val="false"/>
              <w:autoSpaceDE w:val="false"/>
              <w:rPr/>
            </w:pPr>
            <w:r>
              <w:rPr/>
              <w:t>$25mm agg xs of $270mm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ACE</w:t>
            </w:r>
          </w:p>
        </w:tc>
        <w:tc>
          <w:tcPr>
            <w:tcW w:w="1980" w:type="dxa"/>
            <w:tcBorders/>
          </w:tcPr>
          <w:p>
            <w:pPr>
              <w:pStyle w:val="Normal"/>
              <w:widowControl w:val="false"/>
              <w:autoSpaceDE w:val="false"/>
              <w:rPr/>
            </w:pPr>
            <w:r>
              <w:rPr/>
              <w:t>ENE8920D</w:t>
            </w:r>
          </w:p>
        </w:tc>
        <w:tc>
          <w:tcPr>
            <w:tcW w:w="2430" w:type="dxa"/>
            <w:tcBorders/>
          </w:tcPr>
          <w:p>
            <w:pPr>
              <w:pStyle w:val="Normal"/>
              <w:widowControl w:val="false"/>
              <w:autoSpaceDE w:val="false"/>
              <w:rPr/>
            </w:pPr>
            <w:r>
              <w:rPr/>
              <w:t>$5mm agg xs of $295mm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Heading2"/>
              <w:ind w:hanging="0" w:start="0"/>
              <w:rPr/>
            </w:pPr>
            <w:r>
              <w:rPr/>
              <w:t>Fiduciary Liability</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bCs/>
                <w:u w:val="single"/>
              </w:rPr>
            </w:pPr>
            <w:r>
              <w:rPr>
                <w:b/>
                <w:bCs/>
                <w:u w:val="single"/>
              </w:rPr>
              <w:t>Insurer</w:t>
            </w:r>
          </w:p>
        </w:tc>
        <w:tc>
          <w:tcPr>
            <w:tcW w:w="1980" w:type="dxa"/>
            <w:tcBorders/>
          </w:tcPr>
          <w:p>
            <w:pPr>
              <w:pStyle w:val="Normal"/>
              <w:widowControl w:val="false"/>
              <w:autoSpaceDE w:val="false"/>
              <w:rPr>
                <w:b/>
                <w:bCs/>
                <w:u w:val="single"/>
              </w:rPr>
            </w:pPr>
            <w:r>
              <w:rPr>
                <w:b/>
                <w:bCs/>
                <w:u w:val="single"/>
              </w:rPr>
              <w:t>Policy Number</w:t>
            </w:r>
          </w:p>
        </w:tc>
        <w:tc>
          <w:tcPr>
            <w:tcW w:w="2430" w:type="dxa"/>
            <w:tcBorders/>
          </w:tcPr>
          <w:p>
            <w:pPr>
              <w:pStyle w:val="Normal"/>
              <w:widowControl w:val="false"/>
              <w:autoSpaceDE w:val="false"/>
              <w:rPr>
                <w:b/>
                <w:bCs/>
                <w:u w:val="single"/>
              </w:rPr>
            </w:pPr>
            <w:r>
              <w:rPr>
                <w:b/>
                <w:bCs/>
                <w:u w:val="single"/>
              </w:rPr>
              <w:t>Policy Limits</w:t>
            </w:r>
          </w:p>
        </w:tc>
        <w:tc>
          <w:tcPr>
            <w:tcW w:w="2610" w:type="dxa"/>
            <w:tcBorders/>
          </w:tcPr>
          <w:p>
            <w:pPr>
              <w:pStyle w:val="Normal"/>
              <w:widowControl w:val="false"/>
              <w:autoSpaceDE w:val="false"/>
              <w:rPr>
                <w:b/>
                <w:bCs/>
                <w:u w:val="single"/>
              </w:rPr>
            </w:pPr>
            <w:r>
              <w:rPr>
                <w:b/>
                <w:bCs/>
                <w:u w:val="single"/>
              </w:rPr>
              <w:t>Policy Term</w:t>
            </w:r>
          </w:p>
        </w:tc>
      </w:tr>
      <w:tr>
        <w:trPr>
          <w:trHeight w:val="315" w:hRule="atLeast"/>
        </w:trPr>
        <w:tc>
          <w:tcPr>
            <w:tcW w:w="3564" w:type="dxa"/>
            <w:tcBorders/>
          </w:tcPr>
          <w:p>
            <w:pPr>
              <w:pStyle w:val="Normal"/>
              <w:widowControl w:val="false"/>
              <w:autoSpaceDE w:val="false"/>
              <w:rPr/>
            </w:pPr>
            <w:r>
              <w:rPr/>
              <w:t>AEGIS Insurance Services, Inc.</w:t>
            </w:r>
          </w:p>
        </w:tc>
        <w:tc>
          <w:tcPr>
            <w:tcW w:w="1980" w:type="dxa"/>
            <w:tcBorders/>
          </w:tcPr>
          <w:p>
            <w:pPr>
              <w:pStyle w:val="Normal"/>
              <w:widowControl w:val="false"/>
              <w:autoSpaceDE w:val="false"/>
              <w:rPr/>
            </w:pPr>
            <w:r>
              <w:rPr/>
              <w:t>F0079A1A99</w:t>
            </w:r>
          </w:p>
        </w:tc>
        <w:tc>
          <w:tcPr>
            <w:tcW w:w="2430" w:type="dxa"/>
            <w:tcBorders/>
          </w:tcPr>
          <w:p>
            <w:pPr>
              <w:pStyle w:val="Normal"/>
              <w:widowControl w:val="false"/>
              <w:autoSpaceDE w:val="false"/>
              <w:rPr/>
            </w:pPr>
            <w:r>
              <w:rPr/>
              <w:t>$35mm agg</w:t>
            </w:r>
          </w:p>
        </w:tc>
        <w:tc>
          <w:tcPr>
            <w:tcW w:w="2610" w:type="dxa"/>
            <w:tcBorders/>
          </w:tcPr>
          <w:p>
            <w:pPr>
              <w:pStyle w:val="Normal"/>
              <w:widowControl w:val="false"/>
              <w:autoSpaceDE w:val="false"/>
              <w:rPr/>
            </w:pPr>
            <w:r>
              <w:rPr/>
              <w:t>5/15/99-02</w:t>
            </w:r>
          </w:p>
        </w:tc>
      </w:tr>
      <w:tr>
        <w:trPr>
          <w:trHeight w:val="315" w:hRule="atLeast"/>
        </w:trPr>
        <w:tc>
          <w:tcPr>
            <w:tcW w:w="3564" w:type="dxa"/>
            <w:tcBorders/>
          </w:tcPr>
          <w:p>
            <w:pPr>
              <w:pStyle w:val="Normal"/>
              <w:widowControl w:val="false"/>
              <w:autoSpaceDE w:val="false"/>
              <w:rPr/>
            </w:pPr>
            <w:r>
              <w:rPr/>
              <w:t>Energy Insurance Mutual</w:t>
            </w:r>
          </w:p>
        </w:tc>
        <w:tc>
          <w:tcPr>
            <w:tcW w:w="1980" w:type="dxa"/>
            <w:tcBorders/>
          </w:tcPr>
          <w:p>
            <w:pPr>
              <w:pStyle w:val="Normal"/>
              <w:widowControl w:val="false"/>
              <w:autoSpaceDE w:val="false"/>
              <w:rPr/>
            </w:pPr>
            <w:r>
              <w:rPr/>
              <w:t>8146-4184A</w:t>
            </w:r>
          </w:p>
        </w:tc>
        <w:tc>
          <w:tcPr>
            <w:tcW w:w="2430" w:type="dxa"/>
            <w:tcBorders/>
          </w:tcPr>
          <w:p>
            <w:pPr>
              <w:pStyle w:val="Normal"/>
              <w:widowControl w:val="false"/>
              <w:autoSpaceDE w:val="false"/>
              <w:rPr/>
            </w:pPr>
            <w:r>
              <w:rPr/>
              <w:t>$50mm agg xs of $35mm</w:t>
            </w:r>
          </w:p>
        </w:tc>
        <w:tc>
          <w:tcPr>
            <w:tcW w:w="2610" w:type="dxa"/>
            <w:tcBorders/>
          </w:tcPr>
          <w:p>
            <w:pPr>
              <w:pStyle w:val="Normal"/>
              <w:widowControl w:val="false"/>
              <w:autoSpaceDE w:val="false"/>
              <w:rPr/>
            </w:pPr>
            <w:r>
              <w:rPr/>
              <w:t>5/15/99-02</w:t>
            </w:r>
          </w:p>
        </w:tc>
      </w:tr>
    </w:tbl>
    <w:p>
      <w:pPr>
        <w:pStyle w:val="Normal"/>
        <w:widowControl w:val="false"/>
        <w:autoSpaceDE w:val="false"/>
        <w:rPr>
          <w:sz w:val="20"/>
          <w:szCs w:val="20"/>
        </w:rPr>
      </w:pPr>
      <w:r>
        <w:rPr>
          <w:sz w:val="20"/>
          <w:szCs w:val="20"/>
        </w:rPr>
      </w:r>
    </w:p>
    <w:p>
      <w:pPr>
        <w:pStyle w:val="Header"/>
        <w:tabs>
          <w:tab w:val="clear" w:pos="4680"/>
          <w:tab w:val="clear" w:pos="9360"/>
        </w:tabs>
        <w:rPr>
          <w:b/>
          <w:bCs/>
        </w:rPr>
      </w:pPr>
      <w:r>
        <w:rPr>
          <w:b/>
          <w:bCs/>
        </w:rPr>
        <w:t>Insurance by Third Parties</w:t>
      </w:r>
    </w:p>
    <w:p>
      <w:pPr>
        <w:pStyle w:val="Header"/>
        <w:tabs>
          <w:tab w:val="clear" w:pos="4680"/>
          <w:tab w:val="clear" w:pos="9360"/>
        </w:tabs>
        <w:rPr>
          <w:b/>
          <w:bCs/>
        </w:rPr>
      </w:pPr>
      <w:r>
        <w:rPr>
          <w:b/>
          <w:bCs/>
        </w:rPr>
      </w:r>
    </w:p>
    <w:p>
      <w:pPr>
        <w:pStyle w:val="Header"/>
        <w:tabs>
          <w:tab w:val="clear" w:pos="4680"/>
          <w:tab w:val="clear" w:pos="9360"/>
        </w:tabs>
        <w:rPr/>
      </w:pPr>
      <w:r>
        <w:rPr>
          <w:b/>
          <w:bCs/>
          <w:u w:val="single"/>
        </w:rPr>
        <w:t>Facility</w:t>
      </w:r>
      <w:r>
        <w:rPr>
          <w:b/>
          <w:bCs/>
        </w:rPr>
        <w:tab/>
        <w:tab/>
        <w:tab/>
        <w:tab/>
      </w:r>
      <w:r>
        <w:rPr>
          <w:b/>
          <w:bCs/>
          <w:u w:val="single"/>
        </w:rPr>
        <w:t>Agreement</w:t>
      </w:r>
    </w:p>
    <w:p>
      <w:pPr>
        <w:pStyle w:val="Header"/>
        <w:tabs>
          <w:tab w:val="clear" w:pos="4680"/>
          <w:tab w:val="clear" w:pos="9360"/>
        </w:tabs>
        <w:rPr/>
      </w:pPr>
      <w:r>
        <w:rPr/>
        <w:t>Hanover Measurement Services</w:t>
        <w:tab/>
        <w:t xml:space="preserve">Measurement Services Agreement: Article 14 </w:t>
      </w:r>
    </w:p>
    <w:p>
      <w:pPr>
        <w:pStyle w:val="Header"/>
        <w:tabs>
          <w:tab w:val="clear" w:pos="4680"/>
          <w:tab w:val="clear" w:pos="9360"/>
        </w:tabs>
        <w:ind w:firstLine="720" w:start="2880" w:end="0"/>
        <w:rPr/>
      </w:pPr>
      <w:r>
        <w:rPr/>
        <w:t>and Appendix 3</w:t>
      </w:r>
    </w:p>
    <w:p>
      <w:pPr>
        <w:pStyle w:val="Header"/>
        <w:tabs>
          <w:tab w:val="clear" w:pos="4680"/>
          <w:tab w:val="clear" w:pos="9360"/>
        </w:tabs>
        <w:rPr/>
      </w:pPr>
      <w:r>
        <w:rPr/>
      </w:r>
    </w:p>
    <w:p>
      <w:pPr>
        <w:pStyle w:val="Header"/>
        <w:tabs>
          <w:tab w:val="clear" w:pos="4680"/>
          <w:tab w:val="clear" w:pos="9360"/>
        </w:tabs>
        <w:ind w:hanging="3600" w:start="3600" w:end="0"/>
        <w:rPr/>
      </w:pPr>
      <w:r>
        <w:rPr/>
        <w:t>Hanover Compression</w:t>
        <w:tab/>
        <w:t>Compression Management Agreement: Section 7 and Appendix 1</w:t>
      </w:r>
    </w:p>
    <w:p>
      <w:pPr>
        <w:pStyle w:val="Header"/>
        <w:tabs>
          <w:tab w:val="clear" w:pos="4680"/>
          <w:tab w:val="clear" w:pos="9360"/>
        </w:tabs>
        <w:ind w:hanging="3600" w:start="3600" w:end="0"/>
        <w:rPr/>
      </w:pPr>
      <w:r>
        <w:rPr/>
      </w:r>
    </w:p>
    <w:p>
      <w:pPr>
        <w:pStyle w:val="Header"/>
        <w:tabs>
          <w:tab w:val="clear" w:pos="4680"/>
          <w:tab w:val="clear" w:pos="9360"/>
        </w:tabs>
        <w:ind w:hanging="3600" w:start="3600" w:end="0"/>
        <w:rPr/>
      </w:pPr>
      <w:r>
        <w:rPr/>
        <w:t>Gulf Energy Pipeline LLC (Tejas)</w:t>
        <w:tab/>
        <w:t>Section 5.12</w:t>
      </w:r>
    </w:p>
    <w:p>
      <w:pPr>
        <w:pStyle w:val="Header"/>
        <w:tabs>
          <w:tab w:val="clear" w:pos="4680"/>
          <w:tab w:val="clear" w:pos="9360"/>
        </w:tabs>
        <w:ind w:hanging="3600" w:start="3600" w:end="0"/>
        <w:rPr/>
      </w:pPr>
      <w:r>
        <w:rPr/>
        <w:t>Big Cowboy Line</w:t>
      </w:r>
    </w:p>
    <w:p>
      <w:pPr>
        <w:pStyle w:val="Header"/>
        <w:tabs>
          <w:tab w:val="clear" w:pos="4680"/>
          <w:tab w:val="clear" w:pos="9360"/>
        </w:tabs>
        <w:ind w:hanging="3600" w:start="3600" w:end="0"/>
        <w:rPr/>
      </w:pPr>
      <w:r>
        <w:rPr/>
      </w:r>
    </w:p>
    <w:p>
      <w:pPr>
        <w:pStyle w:val="Header"/>
        <w:tabs>
          <w:tab w:val="clear" w:pos="4680"/>
          <w:tab w:val="clear" w:pos="9360"/>
        </w:tabs>
        <w:ind w:hanging="3600" w:start="3600" w:end="0"/>
        <w:rPr/>
      </w:pPr>
      <w:r>
        <w:rPr/>
        <w:t xml:space="preserve">El Paso Field Services - </w:t>
        <w:tab/>
        <w:t>Operation and Maintenance Agreement: Article 9 and</w:t>
      </w:r>
    </w:p>
    <w:p>
      <w:pPr>
        <w:pStyle w:val="Header"/>
        <w:tabs>
          <w:tab w:val="clear" w:pos="4680"/>
          <w:tab w:val="clear" w:pos="9360"/>
        </w:tabs>
        <w:ind w:hanging="3600" w:start="3600" w:end="0"/>
        <w:rPr/>
      </w:pPr>
      <w:r>
        <w:rPr/>
        <w:t>A/S pipeline</w:t>
        <w:tab/>
        <w:t>Exhibit B</w:t>
      </w:r>
    </w:p>
    <w:p>
      <w:pPr>
        <w:pStyle w:val="Header"/>
        <w:tabs>
          <w:tab w:val="clear" w:pos="4680"/>
          <w:tab w:val="clear" w:pos="9360"/>
        </w:tabs>
        <w:ind w:hanging="3600" w:start="3600" w:end="0"/>
        <w:rPr/>
      </w:pPr>
      <w:r>
        <w:rPr/>
      </w:r>
    </w:p>
    <w:p>
      <w:pPr>
        <w:pStyle w:val="Header"/>
        <w:tabs>
          <w:tab w:val="clear" w:pos="4680"/>
          <w:tab w:val="clear" w:pos="9360"/>
        </w:tabs>
        <w:ind w:hanging="3600" w:start="3600" w:end="0"/>
        <w:rPr/>
      </w:pPr>
      <w:r>
        <w:rPr/>
        <w:t>Hanover Compression Speaks</w:t>
        <w:tab/>
        <w:t>Treating Agreement: Section 8 and Exhibit B</w:t>
      </w:r>
    </w:p>
    <w:p>
      <w:pPr>
        <w:pStyle w:val="Header"/>
        <w:tabs>
          <w:tab w:val="clear" w:pos="4680"/>
          <w:tab w:val="clear" w:pos="9360"/>
        </w:tabs>
        <w:ind w:hanging="3600" w:start="3600" w:end="0"/>
        <w:rPr/>
      </w:pPr>
      <w:r>
        <w:rPr/>
        <w:t>Treater</w:t>
      </w:r>
    </w:p>
    <w:p>
      <w:pPr>
        <w:pStyle w:val="Header"/>
        <w:tabs>
          <w:tab w:val="clear" w:pos="4680"/>
          <w:tab w:val="clear" w:pos="9360"/>
        </w:tabs>
        <w:ind w:hanging="3600" w:start="3600" w:end="0"/>
        <w:rPr/>
      </w:pPr>
      <w:r>
        <w:rPr/>
      </w:r>
    </w:p>
    <w:p>
      <w:pPr>
        <w:pStyle w:val="Header"/>
        <w:tabs>
          <w:tab w:val="clear" w:pos="4680"/>
          <w:tab w:val="clear" w:pos="9360"/>
        </w:tabs>
        <w:ind w:hanging="3600" w:start="3600" w:end="0"/>
        <w:rPr/>
      </w:pPr>
      <w:r>
        <w:rPr/>
        <w:t>South-Tex Treaters Inc.</w:t>
        <w:tab/>
        <w:t xml:space="preserve">Thompsonville Treating Agreement: Section 8 and </w:t>
      </w:r>
    </w:p>
    <w:p>
      <w:pPr>
        <w:pStyle w:val="Header"/>
        <w:tabs>
          <w:tab w:val="clear" w:pos="4680"/>
          <w:tab w:val="clear" w:pos="9360"/>
        </w:tabs>
        <w:ind w:start="3600" w:end="0"/>
        <w:rPr/>
      </w:pPr>
      <w:r>
        <w:rPr/>
        <w:t>Exhibit C</w:t>
      </w:r>
    </w:p>
    <w:p>
      <w:pPr>
        <w:pStyle w:val="Normal"/>
        <w:jc w:val="center"/>
        <w:rPr/>
      </w:pPr>
      <w:r>
        <w:rPr/>
        <w:t>PURCHASE AND SALE AGREEMENT</w:t>
      </w:r>
    </w:p>
    <w:p>
      <w:pPr>
        <w:pStyle w:val="Normal"/>
        <w:jc w:val="center"/>
        <w:rPr/>
      </w:pPr>
      <w:r>
        <w:rPr/>
      </w:r>
    </w:p>
    <w:p>
      <w:pPr>
        <w:pStyle w:val="Normal"/>
        <w:jc w:val="center"/>
        <w:rPr/>
      </w:pPr>
      <w:r>
        <w:rPr/>
        <w:t>Schedule 4.17</w:t>
      </w:r>
    </w:p>
    <w:p>
      <w:pPr>
        <w:pStyle w:val="Normal"/>
        <w:jc w:val="center"/>
        <w:rPr/>
      </w:pPr>
      <w:r>
        <w:rPr/>
        <w:t>Intellectual Property</w:t>
      </w:r>
    </w:p>
    <w:p>
      <w:pPr>
        <w:pStyle w:val="Normal"/>
        <w:jc w:val="center"/>
        <w:rPr/>
      </w:pPr>
      <w:r>
        <w:rPr/>
      </w:r>
    </w:p>
    <w:p>
      <w:pPr>
        <w:pStyle w:val="Normal"/>
        <w:rPr/>
      </w:pPr>
      <w:r>
        <w:rPr/>
        <w:t>Buyer shall own all rights in and to the names “Houston Pipe Line Company”, “HPL Resources Company”, “Lodisco, LLC”, “Texoma”, any variations of the foregoing, and any other trademarks, service marks, and trade names owned by the Acquired Companies.</w:t>
      </w:r>
    </w:p>
    <w:p>
      <w:pPr>
        <w:pStyle w:val="Normal"/>
        <w:rPr/>
      </w:pPr>
      <w:r>
        <w:rPr/>
      </w:r>
    </w:p>
    <w:p>
      <w:pPr>
        <w:pStyle w:val="Normal"/>
        <w:rPr/>
      </w:pPr>
      <w:r>
        <w:rPr/>
        <w:t>The only other Intellectual Property which is not an Excluded Asset is the SCADA Platform used in the dispatching, monitoring and controlling of pressures and flows on the Houston Pipe Line system and the software embedded in field remote terminal units and electronic flowmeters.  The primary component of the SCADA Platform is an “off the shelf” software product named Wonderware.  There are numerous customized screens and programs embedded in the Wonderware software that have been developed specifically for the HPL system.  [Note:  Buyer is responsible for acquiring any “Wonderware” licenses which are non-transferable to Buyer and also for “additional users”]</w:t>
      </w:r>
    </w:p>
    <w:p>
      <w:pPr>
        <w:pStyle w:val="Normal"/>
        <w:rPr/>
      </w:pPr>
      <w:r>
        <w:rPr/>
      </w:r>
    </w:p>
    <w:p>
      <w:pPr>
        <w:pStyle w:val="Normal"/>
        <w:rPr/>
      </w:pPr>
      <w:r>
        <w:rPr/>
      </w:r>
    </w:p>
    <w:p>
      <w:pPr>
        <w:pStyle w:val="Normal"/>
        <w:jc w:val="center"/>
        <w:rPr/>
      </w:pPr>
      <w:r>
        <w:rPr/>
        <w:t xml:space="preserve"> </w:t>
      </w:r>
      <w:r>
        <w:rPr/>
        <w:t>PURCHASE AND SALE AGREEMENT</w:t>
      </w:r>
    </w:p>
    <w:p>
      <w:pPr>
        <w:pStyle w:val="Normal"/>
        <w:jc w:val="center"/>
        <w:rPr/>
      </w:pPr>
      <w:r>
        <w:rPr/>
      </w:r>
    </w:p>
    <w:p>
      <w:pPr>
        <w:pStyle w:val="Normal"/>
        <w:jc w:val="center"/>
        <w:rPr/>
      </w:pPr>
      <w:r>
        <w:rPr/>
        <w:t>Schedule 4.19</w:t>
      </w:r>
    </w:p>
    <w:p>
      <w:pPr>
        <w:pStyle w:val="Normal"/>
        <w:jc w:val="center"/>
        <w:rPr/>
      </w:pPr>
      <w:r>
        <w:rPr/>
        <w:t>Related Party Transactions</w:t>
      </w:r>
    </w:p>
    <w:p>
      <w:pPr>
        <w:pStyle w:val="Normal"/>
        <w:jc w:val="center"/>
        <w:rPr/>
      </w:pPr>
      <w:r>
        <w:rPr/>
      </w:r>
    </w:p>
    <w:p>
      <w:pPr>
        <w:pStyle w:val="Normal"/>
        <w:numPr>
          <w:ilvl w:val="0"/>
          <w:numId w:val="19"/>
        </w:numPr>
        <w:tabs>
          <w:tab w:val="clear" w:pos="720"/>
        </w:tabs>
        <w:ind w:hanging="720" w:start="720" w:end="0"/>
        <w:rPr>
          <w:color w:val="000000"/>
        </w:rPr>
      </w:pPr>
      <w:r>
        <w:rPr>
          <w:color w:val="000000"/>
        </w:rPr>
        <w:t>Prior to closing ENA and AEP Energy Services, Inc. ("AEPES") will enter into certain financial swap and option transactions pursuant to the ISDA Master  Agreement dated as of February 11, 1998, as amended and supplemented from time to time between ENA and AEPES in respect of each of the fixed price natural gas sales and/or purchase agreements and fixed price option agreements to which either HPL or Newco is a party and that has a term extending past the closing.   The option agreements that have a fixed price component that are in place as of May 15, 2001 are described on Appendix 4.19 (a) hereto.  The gas purchase and/or sale agreements that are at fixed prices and are in place as of May 15, 2001 are listed on Appendix 4.19(b) hereto.  In each case, the swap and option transactions between ENA and AEPES will swap the fixed price component of the underlying agreement into a floating price for natural gas  based upon a Houston Ship Channel Index.</w:t>
      </w:r>
    </w:p>
    <w:p>
      <w:pPr>
        <w:pStyle w:val="Normal"/>
        <w:ind w:hanging="720" w:start="720" w:end="0"/>
        <w:rPr>
          <w:color w:val="000000"/>
        </w:rPr>
      </w:pPr>
      <w:r>
        <w:rPr>
          <w:color w:val="000000"/>
        </w:rPr>
      </w:r>
    </w:p>
    <w:p>
      <w:pPr>
        <w:pStyle w:val="Normal"/>
        <w:ind w:hanging="720" w:start="720" w:end="0"/>
        <w:rPr/>
      </w:pPr>
      <w:r>
        <w:rPr/>
        <w:t>2.</w:t>
        <w:tab/>
        <w:t xml:space="preserve">Additional Related Party Transactions that will survive the Closing are listed on Appendix 4.19(c).   </w:t>
      </w:r>
    </w:p>
    <w:p>
      <w:pPr>
        <w:pStyle w:val="Normal"/>
        <w:rPr/>
      </w:pPr>
      <w:r>
        <w:rPr/>
      </w:r>
    </w:p>
    <w:p>
      <w:pPr>
        <w:sectPr>
          <w:headerReference w:type="default" r:id="rId9"/>
          <w:footerReference w:type="default" r:id="rId10"/>
          <w:footerReference w:type="first" r:id="rId11"/>
          <w:type w:val="nextPage"/>
          <w:pgSz w:orient="landscape" w:w="15840" w:h="12240"/>
          <w:pgMar w:left="504" w:right="504" w:gutter="0" w:header="720" w:top="776" w:footer="720" w:bottom="776"/>
          <w:pgNumType w:fmt="decimal"/>
          <w:formProt w:val="false"/>
          <w:textDirection w:val="lrTb"/>
          <w:docGrid w:type="default" w:linePitch="360" w:charSpace="0"/>
        </w:sectPr>
        <w:pStyle w:val="Header"/>
        <w:tabs>
          <w:tab w:val="clear" w:pos="4680"/>
          <w:tab w:val="clear" w:pos="9360"/>
        </w:tabs>
        <w:rPr/>
      </w:pPr>
      <w:r>
        <w:rPr/>
      </w:r>
    </w:p>
    <w:p>
      <w:pPr>
        <w:pStyle w:val="Normal"/>
        <w:jc w:val="center"/>
        <w:rPr>
          <w:rFonts w:ascii="Arial" w:hAnsi="Arial" w:cs="Arial"/>
          <w:b/>
          <w:bCs/>
        </w:rPr>
      </w:pPr>
      <w:r>
        <w:rPr>
          <w:rFonts w:cs="Arial" w:ascii="Arial" w:hAnsi="Arial"/>
          <w:b/>
          <w:bCs/>
        </w:rPr>
        <w:t>APPENDIX 4.19(a)</w:t>
      </w:r>
    </w:p>
    <w:p>
      <w:pPr>
        <w:pStyle w:val="VEBodyText"/>
        <w:rPr>
          <w:rFonts w:ascii="Arial" w:hAnsi="Arial" w:cs="Arial"/>
          <w:b/>
          <w:bCs/>
        </w:rPr>
      </w:pPr>
      <w:r>
        <w:rPr>
          <w:rFonts w:cs="Arial" w:ascii="Arial" w:hAnsi="Arial"/>
          <w:b/>
          <w:bCs/>
        </w:rPr>
      </w:r>
    </w:p>
    <w:tbl>
      <w:tblPr>
        <w:tblW w:w="15132" w:type="dxa"/>
        <w:jc w:val="start"/>
        <w:tblInd w:w="0" w:type="dxa"/>
        <w:tblLayout w:type="fixed"/>
        <w:tblCellMar>
          <w:top w:w="12" w:type="dxa"/>
          <w:start w:w="12" w:type="dxa"/>
          <w:bottom w:w="0" w:type="dxa"/>
          <w:end w:w="12" w:type="dxa"/>
        </w:tblCellMar>
      </w:tblPr>
      <w:tblGrid>
        <w:gridCol w:w="520"/>
        <w:gridCol w:w="44"/>
        <w:gridCol w:w="1878"/>
        <w:gridCol w:w="270"/>
        <w:gridCol w:w="1350"/>
        <w:gridCol w:w="180"/>
        <w:gridCol w:w="3510"/>
        <w:gridCol w:w="180"/>
        <w:gridCol w:w="630"/>
        <w:gridCol w:w="180"/>
        <w:gridCol w:w="720"/>
        <w:gridCol w:w="1080"/>
        <w:gridCol w:w="180"/>
        <w:gridCol w:w="1260"/>
        <w:gridCol w:w="1440"/>
        <w:gridCol w:w="720"/>
        <w:gridCol w:w="990"/>
      </w:tblGrid>
      <w:tr>
        <w:trPr>
          <w:trHeight w:val="255" w:hRule="atLeast"/>
        </w:trPr>
        <w:tc>
          <w:tcPr>
            <w:tcW w:w="520"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44"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878" w:type="dxa"/>
            <w:tcBorders/>
            <w:vAlign w:val="bottom"/>
          </w:tcPr>
          <w:p>
            <w:pPr>
              <w:pStyle w:val="Normal"/>
              <w:rPr>
                <w:rFonts w:ascii="Arial" w:hAnsi="Arial" w:eastAsia="Arial Unicode MS;Tahoma" w:cs="Arial"/>
                <w:b/>
                <w:bCs/>
                <w:sz w:val="18"/>
                <w:szCs w:val="18"/>
              </w:rPr>
            </w:pPr>
            <w:r>
              <w:rPr>
                <w:rFonts w:cs="Arial" w:ascii="Arial" w:hAnsi="Arial"/>
                <w:b/>
                <w:bCs/>
                <w:sz w:val="18"/>
                <w:szCs w:val="18"/>
              </w:rPr>
              <w:t>Counterparty</w:t>
            </w:r>
          </w:p>
        </w:tc>
        <w:tc>
          <w:tcPr>
            <w:tcW w:w="270"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350" w:type="dxa"/>
            <w:tcBorders/>
            <w:vAlign w:val="bottom"/>
          </w:tcPr>
          <w:p>
            <w:pPr>
              <w:pStyle w:val="Normal"/>
              <w:rPr>
                <w:rFonts w:ascii="Arial" w:hAnsi="Arial" w:eastAsia="Arial Unicode MS;Tahoma" w:cs="Arial"/>
                <w:b/>
                <w:bCs/>
                <w:sz w:val="18"/>
                <w:szCs w:val="18"/>
              </w:rPr>
            </w:pPr>
            <w:r>
              <w:rPr>
                <w:rFonts w:cs="Arial" w:ascii="Arial" w:hAnsi="Arial"/>
                <w:b/>
                <w:bCs/>
                <w:sz w:val="18"/>
                <w:szCs w:val="18"/>
              </w:rPr>
              <w:t>Volume</w:t>
            </w:r>
          </w:p>
        </w:tc>
        <w:tc>
          <w:tcPr>
            <w:tcW w:w="180"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3510" w:type="dxa"/>
            <w:tcBorders/>
            <w:vAlign w:val="bottom"/>
          </w:tcPr>
          <w:p>
            <w:pPr>
              <w:pStyle w:val="Normal"/>
              <w:rPr>
                <w:rFonts w:ascii="Arial" w:hAnsi="Arial" w:eastAsia="Arial Unicode MS;Tahoma" w:cs="Arial"/>
                <w:b/>
                <w:bCs/>
                <w:sz w:val="18"/>
                <w:szCs w:val="18"/>
              </w:rPr>
            </w:pPr>
            <w:r>
              <w:rPr>
                <w:rFonts w:cs="Arial" w:ascii="Arial" w:hAnsi="Arial"/>
                <w:b/>
                <w:bCs/>
                <w:sz w:val="18"/>
                <w:szCs w:val="18"/>
              </w:rPr>
              <w:t>Description</w:t>
            </w:r>
          </w:p>
        </w:tc>
        <w:tc>
          <w:tcPr>
            <w:tcW w:w="180" w:type="dxa"/>
            <w:tcBorders/>
            <w:vAlign w:val="bottom"/>
          </w:tcPr>
          <w:p>
            <w:pPr>
              <w:pStyle w:val="Normal"/>
              <w:snapToGrid w:val="false"/>
              <w:rPr>
                <w:rFonts w:ascii="Arial" w:hAnsi="Arial" w:eastAsia="Arial Unicode MS;Tahoma" w:cs="Arial"/>
                <w:b/>
                <w:bCs/>
                <w:sz w:val="18"/>
                <w:szCs w:val="18"/>
                <w:u w:val="double"/>
              </w:rPr>
            </w:pPr>
            <w:r>
              <w:rPr>
                <w:rFonts w:eastAsia="Arial Unicode MS;Tahoma" w:cs="Arial" w:ascii="Arial" w:hAnsi="Arial"/>
                <w:b/>
                <w:bCs/>
                <w:sz w:val="18"/>
                <w:szCs w:val="18"/>
                <w:u w:val="double"/>
              </w:rPr>
            </w:r>
          </w:p>
        </w:tc>
        <w:tc>
          <w:tcPr>
            <w:tcW w:w="630" w:type="dxa"/>
            <w:tcBorders/>
            <w:vAlign w:val="bottom"/>
          </w:tcPr>
          <w:p>
            <w:pPr>
              <w:pStyle w:val="Normal"/>
              <w:jc w:val="end"/>
              <w:rPr>
                <w:rFonts w:ascii="Arial" w:hAnsi="Arial" w:eastAsia="Arial Unicode MS;Tahoma" w:cs="Arial"/>
                <w:b/>
                <w:bCs/>
                <w:sz w:val="18"/>
                <w:szCs w:val="18"/>
              </w:rPr>
            </w:pPr>
            <w:r>
              <w:rPr>
                <w:rFonts w:cs="Arial" w:ascii="Arial" w:hAnsi="Arial"/>
                <w:b/>
                <w:bCs/>
                <w:sz w:val="18"/>
                <w:szCs w:val="18"/>
              </w:rPr>
              <w:t>Start</w:t>
            </w:r>
          </w:p>
        </w:tc>
        <w:tc>
          <w:tcPr>
            <w:tcW w:w="180" w:type="dxa"/>
            <w:tcBorders/>
            <w:vAlign w:val="bottom"/>
          </w:tcPr>
          <w:p>
            <w:pPr>
              <w:pStyle w:val="Normal"/>
              <w:snapToGrid w:val="false"/>
              <w:jc w:val="end"/>
              <w:rPr>
                <w:rFonts w:ascii="Arial" w:hAnsi="Arial" w:eastAsia="Arial Unicode MS;Tahoma" w:cs="Arial"/>
                <w:b/>
                <w:bCs/>
                <w:sz w:val="18"/>
                <w:szCs w:val="18"/>
              </w:rPr>
            </w:pPr>
            <w:r>
              <w:rPr>
                <w:rFonts w:eastAsia="Arial Unicode MS;Tahoma" w:cs="Arial" w:ascii="Arial" w:hAnsi="Arial"/>
                <w:b/>
                <w:bCs/>
                <w:sz w:val="18"/>
                <w:szCs w:val="18"/>
              </w:rPr>
            </w:r>
          </w:p>
        </w:tc>
        <w:tc>
          <w:tcPr>
            <w:tcW w:w="720" w:type="dxa"/>
            <w:tcBorders/>
            <w:vAlign w:val="bottom"/>
          </w:tcPr>
          <w:p>
            <w:pPr>
              <w:pStyle w:val="Normal"/>
              <w:jc w:val="end"/>
              <w:rPr>
                <w:rFonts w:ascii="Arial" w:hAnsi="Arial" w:eastAsia="Arial Unicode MS;Tahoma" w:cs="Arial"/>
                <w:b/>
                <w:bCs/>
                <w:sz w:val="18"/>
                <w:szCs w:val="18"/>
              </w:rPr>
            </w:pPr>
            <w:r>
              <w:rPr>
                <w:rFonts w:cs="Arial" w:ascii="Arial" w:hAnsi="Arial"/>
                <w:b/>
                <w:bCs/>
                <w:sz w:val="18"/>
                <w:szCs w:val="18"/>
              </w:rPr>
              <w:t>End</w:t>
            </w:r>
          </w:p>
        </w:tc>
        <w:tc>
          <w:tcPr>
            <w:tcW w:w="1080" w:type="dxa"/>
            <w:tcBorders/>
            <w:vAlign w:val="bottom"/>
          </w:tcPr>
          <w:p>
            <w:pPr>
              <w:pStyle w:val="Normal"/>
              <w:rPr>
                <w:rFonts w:ascii="Arial" w:hAnsi="Arial" w:eastAsia="Arial Unicode MS;Tahoma" w:cs="Arial"/>
                <w:b/>
                <w:bCs/>
                <w:sz w:val="18"/>
                <w:szCs w:val="18"/>
              </w:rPr>
            </w:pPr>
            <w:r>
              <w:rPr>
                <w:rFonts w:cs="Arial" w:ascii="Arial" w:hAnsi="Arial"/>
                <w:b/>
                <w:bCs/>
                <w:sz w:val="18"/>
                <w:szCs w:val="18"/>
              </w:rPr>
              <w:t>Deal #</w:t>
            </w:r>
          </w:p>
        </w:tc>
        <w:tc>
          <w:tcPr>
            <w:tcW w:w="180"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260" w:type="dxa"/>
            <w:tcBorders/>
            <w:vAlign w:val="bottom"/>
          </w:tcPr>
          <w:p>
            <w:pPr>
              <w:pStyle w:val="Normal"/>
              <w:rPr>
                <w:rFonts w:ascii="Arial" w:hAnsi="Arial" w:eastAsia="Arial Unicode MS;Tahoma" w:cs="Arial"/>
                <w:b/>
                <w:bCs/>
                <w:sz w:val="18"/>
                <w:szCs w:val="18"/>
                <w:u w:val="double"/>
              </w:rPr>
            </w:pPr>
            <w:r>
              <w:rPr>
                <w:rFonts w:eastAsia="Arial" w:cs="Arial" w:ascii="Arial" w:hAnsi="Arial"/>
                <w:b/>
                <w:bCs/>
                <w:sz w:val="18"/>
                <w:szCs w:val="18"/>
              </w:rPr>
              <w:t xml:space="preserve"> </w:t>
            </w:r>
            <w:r>
              <w:rPr>
                <w:rFonts w:cs="Arial" w:ascii="Arial" w:hAnsi="Arial"/>
                <w:b/>
                <w:bCs/>
                <w:strike/>
                <w:sz w:val="18"/>
                <w:szCs w:val="18"/>
              </w:rPr>
              <w:t>Buy/SellGas Buy/SellOption Option AnnuitizedPremium</w:t>
            </w:r>
            <w:r>
              <w:rPr>
                <w:rFonts w:cs="Arial" w:ascii="Arial" w:hAnsi="Arial"/>
                <w:b/>
                <w:bCs/>
                <w:sz w:val="18"/>
                <w:szCs w:val="18"/>
              </w:rPr>
              <w:t xml:space="preserve"> </w:t>
            </w:r>
            <w:r>
              <w:rPr>
                <w:rFonts w:cs="Arial" w:ascii="Arial" w:hAnsi="Arial"/>
                <w:b/>
                <w:bCs/>
                <w:sz w:val="18"/>
                <w:szCs w:val="18"/>
                <w:u w:val="double"/>
              </w:rPr>
              <w:t>Buy/Sell Gas</w:t>
            </w:r>
          </w:p>
        </w:tc>
        <w:tc>
          <w:tcPr>
            <w:tcW w:w="1440" w:type="dxa"/>
            <w:tcBorders/>
            <w:vAlign w:val="bottom"/>
          </w:tcPr>
          <w:p>
            <w:pPr>
              <w:pStyle w:val="Normal"/>
              <w:rPr>
                <w:rFonts w:ascii="Arial" w:hAnsi="Arial" w:eastAsia="Arial Unicode MS;Tahoma" w:cs="Arial"/>
                <w:b/>
                <w:bCs/>
                <w:sz w:val="18"/>
                <w:szCs w:val="18"/>
                <w:u w:val="double"/>
              </w:rPr>
            </w:pPr>
            <w:r>
              <w:rPr>
                <w:rFonts w:cs="Arial" w:ascii="Arial" w:hAnsi="Arial"/>
                <w:b/>
                <w:bCs/>
                <w:sz w:val="18"/>
                <w:szCs w:val="18"/>
                <w:u w:val="double"/>
              </w:rPr>
              <w:t>Buy/Sell Option</w:t>
            </w:r>
          </w:p>
        </w:tc>
        <w:tc>
          <w:tcPr>
            <w:tcW w:w="720" w:type="dxa"/>
            <w:tcBorders/>
            <w:vAlign w:val="bottom"/>
          </w:tcPr>
          <w:p>
            <w:pPr>
              <w:pStyle w:val="Normal"/>
              <w:rPr>
                <w:rFonts w:ascii="Arial" w:hAnsi="Arial" w:eastAsia="Arial Unicode MS;Tahoma" w:cs="Arial"/>
                <w:b/>
                <w:bCs/>
                <w:sz w:val="18"/>
                <w:szCs w:val="18"/>
                <w:u w:val="double"/>
              </w:rPr>
            </w:pPr>
            <w:r>
              <w:rPr>
                <w:rFonts w:cs="Arial" w:ascii="Arial" w:hAnsi="Arial"/>
                <w:b/>
                <w:bCs/>
                <w:sz w:val="18"/>
                <w:szCs w:val="18"/>
                <w:u w:val="double"/>
              </w:rPr>
              <w:t>Option</w:t>
            </w:r>
          </w:p>
        </w:tc>
        <w:tc>
          <w:tcPr>
            <w:tcW w:w="990" w:type="dxa"/>
            <w:tcBorders/>
            <w:vAlign w:val="bottom"/>
          </w:tcPr>
          <w:p>
            <w:pPr>
              <w:pStyle w:val="Normal"/>
              <w:rPr>
                <w:rFonts w:ascii="Arial" w:hAnsi="Arial" w:eastAsia="Arial Unicode MS;Tahoma" w:cs="Arial"/>
                <w:b/>
                <w:bCs/>
                <w:sz w:val="18"/>
                <w:szCs w:val="18"/>
              </w:rPr>
            </w:pPr>
            <w:r>
              <w:rPr>
                <w:rFonts w:cs="Arial" w:ascii="Arial" w:hAnsi="Arial"/>
                <w:b/>
                <w:bCs/>
                <w:sz w:val="18"/>
                <w:szCs w:val="18"/>
                <w:u w:val="double"/>
              </w:rPr>
              <w:t>Annuitized Premium</w:t>
            </w:r>
          </w:p>
        </w:tc>
      </w:tr>
      <w:tr>
        <w:trPr>
          <w:trHeight w:val="255" w:hRule="atLeast"/>
        </w:trPr>
        <w:tc>
          <w:tcPr>
            <w:tcW w:w="520"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44"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878"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27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35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351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63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0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26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440" w:type="dxa"/>
            <w:tcBorders/>
            <w:vAlign w:val="bottom"/>
          </w:tcPr>
          <w:p>
            <w:pPr>
              <w:pStyle w:val="Normal"/>
              <w:snapToGrid w:val="false"/>
              <w:rPr>
                <w:rFonts w:ascii="Arial" w:hAnsi="Arial" w:eastAsia="Arial Unicode MS;Tahoma" w:cs="Arial"/>
                <w:b/>
                <w:bCs/>
                <w:sz w:val="18"/>
                <w:szCs w:val="18"/>
                <w:u w:val="double"/>
              </w:rPr>
            </w:pPr>
            <w:r>
              <w:rPr>
                <w:rFonts w:eastAsia="Arial Unicode MS;Tahoma" w:cs="Arial" w:ascii="Arial" w:hAnsi="Arial"/>
                <w:b/>
                <w:bCs/>
                <w:sz w:val="18"/>
                <w:szCs w:val="18"/>
                <w:u w:val="double"/>
              </w:rPr>
            </w:r>
          </w:p>
        </w:tc>
        <w:tc>
          <w:tcPr>
            <w:tcW w:w="720" w:type="dxa"/>
            <w:tcBorders/>
            <w:vAlign w:val="bottom"/>
          </w:tcPr>
          <w:p>
            <w:pPr>
              <w:pStyle w:val="Normal"/>
              <w:snapToGrid w:val="false"/>
              <w:rPr>
                <w:rFonts w:ascii="Arial" w:hAnsi="Arial" w:eastAsia="Arial Unicode MS;Tahoma" w:cs="Arial"/>
                <w:b/>
                <w:bCs/>
                <w:sz w:val="18"/>
                <w:szCs w:val="18"/>
                <w:u w:val="double"/>
              </w:rPr>
            </w:pPr>
            <w:r>
              <w:rPr>
                <w:rFonts w:eastAsia="Arial Unicode MS;Tahoma" w:cs="Arial" w:ascii="Arial" w:hAnsi="Arial"/>
                <w:b/>
                <w:bCs/>
                <w:sz w:val="18"/>
                <w:szCs w:val="18"/>
                <w:u w:val="double"/>
              </w:rPr>
            </w:r>
          </w:p>
        </w:tc>
        <w:tc>
          <w:tcPr>
            <w:tcW w:w="99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r>
      <w:tr>
        <w:trPr>
          <w:trHeight w:val="255" w:hRule="atLeast"/>
        </w:trPr>
        <w:tc>
          <w:tcPr>
            <w:tcW w:w="520" w:type="dxa"/>
            <w:tcBorders/>
            <w:vAlign w:val="bottom"/>
          </w:tcPr>
          <w:p>
            <w:pPr>
              <w:pStyle w:val="Normal"/>
              <w:jc w:val="end"/>
              <w:rPr>
                <w:rFonts w:ascii="Arial" w:hAnsi="Arial" w:eastAsia="Arial Unicode MS;Tahoma" w:cs="Arial"/>
                <w:b/>
                <w:bCs/>
                <w:sz w:val="18"/>
                <w:szCs w:val="18"/>
              </w:rPr>
            </w:pPr>
            <w:r>
              <w:rPr>
                <w:rFonts w:cs="Arial" w:ascii="Arial" w:hAnsi="Arial"/>
                <w:b/>
                <w:bCs/>
                <w:sz w:val="18"/>
                <w:szCs w:val="18"/>
              </w:rPr>
              <w:t>1</w:t>
            </w:r>
          </w:p>
        </w:tc>
        <w:tc>
          <w:tcPr>
            <w:tcW w:w="44"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878" w:type="dxa"/>
            <w:tcBorders/>
            <w:vAlign w:val="bottom"/>
          </w:tcPr>
          <w:p>
            <w:pPr>
              <w:pStyle w:val="Normal"/>
              <w:rPr>
                <w:rFonts w:ascii="Arial" w:hAnsi="Arial" w:eastAsia="Arial Unicode MS;Tahoma" w:cs="Arial"/>
                <w:sz w:val="18"/>
                <w:szCs w:val="18"/>
              </w:rPr>
            </w:pPr>
            <w:r>
              <w:rPr>
                <w:rFonts w:cs="Arial" w:ascii="Arial" w:hAnsi="Arial"/>
                <w:sz w:val="18"/>
                <w:szCs w:val="18"/>
              </w:rPr>
              <w:t>Entex Gas Res</w:t>
            </w:r>
          </w:p>
        </w:tc>
        <w:tc>
          <w:tcPr>
            <w:tcW w:w="27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350" w:type="dxa"/>
            <w:tcBorders/>
            <w:vAlign w:val="bottom"/>
          </w:tcPr>
          <w:p>
            <w:pPr>
              <w:pStyle w:val="Normal"/>
              <w:rPr>
                <w:rFonts w:ascii="Arial" w:hAnsi="Arial" w:eastAsia="Arial Unicode MS;Tahoma" w:cs="Arial"/>
                <w:sz w:val="18"/>
                <w:szCs w:val="18"/>
              </w:rPr>
            </w:pPr>
            <w:r>
              <w:rPr>
                <w:rFonts w:cs="Arial" w:ascii="Arial" w:hAnsi="Arial"/>
                <w:sz w:val="18"/>
                <w:szCs w:val="18"/>
              </w:rPr>
              <w:t>100,000/Month</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3510" w:type="dxa"/>
            <w:tcBorders/>
            <w:vAlign w:val="bottom"/>
          </w:tcPr>
          <w:p>
            <w:pPr>
              <w:pStyle w:val="Normal"/>
              <w:rPr>
                <w:rFonts w:ascii="Arial" w:hAnsi="Arial" w:eastAsia="Arial Unicode MS;Tahoma" w:cs="Arial"/>
                <w:sz w:val="18"/>
                <w:szCs w:val="18"/>
              </w:rPr>
            </w:pPr>
            <w:r>
              <w:rPr>
                <w:rFonts w:cs="Arial" w:ascii="Arial" w:hAnsi="Arial"/>
                <w:sz w:val="18"/>
                <w:szCs w:val="18"/>
              </w:rPr>
              <w:t>Greater of $3.77 or IF HSC + .02</w:t>
            </w:r>
          </w:p>
        </w:tc>
        <w:tc>
          <w:tcPr>
            <w:tcW w:w="180" w:type="dxa"/>
            <w:tcBorders/>
            <w:vAlign w:val="bottom"/>
          </w:tcPr>
          <w:p>
            <w:pPr>
              <w:pStyle w:val="Normal"/>
              <w:rPr>
                <w:rFonts w:ascii="Arial" w:hAnsi="Arial" w:eastAsia="Arial Unicode MS;Tahoma" w:cs="Arial"/>
                <w:b/>
                <w:bCs/>
                <w:sz w:val="18"/>
                <w:szCs w:val="18"/>
                <w:u w:val="double"/>
              </w:rPr>
            </w:pPr>
            <w:r>
              <w:rPr>
                <w:rFonts w:eastAsia="Arial" w:cs="Arial" w:ascii="Arial" w:hAnsi="Arial"/>
                <w:sz w:val="18"/>
                <w:szCs w:val="18"/>
              </w:rPr>
              <w:t xml:space="preserve"> </w:t>
            </w:r>
            <w:r>
              <w:rPr>
                <w:rFonts w:eastAsia="Arial Unicode MS;Tahoma" w:cs="Arial" w:ascii="Arial" w:hAnsi="Arial"/>
                <w:strike/>
                <w:sz w:val="18"/>
                <w:szCs w:val="18"/>
              </w:rPr>
              <w:t>Apr</w:t>
            </w:r>
            <w:r>
              <w:rPr>
                <w:rFonts w:eastAsia="Arial Unicode MS;Tahoma" w:cs="Arial" w:ascii="Arial" w:hAnsi="Arial"/>
                <w:sz w:val="18"/>
                <w:szCs w:val="18"/>
              </w:rPr>
              <w:t xml:space="preserve"> </w:t>
            </w:r>
          </w:p>
        </w:tc>
        <w:tc>
          <w:tcPr>
            <w:tcW w:w="630" w:type="dxa"/>
            <w:tcBorders/>
            <w:vAlign w:val="bottom"/>
          </w:tcPr>
          <w:p>
            <w:pPr>
              <w:pStyle w:val="Normal"/>
              <w:jc w:val="end"/>
              <w:rPr>
                <w:rFonts w:ascii="Arial" w:hAnsi="Arial" w:eastAsia="Arial Unicode MS;Tahoma" w:cs="Arial"/>
                <w:sz w:val="18"/>
                <w:szCs w:val="18"/>
              </w:rPr>
            </w:pPr>
            <w:r>
              <w:rPr>
                <w:rFonts w:cs="Arial" w:ascii="Arial" w:hAnsi="Arial"/>
                <w:b/>
                <w:bCs/>
                <w:sz w:val="18"/>
                <w:szCs w:val="18"/>
                <w:u w:val="double"/>
              </w:rPr>
              <w:t>Jun</w:t>
            </w:r>
            <w:r>
              <w:rPr>
                <w:rFonts w:cs="Arial" w:ascii="Arial" w:hAnsi="Arial"/>
                <w:sz w:val="18"/>
                <w:szCs w:val="18"/>
              </w:rPr>
              <w:t>-01</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jc w:val="end"/>
              <w:rPr>
                <w:rFonts w:ascii="Arial" w:hAnsi="Arial" w:eastAsia="Arial Unicode MS;Tahoma" w:cs="Arial"/>
                <w:sz w:val="18"/>
                <w:szCs w:val="18"/>
              </w:rPr>
            </w:pPr>
            <w:r>
              <w:rPr>
                <w:rFonts w:cs="Arial" w:ascii="Arial" w:hAnsi="Arial"/>
                <w:sz w:val="18"/>
                <w:szCs w:val="18"/>
              </w:rPr>
              <w:t>Oct-01</w:t>
            </w:r>
          </w:p>
        </w:tc>
        <w:tc>
          <w:tcPr>
            <w:tcW w:w="1080" w:type="dxa"/>
            <w:tcBorders/>
            <w:vAlign w:val="bottom"/>
          </w:tcPr>
          <w:p>
            <w:pPr>
              <w:pStyle w:val="Normal"/>
              <w:rPr>
                <w:rFonts w:ascii="Arial" w:hAnsi="Arial" w:eastAsia="Arial Unicode MS;Tahoma" w:cs="Arial"/>
                <w:sz w:val="18"/>
                <w:szCs w:val="18"/>
              </w:rPr>
            </w:pPr>
            <w:r>
              <w:rPr>
                <w:rFonts w:cs="Arial" w:ascii="Arial" w:hAnsi="Arial"/>
                <w:sz w:val="18"/>
                <w:szCs w:val="18"/>
              </w:rPr>
              <w:t>QF9699.2</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26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44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99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r>
      <w:tr>
        <w:trPr>
          <w:trHeight w:val="255" w:hRule="atLeast"/>
        </w:trPr>
        <w:tc>
          <w:tcPr>
            <w:tcW w:w="520"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44"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878"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27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35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351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63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0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26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440" w:type="dxa"/>
            <w:tcBorders/>
            <w:vAlign w:val="bottom"/>
          </w:tcPr>
          <w:p>
            <w:pPr>
              <w:pStyle w:val="Normal"/>
              <w:snapToGrid w:val="false"/>
              <w:rPr>
                <w:rFonts w:ascii="Arial" w:hAnsi="Arial" w:eastAsia="Arial Unicode MS;Tahoma" w:cs="Arial"/>
                <w:b/>
                <w:bCs/>
                <w:sz w:val="18"/>
                <w:szCs w:val="18"/>
                <w:u w:val="double"/>
              </w:rPr>
            </w:pPr>
            <w:r>
              <w:rPr>
                <w:rFonts w:eastAsia="Arial Unicode MS;Tahoma" w:cs="Arial" w:ascii="Arial" w:hAnsi="Arial"/>
                <w:b/>
                <w:bCs/>
                <w:sz w:val="18"/>
                <w:szCs w:val="18"/>
                <w:u w:val="double"/>
              </w:rPr>
            </w:r>
          </w:p>
        </w:tc>
        <w:tc>
          <w:tcPr>
            <w:tcW w:w="720" w:type="dxa"/>
            <w:tcBorders/>
            <w:vAlign w:val="bottom"/>
          </w:tcPr>
          <w:p>
            <w:pPr>
              <w:pStyle w:val="Normal"/>
              <w:snapToGrid w:val="false"/>
              <w:rPr>
                <w:rFonts w:ascii="Arial" w:hAnsi="Arial" w:eastAsia="Arial Unicode MS;Tahoma" w:cs="Arial"/>
                <w:b/>
                <w:bCs/>
                <w:sz w:val="18"/>
                <w:szCs w:val="18"/>
                <w:u w:val="double"/>
              </w:rPr>
            </w:pPr>
            <w:r>
              <w:rPr>
                <w:rFonts w:eastAsia="Arial Unicode MS;Tahoma" w:cs="Arial" w:ascii="Arial" w:hAnsi="Arial"/>
                <w:b/>
                <w:bCs/>
                <w:sz w:val="18"/>
                <w:szCs w:val="18"/>
                <w:u w:val="double"/>
              </w:rPr>
            </w:r>
          </w:p>
        </w:tc>
        <w:tc>
          <w:tcPr>
            <w:tcW w:w="99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r>
      <w:tr>
        <w:trPr>
          <w:trHeight w:val="255" w:hRule="atLeast"/>
        </w:trPr>
        <w:tc>
          <w:tcPr>
            <w:tcW w:w="520" w:type="dxa"/>
            <w:tcBorders/>
            <w:vAlign w:val="bottom"/>
          </w:tcPr>
          <w:p>
            <w:pPr>
              <w:pStyle w:val="Normal"/>
              <w:jc w:val="end"/>
              <w:rPr>
                <w:rFonts w:ascii="Arial" w:hAnsi="Arial" w:eastAsia="Arial Unicode MS;Tahoma" w:cs="Arial"/>
                <w:b/>
                <w:bCs/>
                <w:sz w:val="18"/>
                <w:szCs w:val="18"/>
              </w:rPr>
            </w:pPr>
            <w:r>
              <w:rPr>
                <w:rFonts w:cs="Arial" w:ascii="Arial" w:hAnsi="Arial"/>
                <w:b/>
                <w:bCs/>
                <w:sz w:val="18"/>
                <w:szCs w:val="18"/>
              </w:rPr>
              <w:t>2</w:t>
            </w:r>
          </w:p>
        </w:tc>
        <w:tc>
          <w:tcPr>
            <w:tcW w:w="44"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878" w:type="dxa"/>
            <w:tcBorders/>
            <w:vAlign w:val="bottom"/>
          </w:tcPr>
          <w:p>
            <w:pPr>
              <w:pStyle w:val="Normal"/>
              <w:rPr>
                <w:rFonts w:ascii="Arial" w:hAnsi="Arial" w:eastAsia="Arial Unicode MS;Tahoma" w:cs="Arial"/>
                <w:sz w:val="18"/>
                <w:szCs w:val="18"/>
              </w:rPr>
            </w:pPr>
            <w:r>
              <w:rPr>
                <w:rFonts w:cs="Arial" w:ascii="Arial" w:hAnsi="Arial"/>
                <w:sz w:val="18"/>
                <w:szCs w:val="18"/>
              </w:rPr>
              <w:t>Entex Gas Res</w:t>
            </w:r>
          </w:p>
        </w:tc>
        <w:tc>
          <w:tcPr>
            <w:tcW w:w="27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350" w:type="dxa"/>
            <w:tcBorders/>
            <w:vAlign w:val="bottom"/>
          </w:tcPr>
          <w:p>
            <w:pPr>
              <w:pStyle w:val="Normal"/>
              <w:rPr>
                <w:rFonts w:ascii="Arial" w:hAnsi="Arial" w:eastAsia="Arial Unicode MS;Tahoma" w:cs="Arial"/>
                <w:sz w:val="18"/>
                <w:szCs w:val="18"/>
              </w:rPr>
            </w:pPr>
            <w:r>
              <w:rPr>
                <w:rFonts w:cs="Arial" w:ascii="Arial" w:hAnsi="Arial"/>
                <w:sz w:val="18"/>
                <w:szCs w:val="18"/>
              </w:rPr>
              <w:t>5,000/day</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3510" w:type="dxa"/>
            <w:tcBorders/>
            <w:vAlign w:val="bottom"/>
          </w:tcPr>
          <w:p>
            <w:pPr>
              <w:pStyle w:val="Normal"/>
              <w:rPr>
                <w:rFonts w:ascii="Arial" w:hAnsi="Arial" w:eastAsia="Arial Unicode MS;Tahoma" w:cs="Arial"/>
                <w:sz w:val="18"/>
                <w:szCs w:val="18"/>
              </w:rPr>
            </w:pPr>
            <w:r>
              <w:rPr>
                <w:rFonts w:cs="Arial" w:ascii="Arial" w:hAnsi="Arial"/>
                <w:sz w:val="18"/>
                <w:szCs w:val="18"/>
              </w:rPr>
              <w:t>IF HSC - $.1425</w:t>
            </w:r>
          </w:p>
        </w:tc>
        <w:tc>
          <w:tcPr>
            <w:tcW w:w="180" w:type="dxa"/>
            <w:tcBorders/>
            <w:vAlign w:val="bottom"/>
          </w:tcPr>
          <w:p>
            <w:pPr>
              <w:pStyle w:val="Normal"/>
              <w:rPr>
                <w:rFonts w:ascii="Arial" w:hAnsi="Arial" w:eastAsia="Arial Unicode MS;Tahoma" w:cs="Arial"/>
                <w:b/>
                <w:bCs/>
                <w:sz w:val="18"/>
                <w:szCs w:val="18"/>
                <w:u w:val="double"/>
              </w:rPr>
            </w:pPr>
            <w:r>
              <w:rPr>
                <w:rFonts w:eastAsia="Arial" w:cs="Arial" w:ascii="Arial" w:hAnsi="Arial"/>
                <w:sz w:val="18"/>
                <w:szCs w:val="18"/>
              </w:rPr>
              <w:t xml:space="preserve"> </w:t>
            </w:r>
            <w:r>
              <w:rPr>
                <w:rFonts w:eastAsia="Arial Unicode MS;Tahoma" w:cs="Arial" w:ascii="Arial" w:hAnsi="Arial"/>
                <w:strike/>
                <w:sz w:val="18"/>
                <w:szCs w:val="18"/>
              </w:rPr>
              <w:t>Apr</w:t>
            </w:r>
            <w:r>
              <w:rPr>
                <w:rFonts w:eastAsia="Arial Unicode MS;Tahoma" w:cs="Arial" w:ascii="Arial" w:hAnsi="Arial"/>
                <w:sz w:val="18"/>
                <w:szCs w:val="18"/>
              </w:rPr>
              <w:t xml:space="preserve"> </w:t>
            </w:r>
          </w:p>
        </w:tc>
        <w:tc>
          <w:tcPr>
            <w:tcW w:w="630" w:type="dxa"/>
            <w:tcBorders/>
            <w:vAlign w:val="bottom"/>
          </w:tcPr>
          <w:p>
            <w:pPr>
              <w:pStyle w:val="Normal"/>
              <w:jc w:val="end"/>
              <w:rPr>
                <w:rFonts w:ascii="Arial" w:hAnsi="Arial" w:eastAsia="Arial Unicode MS;Tahoma" w:cs="Arial"/>
                <w:sz w:val="18"/>
                <w:szCs w:val="18"/>
              </w:rPr>
            </w:pPr>
            <w:r>
              <w:rPr>
                <w:rFonts w:cs="Arial" w:ascii="Arial" w:hAnsi="Arial"/>
                <w:b/>
                <w:bCs/>
                <w:sz w:val="18"/>
                <w:szCs w:val="18"/>
                <w:u w:val="double"/>
              </w:rPr>
              <w:t>Jun</w:t>
            </w:r>
            <w:r>
              <w:rPr>
                <w:rFonts w:cs="Arial" w:ascii="Arial" w:hAnsi="Arial"/>
                <w:sz w:val="18"/>
                <w:szCs w:val="18"/>
              </w:rPr>
              <w:t>-01</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jc w:val="end"/>
              <w:rPr>
                <w:rFonts w:ascii="Arial" w:hAnsi="Arial" w:eastAsia="Arial Unicode MS;Tahoma" w:cs="Arial"/>
                <w:sz w:val="18"/>
                <w:szCs w:val="18"/>
              </w:rPr>
            </w:pPr>
            <w:r>
              <w:rPr>
                <w:rFonts w:cs="Arial" w:ascii="Arial" w:hAnsi="Arial"/>
                <w:sz w:val="18"/>
                <w:szCs w:val="18"/>
              </w:rPr>
              <w:t>Oct-01</w:t>
            </w:r>
          </w:p>
        </w:tc>
        <w:tc>
          <w:tcPr>
            <w:tcW w:w="10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26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44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99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r>
      <w:tr>
        <w:trPr>
          <w:trHeight w:val="255" w:hRule="atLeast"/>
        </w:trPr>
        <w:tc>
          <w:tcPr>
            <w:tcW w:w="520"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44"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878"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27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35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351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63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0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26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44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990" w:type="dxa"/>
            <w:tcBorders/>
            <w:vAlign w:val="bottom"/>
          </w:tcPr>
          <w:p>
            <w:pPr>
              <w:pStyle w:val="Normal"/>
              <w:snapToGrid w:val="false"/>
              <w:rPr>
                <w:rFonts w:ascii="Arial" w:hAnsi="Arial" w:eastAsia="Arial Unicode MS;Tahoma" w:cs="Arial"/>
                <w:b/>
                <w:bCs/>
                <w:sz w:val="18"/>
                <w:szCs w:val="18"/>
                <w:u w:val="double"/>
              </w:rPr>
            </w:pPr>
            <w:r>
              <w:rPr>
                <w:rFonts w:eastAsia="Arial Unicode MS;Tahoma" w:cs="Arial" w:ascii="Arial" w:hAnsi="Arial"/>
                <w:b/>
                <w:bCs/>
                <w:sz w:val="18"/>
                <w:szCs w:val="18"/>
                <w:u w:val="double"/>
              </w:rPr>
            </w:r>
          </w:p>
        </w:tc>
      </w:tr>
      <w:tr>
        <w:trPr>
          <w:trHeight w:val="255" w:hRule="atLeast"/>
        </w:trPr>
        <w:tc>
          <w:tcPr>
            <w:tcW w:w="520" w:type="dxa"/>
            <w:tcBorders/>
            <w:vAlign w:val="bottom"/>
          </w:tcPr>
          <w:p>
            <w:pPr>
              <w:pStyle w:val="Normal"/>
              <w:jc w:val="end"/>
              <w:rPr>
                <w:rFonts w:ascii="Arial" w:hAnsi="Arial" w:eastAsia="Arial Unicode MS;Tahoma" w:cs="Arial"/>
                <w:b/>
                <w:bCs/>
                <w:sz w:val="18"/>
                <w:szCs w:val="18"/>
              </w:rPr>
            </w:pPr>
            <w:r>
              <w:rPr>
                <w:rFonts w:cs="Arial" w:ascii="Arial" w:hAnsi="Arial"/>
                <w:b/>
                <w:bCs/>
                <w:sz w:val="18"/>
                <w:szCs w:val="18"/>
              </w:rPr>
              <w:t>3</w:t>
            </w:r>
          </w:p>
        </w:tc>
        <w:tc>
          <w:tcPr>
            <w:tcW w:w="44"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878" w:type="dxa"/>
            <w:tcBorders/>
            <w:vAlign w:val="bottom"/>
          </w:tcPr>
          <w:p>
            <w:pPr>
              <w:pStyle w:val="Normal"/>
              <w:rPr>
                <w:rFonts w:ascii="Arial" w:hAnsi="Arial" w:eastAsia="Arial Unicode MS;Tahoma" w:cs="Arial"/>
                <w:sz w:val="18"/>
                <w:szCs w:val="18"/>
              </w:rPr>
            </w:pPr>
            <w:r>
              <w:rPr>
                <w:rFonts w:cs="Arial" w:ascii="Arial" w:hAnsi="Arial"/>
                <w:sz w:val="18"/>
                <w:szCs w:val="18"/>
              </w:rPr>
              <w:t>Reliant Energy-Entex</w:t>
            </w:r>
          </w:p>
        </w:tc>
        <w:tc>
          <w:tcPr>
            <w:tcW w:w="27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350" w:type="dxa"/>
            <w:tcBorders/>
            <w:vAlign w:val="bottom"/>
          </w:tcPr>
          <w:p>
            <w:pPr>
              <w:pStyle w:val="Normal"/>
              <w:rPr>
                <w:rFonts w:ascii="Arial" w:hAnsi="Arial" w:eastAsia="Arial Unicode MS;Tahoma" w:cs="Arial"/>
                <w:sz w:val="18"/>
                <w:szCs w:val="18"/>
              </w:rPr>
            </w:pPr>
            <w:r>
              <w:rPr>
                <w:rFonts w:cs="Arial" w:ascii="Arial" w:hAnsi="Arial"/>
                <w:sz w:val="18"/>
                <w:szCs w:val="18"/>
              </w:rPr>
              <w:t>5,000/day</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3510" w:type="dxa"/>
            <w:tcBorders/>
            <w:vAlign w:val="bottom"/>
          </w:tcPr>
          <w:p>
            <w:pPr>
              <w:pStyle w:val="Normal"/>
              <w:rPr>
                <w:rFonts w:ascii="Arial" w:hAnsi="Arial" w:eastAsia="Arial Unicode MS;Tahoma" w:cs="Arial"/>
                <w:sz w:val="18"/>
                <w:szCs w:val="18"/>
              </w:rPr>
            </w:pPr>
            <w:r>
              <w:rPr>
                <w:rFonts w:cs="Arial" w:ascii="Arial" w:hAnsi="Arial"/>
                <w:sz w:val="18"/>
                <w:szCs w:val="18"/>
              </w:rPr>
              <w:t>Greater of HSC + (.769 -.15)</w:t>
            </w:r>
          </w:p>
        </w:tc>
        <w:tc>
          <w:tcPr>
            <w:tcW w:w="180" w:type="dxa"/>
            <w:tcBorders/>
            <w:vAlign w:val="bottom"/>
          </w:tcPr>
          <w:p>
            <w:pPr>
              <w:pStyle w:val="Normal"/>
              <w:rPr>
                <w:rFonts w:ascii="Arial" w:hAnsi="Arial" w:eastAsia="Arial Unicode MS;Tahoma" w:cs="Arial"/>
                <w:b/>
                <w:bCs/>
                <w:sz w:val="18"/>
                <w:szCs w:val="18"/>
                <w:u w:val="double"/>
              </w:rPr>
            </w:pPr>
            <w:r>
              <w:rPr>
                <w:rFonts w:eastAsia="Arial" w:cs="Arial" w:ascii="Arial" w:hAnsi="Arial"/>
                <w:sz w:val="18"/>
                <w:szCs w:val="18"/>
              </w:rPr>
              <w:t xml:space="preserve"> </w:t>
            </w:r>
            <w:r>
              <w:rPr>
                <w:rFonts w:eastAsia="Arial Unicode MS;Tahoma" w:cs="Arial" w:ascii="Arial" w:hAnsi="Arial"/>
                <w:strike/>
                <w:sz w:val="18"/>
                <w:szCs w:val="18"/>
              </w:rPr>
              <w:t>Apr</w:t>
            </w:r>
            <w:r>
              <w:rPr>
                <w:rFonts w:eastAsia="Arial Unicode MS;Tahoma" w:cs="Arial" w:ascii="Arial" w:hAnsi="Arial"/>
                <w:sz w:val="18"/>
                <w:szCs w:val="18"/>
              </w:rPr>
              <w:t xml:space="preserve"> </w:t>
            </w:r>
          </w:p>
        </w:tc>
        <w:tc>
          <w:tcPr>
            <w:tcW w:w="630" w:type="dxa"/>
            <w:tcBorders/>
            <w:vAlign w:val="bottom"/>
          </w:tcPr>
          <w:p>
            <w:pPr>
              <w:pStyle w:val="Normal"/>
              <w:jc w:val="end"/>
              <w:rPr>
                <w:rFonts w:ascii="Arial" w:hAnsi="Arial" w:eastAsia="Arial Unicode MS;Tahoma" w:cs="Arial"/>
                <w:sz w:val="18"/>
                <w:szCs w:val="18"/>
              </w:rPr>
            </w:pPr>
            <w:r>
              <w:rPr>
                <w:rFonts w:cs="Arial" w:ascii="Arial" w:hAnsi="Arial"/>
                <w:b/>
                <w:bCs/>
                <w:sz w:val="18"/>
                <w:szCs w:val="18"/>
                <w:u w:val="double"/>
              </w:rPr>
              <w:t>Jun</w:t>
            </w:r>
            <w:r>
              <w:rPr>
                <w:rFonts w:cs="Arial" w:ascii="Arial" w:hAnsi="Arial"/>
                <w:sz w:val="18"/>
                <w:szCs w:val="18"/>
              </w:rPr>
              <w:t>-01</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jc w:val="end"/>
              <w:rPr>
                <w:rFonts w:ascii="Arial" w:hAnsi="Arial" w:eastAsia="Arial Unicode MS;Tahoma" w:cs="Arial"/>
                <w:sz w:val="18"/>
                <w:szCs w:val="18"/>
              </w:rPr>
            </w:pPr>
            <w:r>
              <w:rPr>
                <w:rFonts w:cs="Arial" w:ascii="Arial" w:hAnsi="Arial"/>
                <w:sz w:val="18"/>
                <w:szCs w:val="18"/>
              </w:rPr>
              <w:t>Oct-01</w:t>
            </w:r>
          </w:p>
        </w:tc>
        <w:tc>
          <w:tcPr>
            <w:tcW w:w="1080" w:type="dxa"/>
            <w:tcBorders/>
            <w:vAlign w:val="bottom"/>
          </w:tcPr>
          <w:p>
            <w:pPr>
              <w:pStyle w:val="Normal"/>
              <w:rPr>
                <w:rFonts w:ascii="Arial" w:hAnsi="Arial" w:eastAsia="Arial Unicode MS;Tahoma" w:cs="Arial"/>
                <w:sz w:val="18"/>
                <w:szCs w:val="18"/>
              </w:rPr>
            </w:pPr>
            <w:r>
              <w:rPr>
                <w:rFonts w:cs="Arial" w:ascii="Arial" w:hAnsi="Arial"/>
                <w:sz w:val="18"/>
                <w:szCs w:val="18"/>
              </w:rPr>
              <w:t>Q84065.2</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26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44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99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r>
      <w:tr>
        <w:trPr>
          <w:trHeight w:val="255" w:hRule="atLeast"/>
        </w:trPr>
        <w:tc>
          <w:tcPr>
            <w:tcW w:w="520"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44"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878"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27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35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3510" w:type="dxa"/>
            <w:tcBorders/>
            <w:vAlign w:val="bottom"/>
          </w:tcPr>
          <w:p>
            <w:pPr>
              <w:pStyle w:val="Normal"/>
              <w:rPr>
                <w:rFonts w:ascii="Arial" w:hAnsi="Arial" w:eastAsia="Arial Unicode MS;Tahoma" w:cs="Arial"/>
                <w:sz w:val="18"/>
                <w:szCs w:val="18"/>
              </w:rPr>
            </w:pPr>
            <w:r>
              <w:rPr>
                <w:rFonts w:cs="Arial" w:ascii="Arial" w:hAnsi="Arial"/>
                <w:sz w:val="18"/>
                <w:szCs w:val="18"/>
              </w:rPr>
              <w:t>or $4.00 + (.769 - .15)</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63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0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26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44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99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r>
      <w:tr>
        <w:trPr>
          <w:trHeight w:val="255" w:hRule="atLeast"/>
        </w:trPr>
        <w:tc>
          <w:tcPr>
            <w:tcW w:w="520"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44" w:type="dxa"/>
            <w:tcBorders/>
            <w:vAlign w:val="bottom"/>
          </w:tcPr>
          <w:p>
            <w:pPr>
              <w:pStyle w:val="Normal"/>
              <w:snapToGrid w:val="false"/>
              <w:rPr>
                <w:rFonts w:ascii="Arial" w:hAnsi="Arial" w:eastAsia="Arial Unicode MS;Tahoma" w:cs="Arial"/>
                <w:b/>
                <w:bCs/>
                <w:sz w:val="18"/>
                <w:szCs w:val="18"/>
                <w:u w:val="double"/>
              </w:rPr>
            </w:pPr>
            <w:r>
              <w:rPr>
                <w:rFonts w:eastAsia="Arial Unicode MS;Tahoma" w:cs="Arial" w:ascii="Arial" w:hAnsi="Arial"/>
                <w:b/>
                <w:bCs/>
                <w:sz w:val="18"/>
                <w:szCs w:val="18"/>
                <w:u w:val="double"/>
              </w:rPr>
            </w:r>
          </w:p>
        </w:tc>
        <w:tc>
          <w:tcPr>
            <w:tcW w:w="7188" w:type="dxa"/>
            <w:gridSpan w:val="5"/>
            <w:tcBorders/>
            <w:vAlign w:val="bottom"/>
          </w:tcPr>
          <w:p>
            <w:pPr>
              <w:pStyle w:val="Normal"/>
              <w:rPr>
                <w:rFonts w:ascii="Arial" w:hAnsi="Arial" w:eastAsia="Arial Unicode MS;Tahoma" w:cs="Arial"/>
                <w:sz w:val="18"/>
                <w:szCs w:val="18"/>
              </w:rPr>
            </w:pPr>
            <w:r>
              <w:rPr>
                <w:rFonts w:cs="Arial" w:ascii="Arial" w:hAnsi="Arial"/>
                <w:sz w:val="18"/>
                <w:szCs w:val="18"/>
              </w:rPr>
              <w:t xml:space="preserve">Note: Deals 2 and 3 work together:  Option premium paid to Entex is split between 2 deals </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63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0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26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44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99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r>
      <w:tr>
        <w:trPr>
          <w:trHeight w:val="255" w:hRule="atLeast"/>
        </w:trPr>
        <w:tc>
          <w:tcPr>
            <w:tcW w:w="520"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44"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878"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27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35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351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63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0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26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44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99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r>
      <w:tr>
        <w:trPr>
          <w:trHeight w:val="255" w:hRule="atLeast"/>
        </w:trPr>
        <w:tc>
          <w:tcPr>
            <w:tcW w:w="520"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44"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878"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27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35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351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63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0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260" w:type="dxa"/>
            <w:tcBorders/>
            <w:vAlign w:val="bottom"/>
          </w:tcPr>
          <w:p>
            <w:pPr>
              <w:pStyle w:val="Normal"/>
              <w:snapToGrid w:val="false"/>
              <w:rPr>
                <w:rFonts w:ascii="Arial" w:hAnsi="Arial" w:eastAsia="Arial Unicode MS;Tahoma" w:cs="Arial"/>
                <w:b/>
                <w:bCs/>
                <w:sz w:val="18"/>
                <w:szCs w:val="18"/>
                <w:u w:val="double"/>
              </w:rPr>
            </w:pPr>
            <w:r>
              <w:rPr>
                <w:rFonts w:eastAsia="Arial Unicode MS;Tahoma" w:cs="Arial" w:ascii="Arial" w:hAnsi="Arial"/>
                <w:b/>
                <w:bCs/>
                <w:sz w:val="18"/>
                <w:szCs w:val="18"/>
                <w:u w:val="double"/>
              </w:rPr>
            </w:r>
          </w:p>
        </w:tc>
        <w:tc>
          <w:tcPr>
            <w:tcW w:w="1440" w:type="dxa"/>
            <w:tcBorders/>
            <w:vAlign w:val="bottom"/>
          </w:tcPr>
          <w:p>
            <w:pPr>
              <w:pStyle w:val="Normal"/>
              <w:snapToGrid w:val="false"/>
              <w:rPr>
                <w:rFonts w:ascii="Arial" w:hAnsi="Arial" w:eastAsia="Arial Unicode MS;Tahoma" w:cs="Arial"/>
                <w:b/>
                <w:bCs/>
                <w:sz w:val="18"/>
                <w:szCs w:val="18"/>
                <w:u w:val="double"/>
              </w:rPr>
            </w:pPr>
            <w:r>
              <w:rPr>
                <w:rFonts w:eastAsia="Arial Unicode MS;Tahoma" w:cs="Arial" w:ascii="Arial" w:hAnsi="Arial"/>
                <w:b/>
                <w:bCs/>
                <w:sz w:val="18"/>
                <w:szCs w:val="18"/>
                <w:u w:val="double"/>
              </w:rPr>
            </w:r>
          </w:p>
        </w:tc>
        <w:tc>
          <w:tcPr>
            <w:tcW w:w="720" w:type="dxa"/>
            <w:tcBorders/>
            <w:vAlign w:val="bottom"/>
          </w:tcPr>
          <w:p>
            <w:pPr>
              <w:pStyle w:val="Normal"/>
              <w:snapToGrid w:val="false"/>
              <w:rPr>
                <w:rFonts w:ascii="Arial" w:hAnsi="Arial" w:eastAsia="Arial Unicode MS;Tahoma" w:cs="Arial"/>
                <w:b/>
                <w:bCs/>
                <w:sz w:val="18"/>
                <w:szCs w:val="18"/>
                <w:u w:val="double"/>
              </w:rPr>
            </w:pPr>
            <w:r>
              <w:rPr>
                <w:rFonts w:eastAsia="Arial Unicode MS;Tahoma" w:cs="Arial" w:ascii="Arial" w:hAnsi="Arial"/>
                <w:b/>
                <w:bCs/>
                <w:sz w:val="18"/>
                <w:szCs w:val="18"/>
                <w:u w:val="double"/>
              </w:rPr>
            </w:r>
          </w:p>
        </w:tc>
        <w:tc>
          <w:tcPr>
            <w:tcW w:w="990" w:type="dxa"/>
            <w:tcBorders/>
            <w:vAlign w:val="bottom"/>
          </w:tcPr>
          <w:p>
            <w:pPr>
              <w:pStyle w:val="Normal"/>
              <w:snapToGrid w:val="false"/>
              <w:rPr>
                <w:rFonts w:ascii="Arial" w:hAnsi="Arial" w:eastAsia="Arial Unicode MS;Tahoma" w:cs="Arial"/>
                <w:b/>
                <w:bCs/>
                <w:sz w:val="18"/>
                <w:szCs w:val="18"/>
                <w:u w:val="double"/>
              </w:rPr>
            </w:pPr>
            <w:r>
              <w:rPr>
                <w:rFonts w:eastAsia="Arial Unicode MS;Tahoma" w:cs="Arial" w:ascii="Arial" w:hAnsi="Arial"/>
                <w:b/>
                <w:bCs/>
                <w:sz w:val="18"/>
                <w:szCs w:val="18"/>
                <w:u w:val="double"/>
              </w:rPr>
            </w:r>
          </w:p>
        </w:tc>
      </w:tr>
      <w:tr>
        <w:trPr>
          <w:trHeight w:val="255" w:hRule="atLeast"/>
        </w:trPr>
        <w:tc>
          <w:tcPr>
            <w:tcW w:w="520" w:type="dxa"/>
            <w:tcBorders/>
            <w:vAlign w:val="bottom"/>
          </w:tcPr>
          <w:p>
            <w:pPr>
              <w:pStyle w:val="Normal"/>
              <w:jc w:val="end"/>
              <w:rPr>
                <w:rFonts w:ascii="Arial" w:hAnsi="Arial" w:eastAsia="Arial Unicode MS;Tahoma" w:cs="Arial"/>
                <w:b/>
                <w:bCs/>
                <w:sz w:val="18"/>
                <w:szCs w:val="18"/>
              </w:rPr>
            </w:pPr>
            <w:r>
              <w:rPr>
                <w:rFonts w:cs="Arial" w:ascii="Arial" w:hAnsi="Arial"/>
                <w:b/>
                <w:bCs/>
                <w:sz w:val="18"/>
                <w:szCs w:val="18"/>
              </w:rPr>
              <w:t>5</w:t>
            </w:r>
          </w:p>
        </w:tc>
        <w:tc>
          <w:tcPr>
            <w:tcW w:w="44"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878" w:type="dxa"/>
            <w:tcBorders/>
            <w:vAlign w:val="bottom"/>
          </w:tcPr>
          <w:p>
            <w:pPr>
              <w:pStyle w:val="Normal"/>
              <w:rPr>
                <w:rFonts w:ascii="Arial" w:hAnsi="Arial" w:eastAsia="Arial Unicode MS;Tahoma" w:cs="Arial"/>
                <w:sz w:val="18"/>
                <w:szCs w:val="18"/>
              </w:rPr>
            </w:pPr>
            <w:r>
              <w:rPr>
                <w:rFonts w:cs="Arial" w:ascii="Arial" w:hAnsi="Arial"/>
                <w:sz w:val="18"/>
                <w:szCs w:val="18"/>
              </w:rPr>
              <w:t>Equistar</w:t>
            </w:r>
          </w:p>
        </w:tc>
        <w:tc>
          <w:tcPr>
            <w:tcW w:w="27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350" w:type="dxa"/>
            <w:tcBorders/>
            <w:vAlign w:val="bottom"/>
          </w:tcPr>
          <w:p>
            <w:pPr>
              <w:pStyle w:val="Normal"/>
              <w:rPr>
                <w:rFonts w:ascii="Arial" w:hAnsi="Arial" w:eastAsia="Arial Unicode MS;Tahoma" w:cs="Arial"/>
                <w:sz w:val="18"/>
                <w:szCs w:val="18"/>
              </w:rPr>
            </w:pPr>
            <w:r>
              <w:rPr>
                <w:rFonts w:eastAsia="Arial" w:cs="Arial" w:ascii="Arial" w:hAnsi="Arial"/>
                <w:sz w:val="18"/>
                <w:szCs w:val="18"/>
              </w:rPr>
              <w:t xml:space="preserve"> </w:t>
            </w:r>
            <w:r>
              <w:rPr>
                <w:rFonts w:cs="Arial" w:ascii="Arial" w:hAnsi="Arial"/>
                <w:sz w:val="18"/>
                <w:szCs w:val="18"/>
              </w:rPr>
              <w:t xml:space="preserve">20,000/day </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3510" w:type="dxa"/>
            <w:tcBorders/>
            <w:vAlign w:val="bottom"/>
          </w:tcPr>
          <w:p>
            <w:pPr>
              <w:pStyle w:val="Normal"/>
              <w:rPr>
                <w:rFonts w:ascii="Arial" w:hAnsi="Arial" w:eastAsia="Arial Unicode MS;Tahoma" w:cs="Arial"/>
                <w:sz w:val="18"/>
                <w:szCs w:val="18"/>
              </w:rPr>
            </w:pPr>
            <w:r>
              <w:rPr>
                <w:rFonts w:cs="Arial" w:ascii="Arial" w:hAnsi="Arial"/>
                <w:sz w:val="18"/>
                <w:szCs w:val="18"/>
              </w:rPr>
              <w:t>Either we sell @ 2.26 or we don't flow gas</w:t>
            </w:r>
          </w:p>
        </w:tc>
        <w:tc>
          <w:tcPr>
            <w:tcW w:w="180" w:type="dxa"/>
            <w:tcBorders/>
            <w:vAlign w:val="bottom"/>
          </w:tcPr>
          <w:p>
            <w:pPr>
              <w:pStyle w:val="Normal"/>
              <w:rPr>
                <w:rFonts w:ascii="Arial" w:hAnsi="Arial" w:eastAsia="Arial Unicode MS;Tahoma" w:cs="Arial"/>
                <w:b/>
                <w:bCs/>
                <w:sz w:val="18"/>
                <w:szCs w:val="18"/>
                <w:u w:val="double"/>
              </w:rPr>
            </w:pPr>
            <w:r>
              <w:rPr>
                <w:rFonts w:eastAsia="Arial" w:cs="Arial" w:ascii="Arial" w:hAnsi="Arial"/>
                <w:sz w:val="18"/>
                <w:szCs w:val="18"/>
              </w:rPr>
              <w:t xml:space="preserve"> </w:t>
            </w:r>
            <w:r>
              <w:rPr>
                <w:rFonts w:eastAsia="Arial Unicode MS;Tahoma" w:cs="Arial" w:ascii="Arial" w:hAnsi="Arial"/>
                <w:strike/>
                <w:sz w:val="18"/>
                <w:szCs w:val="18"/>
              </w:rPr>
              <w:t>Apr</w:t>
            </w:r>
            <w:r>
              <w:rPr>
                <w:rFonts w:eastAsia="Arial Unicode MS;Tahoma" w:cs="Arial" w:ascii="Arial" w:hAnsi="Arial"/>
                <w:sz w:val="18"/>
                <w:szCs w:val="18"/>
              </w:rPr>
              <w:t xml:space="preserve"> </w:t>
            </w:r>
          </w:p>
        </w:tc>
        <w:tc>
          <w:tcPr>
            <w:tcW w:w="630" w:type="dxa"/>
            <w:tcBorders/>
            <w:vAlign w:val="bottom"/>
          </w:tcPr>
          <w:p>
            <w:pPr>
              <w:pStyle w:val="Normal"/>
              <w:jc w:val="end"/>
              <w:rPr>
                <w:rFonts w:ascii="Arial" w:hAnsi="Arial" w:eastAsia="Arial Unicode MS;Tahoma" w:cs="Arial"/>
                <w:sz w:val="18"/>
                <w:szCs w:val="18"/>
              </w:rPr>
            </w:pPr>
            <w:r>
              <w:rPr>
                <w:rFonts w:cs="Arial" w:ascii="Arial" w:hAnsi="Arial"/>
                <w:b/>
                <w:bCs/>
                <w:sz w:val="18"/>
                <w:szCs w:val="18"/>
                <w:u w:val="double"/>
              </w:rPr>
              <w:t>Jun</w:t>
            </w:r>
            <w:r>
              <w:rPr>
                <w:rFonts w:cs="Arial" w:ascii="Arial" w:hAnsi="Arial"/>
                <w:sz w:val="18"/>
                <w:szCs w:val="18"/>
              </w:rPr>
              <w:t>-01</w:t>
            </w:r>
          </w:p>
        </w:tc>
        <w:tc>
          <w:tcPr>
            <w:tcW w:w="180" w:type="dxa"/>
            <w:tcBorders/>
            <w:vAlign w:val="bottom"/>
          </w:tcPr>
          <w:p>
            <w:pPr>
              <w:pStyle w:val="Normal"/>
              <w:snapToGrid w:val="false"/>
              <w:jc w:val="end"/>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jc w:val="end"/>
              <w:rPr>
                <w:rFonts w:ascii="Arial" w:hAnsi="Arial" w:eastAsia="Arial Unicode MS;Tahoma" w:cs="Arial"/>
                <w:sz w:val="18"/>
                <w:szCs w:val="18"/>
              </w:rPr>
            </w:pPr>
            <w:r>
              <w:rPr>
                <w:rFonts w:cs="Arial" w:ascii="Arial" w:hAnsi="Arial"/>
                <w:sz w:val="18"/>
                <w:szCs w:val="18"/>
              </w:rPr>
              <w:t>Mar-03</w:t>
            </w:r>
          </w:p>
        </w:tc>
        <w:tc>
          <w:tcPr>
            <w:tcW w:w="1080" w:type="dxa"/>
            <w:tcBorders/>
            <w:vAlign w:val="bottom"/>
          </w:tcPr>
          <w:p>
            <w:pPr>
              <w:pStyle w:val="Normal"/>
              <w:rPr>
                <w:rFonts w:ascii="Arial" w:hAnsi="Arial" w:eastAsia="Arial Unicode MS;Tahoma" w:cs="Arial"/>
                <w:sz w:val="18"/>
                <w:szCs w:val="18"/>
              </w:rPr>
            </w:pPr>
            <w:r>
              <w:rPr>
                <w:rFonts w:cs="Arial" w:ascii="Arial" w:hAnsi="Arial"/>
                <w:sz w:val="18"/>
                <w:szCs w:val="18"/>
              </w:rPr>
              <w:t>N96341.2</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260" w:type="dxa"/>
            <w:tcBorders/>
            <w:vAlign w:val="bottom"/>
          </w:tcPr>
          <w:p>
            <w:pPr>
              <w:pStyle w:val="Normal"/>
              <w:rPr>
                <w:rFonts w:ascii="Arial" w:hAnsi="Arial" w:eastAsia="Arial Unicode MS;Tahoma" w:cs="Arial"/>
                <w:sz w:val="18"/>
                <w:szCs w:val="18"/>
              </w:rPr>
            </w:pPr>
            <w:r>
              <w:rPr>
                <w:rFonts w:cs="Arial" w:ascii="Arial" w:hAnsi="Arial"/>
                <w:sz w:val="18"/>
                <w:szCs w:val="18"/>
              </w:rPr>
              <w:t>Sell</w:t>
            </w:r>
          </w:p>
        </w:tc>
        <w:tc>
          <w:tcPr>
            <w:tcW w:w="1440" w:type="dxa"/>
            <w:tcBorders/>
            <w:vAlign w:val="bottom"/>
          </w:tcPr>
          <w:p>
            <w:pPr>
              <w:pStyle w:val="Normal"/>
              <w:rPr>
                <w:rFonts w:ascii="Arial" w:hAnsi="Arial" w:eastAsia="Arial Unicode MS;Tahoma" w:cs="Arial"/>
                <w:sz w:val="18"/>
                <w:szCs w:val="18"/>
              </w:rPr>
            </w:pPr>
            <w:r>
              <w:rPr>
                <w:rFonts w:cs="Arial" w:ascii="Arial" w:hAnsi="Arial"/>
                <w:sz w:val="18"/>
                <w:szCs w:val="18"/>
              </w:rPr>
              <w:t>Buy</w:t>
            </w:r>
          </w:p>
        </w:tc>
        <w:tc>
          <w:tcPr>
            <w:tcW w:w="720" w:type="dxa"/>
            <w:tcBorders/>
            <w:vAlign w:val="bottom"/>
          </w:tcPr>
          <w:p>
            <w:pPr>
              <w:pStyle w:val="Normal"/>
              <w:rPr>
                <w:rFonts w:ascii="Arial" w:hAnsi="Arial" w:eastAsia="Arial Unicode MS;Tahoma" w:cs="Arial"/>
                <w:sz w:val="18"/>
                <w:szCs w:val="18"/>
              </w:rPr>
            </w:pPr>
            <w:r>
              <w:rPr>
                <w:rFonts w:cs="Arial" w:ascii="Arial" w:hAnsi="Arial"/>
                <w:sz w:val="18"/>
                <w:szCs w:val="18"/>
              </w:rPr>
              <w:t>Put</w:t>
            </w:r>
          </w:p>
        </w:tc>
        <w:tc>
          <w:tcPr>
            <w:tcW w:w="99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r>
      <w:tr>
        <w:trPr>
          <w:trHeight w:val="255" w:hRule="atLeast"/>
        </w:trPr>
        <w:tc>
          <w:tcPr>
            <w:tcW w:w="520" w:type="dxa"/>
            <w:tcBorders/>
            <w:vAlign w:val="bottom"/>
          </w:tcPr>
          <w:p>
            <w:pPr>
              <w:pStyle w:val="Normal"/>
              <w:jc w:val="end"/>
              <w:rPr>
                <w:rFonts w:ascii="Arial" w:hAnsi="Arial" w:eastAsia="Arial Unicode MS;Tahoma" w:cs="Arial"/>
                <w:b/>
                <w:bCs/>
                <w:sz w:val="18"/>
                <w:szCs w:val="18"/>
              </w:rPr>
            </w:pPr>
            <w:r>
              <w:rPr>
                <w:rFonts w:cs="Arial" w:ascii="Arial" w:hAnsi="Arial"/>
                <w:b/>
                <w:bCs/>
                <w:sz w:val="18"/>
                <w:szCs w:val="18"/>
              </w:rPr>
              <w:t>6</w:t>
            </w:r>
          </w:p>
        </w:tc>
        <w:tc>
          <w:tcPr>
            <w:tcW w:w="44"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878" w:type="dxa"/>
            <w:tcBorders/>
            <w:vAlign w:val="bottom"/>
          </w:tcPr>
          <w:p>
            <w:pPr>
              <w:pStyle w:val="Normal"/>
              <w:rPr>
                <w:rFonts w:ascii="Arial" w:hAnsi="Arial" w:eastAsia="Arial Unicode MS;Tahoma" w:cs="Arial"/>
                <w:sz w:val="18"/>
                <w:szCs w:val="18"/>
              </w:rPr>
            </w:pPr>
            <w:r>
              <w:rPr>
                <w:rFonts w:cs="Arial" w:ascii="Arial" w:hAnsi="Arial"/>
                <w:sz w:val="18"/>
                <w:szCs w:val="18"/>
              </w:rPr>
              <w:t>Equistar</w:t>
            </w:r>
          </w:p>
        </w:tc>
        <w:tc>
          <w:tcPr>
            <w:tcW w:w="27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350" w:type="dxa"/>
            <w:tcBorders/>
            <w:vAlign w:val="bottom"/>
          </w:tcPr>
          <w:p>
            <w:pPr>
              <w:pStyle w:val="Normal"/>
              <w:rPr>
                <w:rFonts w:ascii="Arial" w:hAnsi="Arial" w:eastAsia="Arial Unicode MS;Tahoma" w:cs="Arial"/>
                <w:sz w:val="18"/>
                <w:szCs w:val="18"/>
              </w:rPr>
            </w:pPr>
            <w:r>
              <w:rPr>
                <w:rFonts w:eastAsia="Arial" w:cs="Arial" w:ascii="Arial" w:hAnsi="Arial"/>
                <w:sz w:val="18"/>
                <w:szCs w:val="18"/>
              </w:rPr>
              <w:t xml:space="preserve"> </w:t>
            </w:r>
            <w:r>
              <w:rPr>
                <w:rFonts w:cs="Arial" w:ascii="Arial" w:hAnsi="Arial"/>
                <w:sz w:val="18"/>
                <w:szCs w:val="18"/>
              </w:rPr>
              <w:t xml:space="preserve">10,000/day </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3510" w:type="dxa"/>
            <w:tcBorders/>
            <w:vAlign w:val="bottom"/>
          </w:tcPr>
          <w:p>
            <w:pPr>
              <w:pStyle w:val="Normal"/>
              <w:rPr>
                <w:rFonts w:ascii="Arial" w:hAnsi="Arial" w:eastAsia="Arial Unicode MS;Tahoma" w:cs="Arial"/>
                <w:sz w:val="18"/>
                <w:szCs w:val="18"/>
              </w:rPr>
            </w:pPr>
            <w:r>
              <w:rPr>
                <w:rFonts w:cs="Arial" w:ascii="Arial" w:hAnsi="Arial"/>
                <w:sz w:val="18"/>
                <w:szCs w:val="18"/>
              </w:rPr>
              <w:t>Higher of HSC-.2 or 3.30</w:t>
            </w:r>
          </w:p>
        </w:tc>
        <w:tc>
          <w:tcPr>
            <w:tcW w:w="180" w:type="dxa"/>
            <w:tcBorders/>
            <w:vAlign w:val="bottom"/>
          </w:tcPr>
          <w:p>
            <w:pPr>
              <w:pStyle w:val="Normal"/>
              <w:rPr>
                <w:rFonts w:ascii="Arial" w:hAnsi="Arial" w:eastAsia="Arial Unicode MS;Tahoma" w:cs="Arial"/>
                <w:b/>
                <w:bCs/>
                <w:sz w:val="18"/>
                <w:szCs w:val="18"/>
                <w:u w:val="double"/>
              </w:rPr>
            </w:pPr>
            <w:r>
              <w:rPr>
                <w:rFonts w:eastAsia="Arial" w:cs="Arial" w:ascii="Arial" w:hAnsi="Arial"/>
                <w:sz w:val="18"/>
                <w:szCs w:val="18"/>
              </w:rPr>
              <w:t xml:space="preserve"> </w:t>
            </w:r>
            <w:r>
              <w:rPr>
                <w:rFonts w:eastAsia="Arial Unicode MS;Tahoma" w:cs="Arial" w:ascii="Arial" w:hAnsi="Arial"/>
                <w:strike/>
                <w:sz w:val="18"/>
                <w:szCs w:val="18"/>
              </w:rPr>
              <w:t>Apr</w:t>
            </w:r>
            <w:r>
              <w:rPr>
                <w:rFonts w:eastAsia="Arial Unicode MS;Tahoma" w:cs="Arial" w:ascii="Arial" w:hAnsi="Arial"/>
                <w:sz w:val="18"/>
                <w:szCs w:val="18"/>
              </w:rPr>
              <w:t xml:space="preserve"> </w:t>
            </w:r>
          </w:p>
        </w:tc>
        <w:tc>
          <w:tcPr>
            <w:tcW w:w="630" w:type="dxa"/>
            <w:tcBorders/>
            <w:vAlign w:val="bottom"/>
          </w:tcPr>
          <w:p>
            <w:pPr>
              <w:pStyle w:val="Normal"/>
              <w:jc w:val="end"/>
              <w:rPr>
                <w:rFonts w:ascii="Arial" w:hAnsi="Arial" w:eastAsia="Arial Unicode MS;Tahoma" w:cs="Arial"/>
                <w:sz w:val="18"/>
                <w:szCs w:val="18"/>
              </w:rPr>
            </w:pPr>
            <w:r>
              <w:rPr>
                <w:rFonts w:cs="Arial" w:ascii="Arial" w:hAnsi="Arial"/>
                <w:b/>
                <w:bCs/>
                <w:sz w:val="18"/>
                <w:szCs w:val="18"/>
                <w:u w:val="double"/>
              </w:rPr>
              <w:t>Jun</w:t>
            </w:r>
            <w:r>
              <w:rPr>
                <w:rFonts w:cs="Arial" w:ascii="Arial" w:hAnsi="Arial"/>
                <w:sz w:val="18"/>
                <w:szCs w:val="18"/>
              </w:rPr>
              <w:t>-01</w:t>
            </w:r>
          </w:p>
        </w:tc>
        <w:tc>
          <w:tcPr>
            <w:tcW w:w="180" w:type="dxa"/>
            <w:tcBorders/>
            <w:vAlign w:val="bottom"/>
          </w:tcPr>
          <w:p>
            <w:pPr>
              <w:pStyle w:val="Normal"/>
              <w:snapToGrid w:val="false"/>
              <w:jc w:val="end"/>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jc w:val="end"/>
              <w:rPr>
                <w:rFonts w:ascii="Arial" w:hAnsi="Arial" w:eastAsia="Arial Unicode MS;Tahoma" w:cs="Arial"/>
                <w:sz w:val="18"/>
                <w:szCs w:val="18"/>
              </w:rPr>
            </w:pPr>
            <w:r>
              <w:rPr>
                <w:rFonts w:cs="Arial" w:ascii="Arial" w:hAnsi="Arial"/>
                <w:sz w:val="18"/>
                <w:szCs w:val="18"/>
              </w:rPr>
              <w:t>Mar-02</w:t>
            </w:r>
          </w:p>
        </w:tc>
        <w:tc>
          <w:tcPr>
            <w:tcW w:w="1080" w:type="dxa"/>
            <w:tcBorders/>
            <w:vAlign w:val="bottom"/>
          </w:tcPr>
          <w:p>
            <w:pPr>
              <w:pStyle w:val="Normal"/>
              <w:rPr>
                <w:rFonts w:ascii="Arial" w:hAnsi="Arial" w:eastAsia="Arial Unicode MS;Tahoma" w:cs="Arial"/>
                <w:sz w:val="18"/>
                <w:szCs w:val="18"/>
              </w:rPr>
            </w:pPr>
            <w:r>
              <w:rPr>
                <w:rFonts w:cs="Arial" w:ascii="Arial" w:hAnsi="Arial"/>
                <w:sz w:val="18"/>
                <w:szCs w:val="18"/>
              </w:rPr>
              <w:t>Q52298.2</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260" w:type="dxa"/>
            <w:tcBorders/>
            <w:vAlign w:val="bottom"/>
          </w:tcPr>
          <w:p>
            <w:pPr>
              <w:pStyle w:val="Normal"/>
              <w:rPr>
                <w:rFonts w:ascii="Arial" w:hAnsi="Arial" w:eastAsia="Arial Unicode MS;Tahoma" w:cs="Arial"/>
                <w:sz w:val="18"/>
                <w:szCs w:val="18"/>
              </w:rPr>
            </w:pPr>
            <w:r>
              <w:rPr>
                <w:rFonts w:cs="Arial" w:ascii="Arial" w:hAnsi="Arial"/>
                <w:sz w:val="18"/>
                <w:szCs w:val="18"/>
              </w:rPr>
              <w:t>Sell</w:t>
            </w:r>
          </w:p>
        </w:tc>
        <w:tc>
          <w:tcPr>
            <w:tcW w:w="1440" w:type="dxa"/>
            <w:tcBorders/>
            <w:vAlign w:val="bottom"/>
          </w:tcPr>
          <w:p>
            <w:pPr>
              <w:pStyle w:val="Normal"/>
              <w:rPr>
                <w:rFonts w:ascii="Arial" w:hAnsi="Arial" w:eastAsia="Arial Unicode MS;Tahoma" w:cs="Arial"/>
                <w:sz w:val="18"/>
                <w:szCs w:val="18"/>
              </w:rPr>
            </w:pPr>
            <w:r>
              <w:rPr>
                <w:rFonts w:cs="Arial" w:ascii="Arial" w:hAnsi="Arial"/>
                <w:sz w:val="18"/>
                <w:szCs w:val="18"/>
              </w:rPr>
              <w:t>Buy</w:t>
            </w:r>
          </w:p>
        </w:tc>
        <w:tc>
          <w:tcPr>
            <w:tcW w:w="720" w:type="dxa"/>
            <w:tcBorders/>
            <w:vAlign w:val="bottom"/>
          </w:tcPr>
          <w:p>
            <w:pPr>
              <w:pStyle w:val="Normal"/>
              <w:rPr>
                <w:rFonts w:ascii="Arial" w:hAnsi="Arial" w:eastAsia="Arial Unicode MS;Tahoma" w:cs="Arial"/>
                <w:sz w:val="18"/>
                <w:szCs w:val="18"/>
              </w:rPr>
            </w:pPr>
            <w:r>
              <w:rPr>
                <w:rFonts w:cs="Arial" w:ascii="Arial" w:hAnsi="Arial"/>
                <w:sz w:val="18"/>
                <w:szCs w:val="18"/>
              </w:rPr>
              <w:t>Put</w:t>
            </w:r>
          </w:p>
        </w:tc>
        <w:tc>
          <w:tcPr>
            <w:tcW w:w="990" w:type="dxa"/>
            <w:tcBorders/>
            <w:vAlign w:val="bottom"/>
          </w:tcPr>
          <w:p>
            <w:pPr>
              <w:pStyle w:val="Normal"/>
              <w:rPr>
                <w:rFonts w:ascii="Arial" w:hAnsi="Arial" w:eastAsia="Arial Unicode MS;Tahoma" w:cs="Arial"/>
                <w:sz w:val="18"/>
                <w:szCs w:val="18"/>
              </w:rPr>
            </w:pPr>
            <w:r>
              <w:rPr>
                <w:rFonts w:cs="Arial" w:ascii="Arial" w:hAnsi="Arial"/>
                <w:sz w:val="18"/>
                <w:szCs w:val="18"/>
              </w:rPr>
              <w:t>Yes</w:t>
            </w:r>
          </w:p>
        </w:tc>
      </w:tr>
      <w:tr>
        <w:trPr>
          <w:trHeight w:val="255" w:hRule="atLeast"/>
        </w:trPr>
        <w:tc>
          <w:tcPr>
            <w:tcW w:w="520" w:type="dxa"/>
            <w:tcBorders/>
            <w:vAlign w:val="bottom"/>
          </w:tcPr>
          <w:p>
            <w:pPr>
              <w:pStyle w:val="Normal"/>
              <w:jc w:val="end"/>
              <w:rPr>
                <w:rFonts w:ascii="Arial" w:hAnsi="Arial" w:eastAsia="Arial Unicode MS;Tahoma" w:cs="Arial"/>
                <w:b/>
                <w:bCs/>
                <w:sz w:val="18"/>
                <w:szCs w:val="18"/>
              </w:rPr>
            </w:pPr>
            <w:r>
              <w:rPr>
                <w:rFonts w:cs="Arial" w:ascii="Arial" w:hAnsi="Arial"/>
                <w:b/>
                <w:bCs/>
                <w:sz w:val="18"/>
                <w:szCs w:val="18"/>
              </w:rPr>
              <w:t>7</w:t>
            </w:r>
          </w:p>
        </w:tc>
        <w:tc>
          <w:tcPr>
            <w:tcW w:w="44"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878" w:type="dxa"/>
            <w:tcBorders/>
            <w:vAlign w:val="bottom"/>
          </w:tcPr>
          <w:p>
            <w:pPr>
              <w:pStyle w:val="Normal"/>
              <w:rPr>
                <w:rFonts w:ascii="Arial" w:hAnsi="Arial" w:eastAsia="Arial Unicode MS;Tahoma" w:cs="Arial"/>
                <w:sz w:val="18"/>
                <w:szCs w:val="18"/>
              </w:rPr>
            </w:pPr>
            <w:r>
              <w:rPr>
                <w:rFonts w:cs="Arial" w:ascii="Arial" w:hAnsi="Arial"/>
                <w:sz w:val="18"/>
                <w:szCs w:val="18"/>
              </w:rPr>
              <w:t>Equistar</w:t>
            </w:r>
          </w:p>
        </w:tc>
        <w:tc>
          <w:tcPr>
            <w:tcW w:w="27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350" w:type="dxa"/>
            <w:tcBorders/>
            <w:vAlign w:val="bottom"/>
          </w:tcPr>
          <w:p>
            <w:pPr>
              <w:pStyle w:val="Normal"/>
              <w:rPr>
                <w:rFonts w:ascii="Arial" w:hAnsi="Arial" w:eastAsia="Arial Unicode MS;Tahoma" w:cs="Arial"/>
                <w:sz w:val="18"/>
                <w:szCs w:val="18"/>
              </w:rPr>
            </w:pPr>
            <w:r>
              <w:rPr>
                <w:rFonts w:eastAsia="Arial" w:cs="Arial" w:ascii="Arial" w:hAnsi="Arial"/>
                <w:sz w:val="18"/>
                <w:szCs w:val="18"/>
              </w:rPr>
              <w:t xml:space="preserve"> </w:t>
            </w:r>
            <w:r>
              <w:rPr>
                <w:rFonts w:cs="Arial" w:ascii="Arial" w:hAnsi="Arial"/>
                <w:sz w:val="18"/>
                <w:szCs w:val="18"/>
              </w:rPr>
              <w:t xml:space="preserve">5,000/day </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3510" w:type="dxa"/>
            <w:tcBorders/>
            <w:vAlign w:val="bottom"/>
          </w:tcPr>
          <w:p>
            <w:pPr>
              <w:pStyle w:val="Normal"/>
              <w:rPr>
                <w:rFonts w:ascii="Arial" w:hAnsi="Arial" w:eastAsia="Arial Unicode MS;Tahoma" w:cs="Arial"/>
                <w:sz w:val="18"/>
                <w:szCs w:val="18"/>
              </w:rPr>
            </w:pPr>
            <w:r>
              <w:rPr>
                <w:rFonts w:cs="Arial" w:ascii="Arial" w:hAnsi="Arial"/>
                <w:sz w:val="18"/>
                <w:szCs w:val="18"/>
              </w:rPr>
              <w:t>Higher of HSC-.1 or 2.86</w:t>
            </w:r>
          </w:p>
        </w:tc>
        <w:tc>
          <w:tcPr>
            <w:tcW w:w="180" w:type="dxa"/>
            <w:tcBorders/>
            <w:vAlign w:val="bottom"/>
          </w:tcPr>
          <w:p>
            <w:pPr>
              <w:pStyle w:val="Normal"/>
              <w:rPr>
                <w:rFonts w:ascii="Arial" w:hAnsi="Arial" w:eastAsia="Arial Unicode MS;Tahoma" w:cs="Arial"/>
                <w:b/>
                <w:bCs/>
                <w:sz w:val="18"/>
                <w:szCs w:val="18"/>
                <w:u w:val="double"/>
              </w:rPr>
            </w:pPr>
            <w:r>
              <w:rPr>
                <w:rFonts w:eastAsia="Arial" w:cs="Arial" w:ascii="Arial" w:hAnsi="Arial"/>
                <w:sz w:val="18"/>
                <w:szCs w:val="18"/>
              </w:rPr>
              <w:t xml:space="preserve"> </w:t>
            </w:r>
            <w:r>
              <w:rPr>
                <w:rFonts w:eastAsia="Arial Unicode MS;Tahoma" w:cs="Arial" w:ascii="Arial" w:hAnsi="Arial"/>
                <w:strike/>
                <w:sz w:val="18"/>
                <w:szCs w:val="18"/>
              </w:rPr>
              <w:t>Apr</w:t>
            </w:r>
            <w:r>
              <w:rPr>
                <w:rFonts w:eastAsia="Arial Unicode MS;Tahoma" w:cs="Arial" w:ascii="Arial" w:hAnsi="Arial"/>
                <w:sz w:val="18"/>
                <w:szCs w:val="18"/>
              </w:rPr>
              <w:t xml:space="preserve"> </w:t>
            </w:r>
          </w:p>
        </w:tc>
        <w:tc>
          <w:tcPr>
            <w:tcW w:w="630" w:type="dxa"/>
            <w:tcBorders/>
            <w:vAlign w:val="bottom"/>
          </w:tcPr>
          <w:p>
            <w:pPr>
              <w:pStyle w:val="Normal"/>
              <w:jc w:val="end"/>
              <w:rPr>
                <w:rFonts w:ascii="Arial" w:hAnsi="Arial" w:eastAsia="Arial Unicode MS;Tahoma" w:cs="Arial"/>
                <w:sz w:val="18"/>
                <w:szCs w:val="18"/>
              </w:rPr>
            </w:pPr>
            <w:r>
              <w:rPr>
                <w:rFonts w:cs="Arial" w:ascii="Arial" w:hAnsi="Arial"/>
                <w:b/>
                <w:bCs/>
                <w:sz w:val="18"/>
                <w:szCs w:val="18"/>
                <w:u w:val="double"/>
              </w:rPr>
              <w:t>Jun</w:t>
            </w:r>
            <w:r>
              <w:rPr>
                <w:rFonts w:cs="Arial" w:ascii="Arial" w:hAnsi="Arial"/>
                <w:sz w:val="18"/>
                <w:szCs w:val="18"/>
              </w:rPr>
              <w:t>-01</w:t>
            </w:r>
          </w:p>
        </w:tc>
        <w:tc>
          <w:tcPr>
            <w:tcW w:w="180" w:type="dxa"/>
            <w:tcBorders/>
            <w:vAlign w:val="bottom"/>
          </w:tcPr>
          <w:p>
            <w:pPr>
              <w:pStyle w:val="Normal"/>
              <w:snapToGrid w:val="false"/>
              <w:jc w:val="end"/>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jc w:val="end"/>
              <w:rPr>
                <w:rFonts w:ascii="Arial" w:hAnsi="Arial" w:eastAsia="Arial Unicode MS;Tahoma" w:cs="Arial"/>
                <w:sz w:val="18"/>
                <w:szCs w:val="18"/>
              </w:rPr>
            </w:pPr>
            <w:r>
              <w:rPr>
                <w:rFonts w:cs="Arial" w:ascii="Arial" w:hAnsi="Arial"/>
                <w:sz w:val="18"/>
                <w:szCs w:val="18"/>
              </w:rPr>
              <w:t>Mar-02</w:t>
            </w:r>
          </w:p>
        </w:tc>
        <w:tc>
          <w:tcPr>
            <w:tcW w:w="1080" w:type="dxa"/>
            <w:tcBorders/>
            <w:vAlign w:val="bottom"/>
          </w:tcPr>
          <w:p>
            <w:pPr>
              <w:pStyle w:val="Normal"/>
              <w:rPr>
                <w:rFonts w:ascii="Arial" w:hAnsi="Arial" w:eastAsia="Arial Unicode MS;Tahoma" w:cs="Arial"/>
                <w:sz w:val="18"/>
                <w:szCs w:val="18"/>
              </w:rPr>
            </w:pPr>
            <w:r>
              <w:rPr>
                <w:rFonts w:cs="Arial" w:ascii="Arial" w:hAnsi="Arial"/>
                <w:sz w:val="18"/>
                <w:szCs w:val="18"/>
              </w:rPr>
              <w:t>Q59686.2</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260" w:type="dxa"/>
            <w:tcBorders/>
            <w:vAlign w:val="bottom"/>
          </w:tcPr>
          <w:p>
            <w:pPr>
              <w:pStyle w:val="Normal"/>
              <w:rPr>
                <w:rFonts w:ascii="Arial" w:hAnsi="Arial" w:eastAsia="Arial Unicode MS;Tahoma" w:cs="Arial"/>
                <w:sz w:val="18"/>
                <w:szCs w:val="18"/>
              </w:rPr>
            </w:pPr>
            <w:r>
              <w:rPr>
                <w:rFonts w:cs="Arial" w:ascii="Arial" w:hAnsi="Arial"/>
                <w:sz w:val="18"/>
                <w:szCs w:val="18"/>
              </w:rPr>
              <w:t>Sell</w:t>
            </w:r>
          </w:p>
        </w:tc>
        <w:tc>
          <w:tcPr>
            <w:tcW w:w="1440" w:type="dxa"/>
            <w:tcBorders/>
            <w:vAlign w:val="bottom"/>
          </w:tcPr>
          <w:p>
            <w:pPr>
              <w:pStyle w:val="Normal"/>
              <w:rPr>
                <w:rFonts w:ascii="Arial" w:hAnsi="Arial" w:eastAsia="Arial Unicode MS;Tahoma" w:cs="Arial"/>
                <w:sz w:val="18"/>
                <w:szCs w:val="18"/>
              </w:rPr>
            </w:pPr>
            <w:r>
              <w:rPr>
                <w:rFonts w:cs="Arial" w:ascii="Arial" w:hAnsi="Arial"/>
                <w:sz w:val="18"/>
                <w:szCs w:val="18"/>
              </w:rPr>
              <w:t>Buy</w:t>
            </w:r>
          </w:p>
        </w:tc>
        <w:tc>
          <w:tcPr>
            <w:tcW w:w="720" w:type="dxa"/>
            <w:tcBorders/>
            <w:vAlign w:val="bottom"/>
          </w:tcPr>
          <w:p>
            <w:pPr>
              <w:pStyle w:val="Normal"/>
              <w:rPr>
                <w:rFonts w:ascii="Arial" w:hAnsi="Arial" w:eastAsia="Arial Unicode MS;Tahoma" w:cs="Arial"/>
                <w:sz w:val="18"/>
                <w:szCs w:val="18"/>
              </w:rPr>
            </w:pPr>
            <w:r>
              <w:rPr>
                <w:rFonts w:cs="Arial" w:ascii="Arial" w:hAnsi="Arial"/>
                <w:sz w:val="18"/>
                <w:szCs w:val="18"/>
              </w:rPr>
              <w:t>Put</w:t>
            </w:r>
          </w:p>
        </w:tc>
        <w:tc>
          <w:tcPr>
            <w:tcW w:w="990" w:type="dxa"/>
            <w:tcBorders/>
            <w:vAlign w:val="bottom"/>
          </w:tcPr>
          <w:p>
            <w:pPr>
              <w:pStyle w:val="Normal"/>
              <w:rPr>
                <w:rFonts w:ascii="Arial" w:hAnsi="Arial" w:eastAsia="Arial Unicode MS;Tahoma" w:cs="Arial"/>
                <w:sz w:val="18"/>
                <w:szCs w:val="18"/>
              </w:rPr>
            </w:pPr>
            <w:r>
              <w:rPr>
                <w:rFonts w:cs="Arial" w:ascii="Arial" w:hAnsi="Arial"/>
                <w:sz w:val="18"/>
                <w:szCs w:val="18"/>
              </w:rPr>
              <w:t>Yes</w:t>
            </w:r>
          </w:p>
        </w:tc>
      </w:tr>
      <w:tr>
        <w:trPr>
          <w:trHeight w:val="255" w:hRule="atLeast"/>
        </w:trPr>
        <w:tc>
          <w:tcPr>
            <w:tcW w:w="520" w:type="dxa"/>
            <w:tcBorders/>
            <w:vAlign w:val="bottom"/>
          </w:tcPr>
          <w:p>
            <w:pPr>
              <w:pStyle w:val="Normal"/>
              <w:jc w:val="end"/>
              <w:rPr>
                <w:rFonts w:ascii="Arial" w:hAnsi="Arial" w:eastAsia="Arial Unicode MS;Tahoma" w:cs="Arial"/>
                <w:b/>
                <w:bCs/>
                <w:sz w:val="18"/>
                <w:szCs w:val="18"/>
              </w:rPr>
            </w:pPr>
            <w:r>
              <w:rPr>
                <w:rFonts w:cs="Arial" w:ascii="Arial" w:hAnsi="Arial"/>
                <w:b/>
                <w:bCs/>
                <w:sz w:val="18"/>
                <w:szCs w:val="18"/>
              </w:rPr>
              <w:t>9</w:t>
            </w:r>
          </w:p>
        </w:tc>
        <w:tc>
          <w:tcPr>
            <w:tcW w:w="44"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878" w:type="dxa"/>
            <w:tcBorders/>
            <w:vAlign w:val="bottom"/>
          </w:tcPr>
          <w:p>
            <w:pPr>
              <w:pStyle w:val="Normal"/>
              <w:rPr>
                <w:rFonts w:ascii="Arial" w:hAnsi="Arial" w:eastAsia="Arial Unicode MS;Tahoma" w:cs="Arial"/>
                <w:sz w:val="18"/>
                <w:szCs w:val="18"/>
              </w:rPr>
            </w:pPr>
            <w:r>
              <w:rPr>
                <w:rFonts w:cs="Arial" w:ascii="Arial" w:hAnsi="Arial"/>
                <w:sz w:val="18"/>
                <w:szCs w:val="18"/>
              </w:rPr>
              <w:t>Equistar</w:t>
            </w:r>
          </w:p>
        </w:tc>
        <w:tc>
          <w:tcPr>
            <w:tcW w:w="27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350" w:type="dxa"/>
            <w:tcBorders/>
            <w:vAlign w:val="bottom"/>
          </w:tcPr>
          <w:p>
            <w:pPr>
              <w:pStyle w:val="Normal"/>
              <w:rPr>
                <w:rFonts w:ascii="Arial" w:hAnsi="Arial" w:eastAsia="Arial Unicode MS;Tahoma" w:cs="Arial"/>
                <w:sz w:val="18"/>
                <w:szCs w:val="18"/>
              </w:rPr>
            </w:pPr>
            <w:r>
              <w:rPr>
                <w:rFonts w:eastAsia="Arial" w:cs="Arial" w:ascii="Arial" w:hAnsi="Arial"/>
                <w:sz w:val="18"/>
                <w:szCs w:val="18"/>
              </w:rPr>
              <w:t xml:space="preserve"> </w:t>
            </w:r>
            <w:r>
              <w:rPr>
                <w:rFonts w:cs="Arial" w:ascii="Arial" w:hAnsi="Arial"/>
                <w:sz w:val="18"/>
                <w:szCs w:val="18"/>
              </w:rPr>
              <w:t xml:space="preserve">10,000/day </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3510" w:type="dxa"/>
            <w:tcBorders/>
            <w:vAlign w:val="bottom"/>
          </w:tcPr>
          <w:p>
            <w:pPr>
              <w:pStyle w:val="Normal"/>
              <w:rPr>
                <w:rFonts w:ascii="Arial" w:hAnsi="Arial" w:eastAsia="Arial Unicode MS;Tahoma" w:cs="Arial"/>
                <w:sz w:val="18"/>
                <w:szCs w:val="18"/>
              </w:rPr>
            </w:pPr>
            <w:r>
              <w:rPr>
                <w:rFonts w:cs="Arial" w:ascii="Arial" w:hAnsi="Arial"/>
                <w:sz w:val="18"/>
                <w:szCs w:val="18"/>
              </w:rPr>
              <w:t>Either we sell @ 2.18 or we don't flow gas</w:t>
            </w:r>
          </w:p>
        </w:tc>
        <w:tc>
          <w:tcPr>
            <w:tcW w:w="180" w:type="dxa"/>
            <w:tcBorders/>
            <w:vAlign w:val="bottom"/>
          </w:tcPr>
          <w:p>
            <w:pPr>
              <w:pStyle w:val="Normal"/>
              <w:rPr>
                <w:rFonts w:ascii="Arial" w:hAnsi="Arial" w:eastAsia="Arial Unicode MS;Tahoma" w:cs="Arial"/>
                <w:b/>
                <w:bCs/>
                <w:sz w:val="18"/>
                <w:szCs w:val="18"/>
                <w:u w:val="double"/>
              </w:rPr>
            </w:pPr>
            <w:r>
              <w:rPr>
                <w:rFonts w:eastAsia="Arial" w:cs="Arial" w:ascii="Arial" w:hAnsi="Arial"/>
                <w:sz w:val="18"/>
                <w:szCs w:val="18"/>
              </w:rPr>
              <w:t xml:space="preserve"> </w:t>
            </w:r>
            <w:r>
              <w:rPr>
                <w:rFonts w:eastAsia="Arial Unicode MS;Tahoma" w:cs="Arial" w:ascii="Arial" w:hAnsi="Arial"/>
                <w:strike/>
                <w:sz w:val="18"/>
                <w:szCs w:val="18"/>
              </w:rPr>
              <w:t>Apr</w:t>
            </w:r>
            <w:r>
              <w:rPr>
                <w:rFonts w:eastAsia="Arial Unicode MS;Tahoma" w:cs="Arial" w:ascii="Arial" w:hAnsi="Arial"/>
                <w:sz w:val="18"/>
                <w:szCs w:val="18"/>
              </w:rPr>
              <w:t xml:space="preserve"> </w:t>
            </w:r>
          </w:p>
        </w:tc>
        <w:tc>
          <w:tcPr>
            <w:tcW w:w="630" w:type="dxa"/>
            <w:tcBorders/>
            <w:vAlign w:val="bottom"/>
          </w:tcPr>
          <w:p>
            <w:pPr>
              <w:pStyle w:val="Normal"/>
              <w:jc w:val="end"/>
              <w:rPr>
                <w:rFonts w:ascii="Arial" w:hAnsi="Arial" w:eastAsia="Arial Unicode MS;Tahoma" w:cs="Arial"/>
                <w:sz w:val="18"/>
                <w:szCs w:val="18"/>
              </w:rPr>
            </w:pPr>
            <w:r>
              <w:rPr>
                <w:rFonts w:cs="Arial" w:ascii="Arial" w:hAnsi="Arial"/>
                <w:b/>
                <w:bCs/>
                <w:sz w:val="18"/>
                <w:szCs w:val="18"/>
                <w:u w:val="double"/>
              </w:rPr>
              <w:t>Nov</w:t>
            </w:r>
            <w:r>
              <w:rPr>
                <w:rFonts w:cs="Arial" w:ascii="Arial" w:hAnsi="Arial"/>
                <w:sz w:val="18"/>
                <w:szCs w:val="18"/>
              </w:rPr>
              <w:t>-01</w:t>
            </w:r>
          </w:p>
        </w:tc>
        <w:tc>
          <w:tcPr>
            <w:tcW w:w="180" w:type="dxa"/>
            <w:tcBorders/>
            <w:vAlign w:val="bottom"/>
          </w:tcPr>
          <w:p>
            <w:pPr>
              <w:pStyle w:val="Normal"/>
              <w:snapToGrid w:val="false"/>
              <w:jc w:val="end"/>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jc w:val="end"/>
              <w:rPr>
                <w:rFonts w:ascii="Arial" w:hAnsi="Arial" w:eastAsia="Arial Unicode MS;Tahoma" w:cs="Arial"/>
                <w:sz w:val="18"/>
                <w:szCs w:val="18"/>
              </w:rPr>
            </w:pPr>
            <w:r>
              <w:rPr>
                <w:rFonts w:eastAsia="Arial" w:cs="Arial" w:ascii="Arial" w:hAnsi="Arial"/>
                <w:sz w:val="18"/>
                <w:szCs w:val="18"/>
              </w:rPr>
              <w:t xml:space="preserve"> </w:t>
            </w:r>
            <w:r>
              <w:rPr>
                <w:rFonts w:cs="Arial" w:ascii="Arial" w:hAnsi="Arial"/>
                <w:strike/>
                <w:sz w:val="18"/>
                <w:szCs w:val="18"/>
              </w:rPr>
              <w:t>Feb</w:t>
            </w:r>
            <w:r>
              <w:rPr>
                <w:rFonts w:cs="Arial" w:ascii="Arial" w:hAnsi="Arial"/>
                <w:sz w:val="18"/>
                <w:szCs w:val="18"/>
              </w:rPr>
              <w:t xml:space="preserve"> </w:t>
            </w:r>
            <w:r>
              <w:rPr>
                <w:rFonts w:cs="Arial" w:ascii="Arial" w:hAnsi="Arial"/>
                <w:b/>
                <w:bCs/>
                <w:sz w:val="18"/>
                <w:szCs w:val="18"/>
                <w:u w:val="double"/>
              </w:rPr>
              <w:t>Mar</w:t>
            </w:r>
            <w:r>
              <w:rPr>
                <w:rFonts w:cs="Arial" w:ascii="Arial" w:hAnsi="Arial"/>
                <w:sz w:val="18"/>
                <w:szCs w:val="18"/>
              </w:rPr>
              <w:t>-02</w:t>
            </w:r>
          </w:p>
        </w:tc>
        <w:tc>
          <w:tcPr>
            <w:tcW w:w="1080" w:type="dxa"/>
            <w:tcBorders/>
            <w:vAlign w:val="bottom"/>
          </w:tcPr>
          <w:p>
            <w:pPr>
              <w:pStyle w:val="Normal"/>
              <w:rPr>
                <w:rFonts w:ascii="Arial" w:hAnsi="Arial" w:eastAsia="Arial Unicode MS;Tahoma" w:cs="Arial"/>
                <w:sz w:val="18"/>
                <w:szCs w:val="18"/>
              </w:rPr>
            </w:pPr>
            <w:r>
              <w:rPr>
                <w:rFonts w:cs="Arial" w:ascii="Arial" w:hAnsi="Arial"/>
                <w:sz w:val="18"/>
                <w:szCs w:val="18"/>
              </w:rPr>
              <w:t>N13059.4</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260" w:type="dxa"/>
            <w:tcBorders/>
            <w:vAlign w:val="bottom"/>
          </w:tcPr>
          <w:p>
            <w:pPr>
              <w:pStyle w:val="Normal"/>
              <w:rPr>
                <w:rFonts w:ascii="Arial" w:hAnsi="Arial" w:eastAsia="Arial Unicode MS;Tahoma" w:cs="Arial"/>
                <w:sz w:val="18"/>
                <w:szCs w:val="18"/>
              </w:rPr>
            </w:pPr>
            <w:r>
              <w:rPr>
                <w:rFonts w:cs="Arial" w:ascii="Arial" w:hAnsi="Arial"/>
                <w:sz w:val="18"/>
                <w:szCs w:val="18"/>
              </w:rPr>
              <w:t>Sell</w:t>
            </w:r>
          </w:p>
        </w:tc>
        <w:tc>
          <w:tcPr>
            <w:tcW w:w="1440" w:type="dxa"/>
            <w:tcBorders/>
            <w:vAlign w:val="bottom"/>
          </w:tcPr>
          <w:p>
            <w:pPr>
              <w:pStyle w:val="Normal"/>
              <w:rPr>
                <w:rFonts w:ascii="Arial" w:hAnsi="Arial" w:eastAsia="Arial Unicode MS;Tahoma" w:cs="Arial"/>
                <w:sz w:val="18"/>
                <w:szCs w:val="18"/>
              </w:rPr>
            </w:pPr>
            <w:r>
              <w:rPr>
                <w:rFonts w:cs="Arial" w:ascii="Arial" w:hAnsi="Arial"/>
                <w:sz w:val="18"/>
                <w:szCs w:val="18"/>
              </w:rPr>
              <w:t>Buy</w:t>
            </w:r>
          </w:p>
        </w:tc>
        <w:tc>
          <w:tcPr>
            <w:tcW w:w="720" w:type="dxa"/>
            <w:tcBorders/>
            <w:vAlign w:val="bottom"/>
          </w:tcPr>
          <w:p>
            <w:pPr>
              <w:pStyle w:val="Normal"/>
              <w:rPr>
                <w:rFonts w:ascii="Arial" w:hAnsi="Arial" w:eastAsia="Arial Unicode MS;Tahoma" w:cs="Arial"/>
                <w:sz w:val="18"/>
                <w:szCs w:val="18"/>
              </w:rPr>
            </w:pPr>
            <w:r>
              <w:rPr>
                <w:rFonts w:cs="Arial" w:ascii="Arial" w:hAnsi="Arial"/>
                <w:sz w:val="18"/>
                <w:szCs w:val="18"/>
              </w:rPr>
              <w:t>Put</w:t>
            </w:r>
          </w:p>
        </w:tc>
        <w:tc>
          <w:tcPr>
            <w:tcW w:w="99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r>
      <w:tr>
        <w:trPr>
          <w:trHeight w:val="255" w:hRule="atLeast"/>
        </w:trPr>
        <w:tc>
          <w:tcPr>
            <w:tcW w:w="520"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44"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878"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27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35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351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63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0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26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44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990" w:type="dxa"/>
            <w:tcBorders/>
            <w:vAlign w:val="bottom"/>
          </w:tcPr>
          <w:p>
            <w:pPr>
              <w:pStyle w:val="Normal"/>
              <w:snapToGrid w:val="false"/>
              <w:rPr>
                <w:rFonts w:ascii="Arial" w:hAnsi="Arial" w:eastAsia="Arial Unicode MS;Tahoma" w:cs="Arial"/>
                <w:b/>
                <w:bCs/>
                <w:sz w:val="18"/>
                <w:szCs w:val="18"/>
                <w:u w:val="double"/>
              </w:rPr>
            </w:pPr>
            <w:r>
              <w:rPr>
                <w:rFonts w:eastAsia="Arial Unicode MS;Tahoma" w:cs="Arial" w:ascii="Arial" w:hAnsi="Arial"/>
                <w:b/>
                <w:bCs/>
                <w:sz w:val="18"/>
                <w:szCs w:val="18"/>
                <w:u w:val="double"/>
              </w:rPr>
            </w:r>
          </w:p>
        </w:tc>
      </w:tr>
      <w:tr>
        <w:trPr>
          <w:trHeight w:val="255" w:hRule="atLeast"/>
        </w:trPr>
        <w:tc>
          <w:tcPr>
            <w:tcW w:w="520" w:type="dxa"/>
            <w:tcBorders/>
            <w:vAlign w:val="bottom"/>
          </w:tcPr>
          <w:p>
            <w:pPr>
              <w:pStyle w:val="Normal"/>
              <w:jc w:val="end"/>
              <w:rPr>
                <w:rFonts w:ascii="Arial" w:hAnsi="Arial" w:eastAsia="Arial Unicode MS;Tahoma" w:cs="Arial"/>
                <w:b/>
                <w:bCs/>
                <w:sz w:val="18"/>
                <w:szCs w:val="18"/>
              </w:rPr>
            </w:pPr>
            <w:r>
              <w:rPr>
                <w:rFonts w:cs="Arial" w:ascii="Arial" w:hAnsi="Arial"/>
                <w:b/>
                <w:bCs/>
                <w:sz w:val="18"/>
                <w:szCs w:val="18"/>
              </w:rPr>
              <w:t>10</w:t>
            </w:r>
          </w:p>
        </w:tc>
        <w:tc>
          <w:tcPr>
            <w:tcW w:w="44"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878" w:type="dxa"/>
            <w:tcBorders/>
            <w:vAlign w:val="bottom"/>
          </w:tcPr>
          <w:p>
            <w:pPr>
              <w:pStyle w:val="Normal"/>
              <w:rPr>
                <w:rFonts w:ascii="Arial" w:hAnsi="Arial" w:eastAsia="Arial Unicode MS;Tahoma" w:cs="Arial"/>
                <w:sz w:val="18"/>
                <w:szCs w:val="18"/>
              </w:rPr>
            </w:pPr>
            <w:r>
              <w:rPr>
                <w:rFonts w:cs="Arial" w:ascii="Arial" w:hAnsi="Arial"/>
                <w:sz w:val="18"/>
                <w:szCs w:val="18"/>
              </w:rPr>
              <w:t>JER/BREAUSTEC</w:t>
            </w:r>
          </w:p>
        </w:tc>
        <w:tc>
          <w:tcPr>
            <w:tcW w:w="27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350" w:type="dxa"/>
            <w:tcBorders/>
            <w:vAlign w:val="bottom"/>
          </w:tcPr>
          <w:p>
            <w:pPr>
              <w:pStyle w:val="Normal"/>
              <w:rPr>
                <w:rFonts w:ascii="Arial" w:hAnsi="Arial" w:eastAsia="Arial Unicode MS;Tahoma" w:cs="Arial"/>
                <w:sz w:val="18"/>
                <w:szCs w:val="18"/>
              </w:rPr>
            </w:pPr>
            <w:r>
              <w:rPr>
                <w:rFonts w:eastAsia="Arial" w:cs="Arial" w:ascii="Arial" w:hAnsi="Arial"/>
                <w:sz w:val="18"/>
                <w:szCs w:val="18"/>
              </w:rPr>
              <w:t xml:space="preserve"> </w:t>
            </w:r>
            <w:r>
              <w:rPr>
                <w:rFonts w:cs="Arial" w:ascii="Arial" w:hAnsi="Arial"/>
                <w:sz w:val="18"/>
                <w:szCs w:val="18"/>
              </w:rPr>
              <w:t xml:space="preserve">1,000/day </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3510" w:type="dxa"/>
            <w:tcBorders/>
            <w:vAlign w:val="bottom"/>
          </w:tcPr>
          <w:p>
            <w:pPr>
              <w:pStyle w:val="Normal"/>
              <w:rPr>
                <w:rFonts w:ascii="Arial" w:hAnsi="Arial" w:eastAsia="Arial Unicode MS;Tahoma" w:cs="Arial"/>
                <w:sz w:val="18"/>
                <w:szCs w:val="18"/>
              </w:rPr>
            </w:pPr>
            <w:r>
              <w:rPr>
                <w:rFonts w:cs="Arial" w:ascii="Arial" w:hAnsi="Arial"/>
                <w:sz w:val="18"/>
                <w:szCs w:val="18"/>
              </w:rPr>
              <w:t xml:space="preserve">greater of IF-HSC + $0.045 or $3.50.  </w:t>
            </w:r>
          </w:p>
        </w:tc>
        <w:tc>
          <w:tcPr>
            <w:tcW w:w="180" w:type="dxa"/>
            <w:tcBorders/>
            <w:vAlign w:val="bottom"/>
          </w:tcPr>
          <w:p>
            <w:pPr>
              <w:pStyle w:val="Normal"/>
              <w:rPr>
                <w:rFonts w:ascii="Arial" w:hAnsi="Arial" w:eastAsia="Arial Unicode MS;Tahoma" w:cs="Arial"/>
                <w:b/>
                <w:bCs/>
                <w:sz w:val="18"/>
                <w:szCs w:val="18"/>
                <w:u w:val="double"/>
              </w:rPr>
            </w:pPr>
            <w:r>
              <w:rPr>
                <w:rFonts w:eastAsia="Arial" w:cs="Arial" w:ascii="Arial" w:hAnsi="Arial"/>
                <w:sz w:val="18"/>
                <w:szCs w:val="18"/>
              </w:rPr>
              <w:t xml:space="preserve"> </w:t>
            </w:r>
            <w:r>
              <w:rPr>
                <w:rFonts w:eastAsia="Arial Unicode MS;Tahoma" w:cs="Arial" w:ascii="Arial" w:hAnsi="Arial"/>
                <w:strike/>
                <w:sz w:val="18"/>
                <w:szCs w:val="18"/>
              </w:rPr>
              <w:t>Apr</w:t>
            </w:r>
            <w:r>
              <w:rPr>
                <w:rFonts w:eastAsia="Arial Unicode MS;Tahoma" w:cs="Arial" w:ascii="Arial" w:hAnsi="Arial"/>
                <w:sz w:val="18"/>
                <w:szCs w:val="18"/>
              </w:rPr>
              <w:t xml:space="preserve"> </w:t>
            </w:r>
          </w:p>
        </w:tc>
        <w:tc>
          <w:tcPr>
            <w:tcW w:w="630" w:type="dxa"/>
            <w:tcBorders/>
            <w:vAlign w:val="bottom"/>
          </w:tcPr>
          <w:p>
            <w:pPr>
              <w:pStyle w:val="Normal"/>
              <w:jc w:val="end"/>
              <w:rPr>
                <w:rFonts w:ascii="Arial" w:hAnsi="Arial" w:eastAsia="Arial Unicode MS;Tahoma" w:cs="Arial"/>
                <w:sz w:val="18"/>
                <w:szCs w:val="18"/>
              </w:rPr>
            </w:pPr>
            <w:r>
              <w:rPr>
                <w:rFonts w:cs="Arial" w:ascii="Arial" w:hAnsi="Arial"/>
                <w:b/>
                <w:bCs/>
                <w:sz w:val="18"/>
                <w:szCs w:val="18"/>
                <w:u w:val="double"/>
              </w:rPr>
              <w:t>Jun</w:t>
            </w:r>
            <w:r>
              <w:rPr>
                <w:rFonts w:cs="Arial" w:ascii="Arial" w:hAnsi="Arial"/>
                <w:sz w:val="18"/>
                <w:szCs w:val="18"/>
              </w:rPr>
              <w:t>-01</w:t>
            </w:r>
          </w:p>
        </w:tc>
        <w:tc>
          <w:tcPr>
            <w:tcW w:w="180" w:type="dxa"/>
            <w:tcBorders/>
            <w:vAlign w:val="bottom"/>
          </w:tcPr>
          <w:p>
            <w:pPr>
              <w:pStyle w:val="Normal"/>
              <w:snapToGrid w:val="false"/>
              <w:jc w:val="end"/>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jc w:val="end"/>
              <w:rPr>
                <w:rFonts w:ascii="Arial" w:hAnsi="Arial" w:eastAsia="Arial Unicode MS;Tahoma" w:cs="Arial"/>
                <w:sz w:val="18"/>
                <w:szCs w:val="18"/>
              </w:rPr>
            </w:pPr>
            <w:r>
              <w:rPr>
                <w:rFonts w:cs="Arial" w:ascii="Arial" w:hAnsi="Arial"/>
                <w:sz w:val="18"/>
                <w:szCs w:val="18"/>
              </w:rPr>
              <w:t>Nov-01</w:t>
            </w:r>
          </w:p>
        </w:tc>
        <w:tc>
          <w:tcPr>
            <w:tcW w:w="1080" w:type="dxa"/>
            <w:tcBorders/>
            <w:vAlign w:val="bottom"/>
          </w:tcPr>
          <w:p>
            <w:pPr>
              <w:pStyle w:val="Normal"/>
              <w:rPr>
                <w:rFonts w:ascii="Arial" w:hAnsi="Arial" w:eastAsia="Arial Unicode MS;Tahoma" w:cs="Arial"/>
                <w:sz w:val="18"/>
                <w:szCs w:val="18"/>
              </w:rPr>
            </w:pPr>
            <w:r>
              <w:rPr>
                <w:rFonts w:cs="Arial" w:ascii="Arial" w:hAnsi="Arial"/>
                <w:sz w:val="18"/>
                <w:szCs w:val="18"/>
              </w:rPr>
              <w:t>QC4994.3</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260" w:type="dxa"/>
            <w:tcBorders/>
            <w:vAlign w:val="bottom"/>
          </w:tcPr>
          <w:p>
            <w:pPr>
              <w:pStyle w:val="Normal"/>
              <w:rPr>
                <w:rFonts w:ascii="Arial" w:hAnsi="Arial" w:eastAsia="Arial Unicode MS;Tahoma" w:cs="Arial"/>
                <w:sz w:val="18"/>
                <w:szCs w:val="18"/>
              </w:rPr>
            </w:pPr>
            <w:r>
              <w:rPr>
                <w:rFonts w:cs="Arial" w:ascii="Arial" w:hAnsi="Arial"/>
                <w:sz w:val="18"/>
                <w:szCs w:val="18"/>
              </w:rPr>
              <w:t>Sell</w:t>
            </w:r>
          </w:p>
        </w:tc>
        <w:tc>
          <w:tcPr>
            <w:tcW w:w="1440" w:type="dxa"/>
            <w:tcBorders/>
            <w:vAlign w:val="bottom"/>
          </w:tcPr>
          <w:p>
            <w:pPr>
              <w:pStyle w:val="Normal"/>
              <w:rPr>
                <w:rFonts w:ascii="Arial" w:hAnsi="Arial" w:eastAsia="Arial Unicode MS;Tahoma" w:cs="Arial"/>
                <w:sz w:val="18"/>
                <w:szCs w:val="18"/>
              </w:rPr>
            </w:pPr>
            <w:r>
              <w:rPr>
                <w:rFonts w:cs="Arial" w:ascii="Arial" w:hAnsi="Arial"/>
                <w:sz w:val="18"/>
                <w:szCs w:val="18"/>
              </w:rPr>
              <w:t>Buy</w:t>
            </w:r>
          </w:p>
        </w:tc>
        <w:tc>
          <w:tcPr>
            <w:tcW w:w="720" w:type="dxa"/>
            <w:tcBorders/>
            <w:vAlign w:val="bottom"/>
          </w:tcPr>
          <w:p>
            <w:pPr>
              <w:pStyle w:val="Normal"/>
              <w:rPr>
                <w:rFonts w:ascii="Arial" w:hAnsi="Arial" w:eastAsia="Arial Unicode MS;Tahoma" w:cs="Arial"/>
                <w:sz w:val="18"/>
                <w:szCs w:val="18"/>
              </w:rPr>
            </w:pPr>
            <w:r>
              <w:rPr>
                <w:rFonts w:cs="Arial" w:ascii="Arial" w:hAnsi="Arial"/>
                <w:sz w:val="18"/>
                <w:szCs w:val="18"/>
              </w:rPr>
              <w:t>Put</w:t>
            </w:r>
          </w:p>
        </w:tc>
        <w:tc>
          <w:tcPr>
            <w:tcW w:w="99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r>
      <w:tr>
        <w:trPr>
          <w:trHeight w:val="255" w:hRule="atLeast"/>
        </w:trPr>
        <w:tc>
          <w:tcPr>
            <w:tcW w:w="520"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44"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878"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27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35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351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630" w:type="dxa"/>
            <w:tcBorders/>
            <w:vAlign w:val="bottom"/>
          </w:tcPr>
          <w:p>
            <w:pPr>
              <w:pStyle w:val="Normal"/>
              <w:snapToGrid w:val="false"/>
              <w:jc w:val="end"/>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jc w:val="end"/>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snapToGrid w:val="false"/>
              <w:jc w:val="end"/>
              <w:rPr>
                <w:rFonts w:ascii="Arial" w:hAnsi="Arial" w:eastAsia="Arial Unicode MS;Tahoma" w:cs="Arial"/>
                <w:sz w:val="18"/>
                <w:szCs w:val="18"/>
              </w:rPr>
            </w:pPr>
            <w:r>
              <w:rPr>
                <w:rFonts w:eastAsia="Arial Unicode MS;Tahoma" w:cs="Arial" w:ascii="Arial" w:hAnsi="Arial"/>
                <w:sz w:val="18"/>
                <w:szCs w:val="18"/>
              </w:rPr>
            </w:r>
          </w:p>
        </w:tc>
        <w:tc>
          <w:tcPr>
            <w:tcW w:w="10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26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44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990" w:type="dxa"/>
            <w:tcBorders/>
            <w:vAlign w:val="bottom"/>
          </w:tcPr>
          <w:p>
            <w:pPr>
              <w:pStyle w:val="Normal"/>
              <w:snapToGrid w:val="false"/>
              <w:rPr>
                <w:rFonts w:ascii="Arial" w:hAnsi="Arial" w:eastAsia="Arial Unicode MS;Tahoma" w:cs="Arial"/>
                <w:b/>
                <w:bCs/>
                <w:sz w:val="18"/>
                <w:szCs w:val="18"/>
                <w:u w:val="double"/>
              </w:rPr>
            </w:pPr>
            <w:r>
              <w:rPr>
                <w:rFonts w:eastAsia="Arial Unicode MS;Tahoma" w:cs="Arial" w:ascii="Arial" w:hAnsi="Arial"/>
                <w:b/>
                <w:bCs/>
                <w:sz w:val="18"/>
                <w:szCs w:val="18"/>
                <w:u w:val="double"/>
              </w:rPr>
            </w:r>
          </w:p>
        </w:tc>
      </w:tr>
      <w:tr>
        <w:trPr>
          <w:trHeight w:val="255" w:hRule="atLeast"/>
        </w:trPr>
        <w:tc>
          <w:tcPr>
            <w:tcW w:w="520" w:type="dxa"/>
            <w:tcBorders/>
            <w:vAlign w:val="bottom"/>
          </w:tcPr>
          <w:p>
            <w:pPr>
              <w:pStyle w:val="Normal"/>
              <w:jc w:val="end"/>
              <w:rPr>
                <w:rFonts w:ascii="Arial" w:hAnsi="Arial" w:eastAsia="Arial Unicode MS;Tahoma" w:cs="Arial"/>
                <w:b/>
                <w:bCs/>
                <w:sz w:val="18"/>
                <w:szCs w:val="18"/>
              </w:rPr>
            </w:pPr>
            <w:r>
              <w:rPr>
                <w:rFonts w:cs="Arial" w:ascii="Arial" w:hAnsi="Arial"/>
                <w:b/>
                <w:bCs/>
                <w:sz w:val="18"/>
                <w:szCs w:val="18"/>
              </w:rPr>
              <w:t>11</w:t>
            </w:r>
          </w:p>
        </w:tc>
        <w:tc>
          <w:tcPr>
            <w:tcW w:w="44"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878" w:type="dxa"/>
            <w:tcBorders/>
            <w:vAlign w:val="bottom"/>
          </w:tcPr>
          <w:p>
            <w:pPr>
              <w:pStyle w:val="Normal"/>
              <w:rPr>
                <w:rFonts w:ascii="Arial" w:hAnsi="Arial" w:eastAsia="Arial Unicode MS;Tahoma" w:cs="Arial"/>
                <w:sz w:val="18"/>
                <w:szCs w:val="18"/>
              </w:rPr>
            </w:pPr>
            <w:r>
              <w:rPr>
                <w:rFonts w:cs="Arial" w:ascii="Arial" w:hAnsi="Arial"/>
                <w:sz w:val="18"/>
                <w:szCs w:val="18"/>
              </w:rPr>
              <w:t>Equistar</w:t>
            </w:r>
          </w:p>
        </w:tc>
        <w:tc>
          <w:tcPr>
            <w:tcW w:w="27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350" w:type="dxa"/>
            <w:tcBorders/>
            <w:vAlign w:val="bottom"/>
          </w:tcPr>
          <w:p>
            <w:pPr>
              <w:pStyle w:val="Normal"/>
              <w:rPr>
                <w:rFonts w:ascii="Arial" w:hAnsi="Arial" w:eastAsia="Arial Unicode MS;Tahoma" w:cs="Arial"/>
                <w:sz w:val="18"/>
                <w:szCs w:val="18"/>
              </w:rPr>
            </w:pPr>
            <w:r>
              <w:rPr>
                <w:rFonts w:eastAsia="Arial" w:cs="Arial" w:ascii="Arial" w:hAnsi="Arial"/>
                <w:sz w:val="18"/>
                <w:szCs w:val="18"/>
              </w:rPr>
              <w:t xml:space="preserve"> </w:t>
            </w:r>
            <w:r>
              <w:rPr>
                <w:rFonts w:cs="Arial" w:ascii="Arial" w:hAnsi="Arial"/>
                <w:sz w:val="18"/>
                <w:szCs w:val="18"/>
              </w:rPr>
              <w:t xml:space="preserve">10,000/day </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3510" w:type="dxa"/>
            <w:tcBorders/>
            <w:vAlign w:val="bottom"/>
          </w:tcPr>
          <w:p>
            <w:pPr>
              <w:pStyle w:val="Normal"/>
              <w:rPr>
                <w:rFonts w:ascii="Arial" w:hAnsi="Arial" w:eastAsia="Arial Unicode MS;Tahoma" w:cs="Arial"/>
                <w:sz w:val="18"/>
                <w:szCs w:val="18"/>
              </w:rPr>
            </w:pPr>
            <w:r>
              <w:rPr>
                <w:rFonts w:cs="Arial" w:ascii="Arial" w:hAnsi="Arial"/>
                <w:sz w:val="18"/>
                <w:szCs w:val="18"/>
              </w:rPr>
              <w:t>Higher of HSC-.2 or 4.07</w:t>
            </w:r>
          </w:p>
        </w:tc>
        <w:tc>
          <w:tcPr>
            <w:tcW w:w="180" w:type="dxa"/>
            <w:tcBorders/>
            <w:vAlign w:val="bottom"/>
          </w:tcPr>
          <w:p>
            <w:pPr>
              <w:pStyle w:val="Normal"/>
              <w:rPr>
                <w:rFonts w:ascii="Arial" w:hAnsi="Arial" w:eastAsia="Arial Unicode MS;Tahoma" w:cs="Arial"/>
                <w:b/>
                <w:bCs/>
                <w:sz w:val="18"/>
                <w:szCs w:val="18"/>
                <w:u w:val="double"/>
              </w:rPr>
            </w:pPr>
            <w:r>
              <w:rPr>
                <w:rFonts w:eastAsia="Arial" w:cs="Arial" w:ascii="Arial" w:hAnsi="Arial"/>
                <w:sz w:val="18"/>
                <w:szCs w:val="18"/>
              </w:rPr>
              <w:t xml:space="preserve"> </w:t>
            </w:r>
            <w:r>
              <w:rPr>
                <w:rFonts w:eastAsia="Arial Unicode MS;Tahoma" w:cs="Arial" w:ascii="Arial" w:hAnsi="Arial"/>
                <w:strike/>
                <w:sz w:val="18"/>
                <w:szCs w:val="18"/>
              </w:rPr>
              <w:t>Mar</w:t>
            </w:r>
            <w:r>
              <w:rPr>
                <w:rFonts w:eastAsia="Arial Unicode MS;Tahoma" w:cs="Arial" w:ascii="Arial" w:hAnsi="Arial"/>
                <w:sz w:val="18"/>
                <w:szCs w:val="18"/>
              </w:rPr>
              <w:t xml:space="preserve"> </w:t>
            </w:r>
          </w:p>
        </w:tc>
        <w:tc>
          <w:tcPr>
            <w:tcW w:w="630" w:type="dxa"/>
            <w:tcBorders/>
            <w:vAlign w:val="bottom"/>
          </w:tcPr>
          <w:p>
            <w:pPr>
              <w:pStyle w:val="Normal"/>
              <w:jc w:val="end"/>
              <w:rPr>
                <w:rFonts w:ascii="Arial" w:hAnsi="Arial" w:eastAsia="Arial Unicode MS;Tahoma" w:cs="Arial"/>
                <w:sz w:val="18"/>
                <w:szCs w:val="18"/>
              </w:rPr>
            </w:pPr>
            <w:r>
              <w:rPr>
                <w:rFonts w:cs="Arial" w:ascii="Arial" w:hAnsi="Arial"/>
                <w:b/>
                <w:bCs/>
                <w:sz w:val="18"/>
                <w:szCs w:val="18"/>
                <w:u w:val="double"/>
              </w:rPr>
              <w:t>Jun</w:t>
            </w:r>
            <w:r>
              <w:rPr>
                <w:rFonts w:cs="Arial" w:ascii="Arial" w:hAnsi="Arial"/>
                <w:sz w:val="18"/>
                <w:szCs w:val="18"/>
              </w:rPr>
              <w:t>-01</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jc w:val="end"/>
              <w:rPr>
                <w:rFonts w:ascii="Arial" w:hAnsi="Arial" w:eastAsia="Arial Unicode MS;Tahoma" w:cs="Arial"/>
                <w:sz w:val="18"/>
                <w:szCs w:val="18"/>
              </w:rPr>
            </w:pPr>
            <w:r>
              <w:rPr>
                <w:rFonts w:cs="Arial" w:ascii="Arial" w:hAnsi="Arial"/>
                <w:sz w:val="18"/>
                <w:szCs w:val="18"/>
              </w:rPr>
              <w:t>Feb-02</w:t>
            </w:r>
          </w:p>
        </w:tc>
        <w:tc>
          <w:tcPr>
            <w:tcW w:w="1080" w:type="dxa"/>
            <w:tcBorders/>
            <w:vAlign w:val="bottom"/>
          </w:tcPr>
          <w:p>
            <w:pPr>
              <w:pStyle w:val="Normal"/>
              <w:rPr>
                <w:rFonts w:ascii="Arial" w:hAnsi="Arial" w:eastAsia="Arial Unicode MS;Tahoma" w:cs="Arial"/>
                <w:sz w:val="18"/>
                <w:szCs w:val="18"/>
              </w:rPr>
            </w:pPr>
            <w:r>
              <w:rPr>
                <w:rFonts w:cs="Arial" w:ascii="Arial" w:hAnsi="Arial"/>
                <w:sz w:val="18"/>
                <w:szCs w:val="18"/>
              </w:rPr>
              <w:t>QQ0888.2</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260" w:type="dxa"/>
            <w:tcBorders/>
            <w:vAlign w:val="bottom"/>
          </w:tcPr>
          <w:p>
            <w:pPr>
              <w:pStyle w:val="Normal"/>
              <w:rPr>
                <w:rFonts w:ascii="Arial" w:hAnsi="Arial" w:eastAsia="Arial Unicode MS;Tahoma" w:cs="Arial"/>
                <w:sz w:val="18"/>
                <w:szCs w:val="18"/>
              </w:rPr>
            </w:pPr>
            <w:r>
              <w:rPr>
                <w:rFonts w:cs="Arial" w:ascii="Arial" w:hAnsi="Arial"/>
                <w:sz w:val="18"/>
                <w:szCs w:val="18"/>
              </w:rPr>
              <w:t>Sell</w:t>
            </w:r>
          </w:p>
        </w:tc>
        <w:tc>
          <w:tcPr>
            <w:tcW w:w="1440" w:type="dxa"/>
            <w:tcBorders/>
            <w:vAlign w:val="bottom"/>
          </w:tcPr>
          <w:p>
            <w:pPr>
              <w:pStyle w:val="Normal"/>
              <w:rPr>
                <w:rFonts w:ascii="Arial" w:hAnsi="Arial" w:eastAsia="Arial Unicode MS;Tahoma" w:cs="Arial"/>
                <w:sz w:val="18"/>
                <w:szCs w:val="18"/>
              </w:rPr>
            </w:pPr>
            <w:r>
              <w:rPr>
                <w:rFonts w:cs="Arial" w:ascii="Arial" w:hAnsi="Arial"/>
                <w:sz w:val="18"/>
                <w:szCs w:val="18"/>
              </w:rPr>
              <w:t>Buy</w:t>
            </w:r>
          </w:p>
        </w:tc>
        <w:tc>
          <w:tcPr>
            <w:tcW w:w="720" w:type="dxa"/>
            <w:tcBorders/>
            <w:vAlign w:val="bottom"/>
          </w:tcPr>
          <w:p>
            <w:pPr>
              <w:pStyle w:val="Normal"/>
              <w:rPr>
                <w:rFonts w:ascii="Arial" w:hAnsi="Arial" w:eastAsia="Arial Unicode MS;Tahoma" w:cs="Arial"/>
                <w:sz w:val="18"/>
                <w:szCs w:val="18"/>
              </w:rPr>
            </w:pPr>
            <w:r>
              <w:rPr>
                <w:rFonts w:cs="Arial" w:ascii="Arial" w:hAnsi="Arial"/>
                <w:sz w:val="18"/>
                <w:szCs w:val="18"/>
              </w:rPr>
              <w:t>Put</w:t>
            </w:r>
          </w:p>
        </w:tc>
        <w:tc>
          <w:tcPr>
            <w:tcW w:w="99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r>
      <w:tr>
        <w:trPr>
          <w:trHeight w:val="255" w:hRule="atLeast"/>
        </w:trPr>
        <w:tc>
          <w:tcPr>
            <w:tcW w:w="520" w:type="dxa"/>
            <w:tcBorders/>
            <w:vAlign w:val="bottom"/>
          </w:tcPr>
          <w:p>
            <w:pPr>
              <w:pStyle w:val="Normal"/>
              <w:jc w:val="end"/>
              <w:rPr>
                <w:rFonts w:ascii="Arial" w:hAnsi="Arial" w:eastAsia="Arial Unicode MS;Tahoma" w:cs="Arial"/>
                <w:b/>
                <w:bCs/>
                <w:sz w:val="18"/>
                <w:szCs w:val="18"/>
              </w:rPr>
            </w:pPr>
            <w:r>
              <w:rPr>
                <w:rFonts w:cs="Arial" w:ascii="Arial" w:hAnsi="Arial"/>
                <w:b/>
                <w:bCs/>
                <w:sz w:val="18"/>
                <w:szCs w:val="18"/>
              </w:rPr>
              <w:t>12</w:t>
            </w:r>
          </w:p>
        </w:tc>
        <w:tc>
          <w:tcPr>
            <w:tcW w:w="44"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878" w:type="dxa"/>
            <w:tcBorders/>
            <w:vAlign w:val="bottom"/>
          </w:tcPr>
          <w:p>
            <w:pPr>
              <w:pStyle w:val="Normal"/>
              <w:rPr>
                <w:rFonts w:ascii="Arial" w:hAnsi="Arial" w:eastAsia="Arial Unicode MS;Tahoma" w:cs="Arial"/>
                <w:sz w:val="18"/>
                <w:szCs w:val="18"/>
              </w:rPr>
            </w:pPr>
            <w:r>
              <w:rPr>
                <w:rFonts w:cs="Arial" w:ascii="Arial" w:hAnsi="Arial"/>
                <w:sz w:val="18"/>
                <w:szCs w:val="18"/>
              </w:rPr>
              <w:t>Equistar</w:t>
            </w:r>
          </w:p>
        </w:tc>
        <w:tc>
          <w:tcPr>
            <w:tcW w:w="27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350" w:type="dxa"/>
            <w:tcBorders/>
            <w:vAlign w:val="bottom"/>
          </w:tcPr>
          <w:p>
            <w:pPr>
              <w:pStyle w:val="Normal"/>
              <w:rPr>
                <w:rFonts w:ascii="Arial" w:hAnsi="Arial" w:eastAsia="Arial Unicode MS;Tahoma" w:cs="Arial"/>
                <w:sz w:val="18"/>
                <w:szCs w:val="18"/>
              </w:rPr>
            </w:pPr>
            <w:r>
              <w:rPr>
                <w:rFonts w:eastAsia="Arial" w:cs="Arial" w:ascii="Arial" w:hAnsi="Arial"/>
                <w:sz w:val="18"/>
                <w:szCs w:val="18"/>
              </w:rPr>
              <w:t xml:space="preserve"> </w:t>
            </w:r>
            <w:r>
              <w:rPr>
                <w:rFonts w:cs="Arial" w:ascii="Arial" w:hAnsi="Arial"/>
                <w:sz w:val="18"/>
                <w:szCs w:val="18"/>
              </w:rPr>
              <w:t xml:space="preserve">5,000/day </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3510" w:type="dxa"/>
            <w:tcBorders/>
            <w:vAlign w:val="bottom"/>
          </w:tcPr>
          <w:p>
            <w:pPr>
              <w:pStyle w:val="Normal"/>
              <w:rPr>
                <w:rFonts w:ascii="Arial" w:hAnsi="Arial" w:eastAsia="Arial Unicode MS;Tahoma" w:cs="Arial"/>
                <w:sz w:val="18"/>
                <w:szCs w:val="18"/>
              </w:rPr>
            </w:pPr>
            <w:r>
              <w:rPr>
                <w:rFonts w:cs="Arial" w:ascii="Arial" w:hAnsi="Arial"/>
                <w:sz w:val="18"/>
                <w:szCs w:val="18"/>
              </w:rPr>
              <w:t>Higher of HSC-.2 or 3.85</w:t>
            </w:r>
          </w:p>
        </w:tc>
        <w:tc>
          <w:tcPr>
            <w:tcW w:w="180" w:type="dxa"/>
            <w:tcBorders/>
            <w:vAlign w:val="bottom"/>
          </w:tcPr>
          <w:p>
            <w:pPr>
              <w:pStyle w:val="Normal"/>
              <w:snapToGrid w:val="false"/>
              <w:rPr>
                <w:rFonts w:ascii="Arial" w:hAnsi="Arial" w:eastAsia="Arial Unicode MS;Tahoma" w:cs="Arial"/>
                <w:b/>
                <w:bCs/>
                <w:sz w:val="18"/>
                <w:szCs w:val="18"/>
                <w:u w:val="double"/>
              </w:rPr>
            </w:pPr>
            <w:r>
              <w:rPr>
                <w:rFonts w:eastAsia="Arial Unicode MS;Tahoma" w:cs="Arial" w:ascii="Arial" w:hAnsi="Arial"/>
                <w:b/>
                <w:bCs/>
                <w:sz w:val="18"/>
                <w:szCs w:val="18"/>
                <w:u w:val="double"/>
              </w:rPr>
            </w:r>
          </w:p>
        </w:tc>
        <w:tc>
          <w:tcPr>
            <w:tcW w:w="630" w:type="dxa"/>
            <w:tcBorders/>
            <w:vAlign w:val="bottom"/>
          </w:tcPr>
          <w:p>
            <w:pPr>
              <w:pStyle w:val="Normal"/>
              <w:jc w:val="end"/>
              <w:rPr>
                <w:rFonts w:ascii="Arial" w:hAnsi="Arial" w:eastAsia="Arial Unicode MS;Tahoma" w:cs="Arial"/>
                <w:sz w:val="18"/>
                <w:szCs w:val="18"/>
              </w:rPr>
            </w:pPr>
            <w:r>
              <w:rPr>
                <w:rFonts w:cs="Arial" w:ascii="Arial" w:hAnsi="Arial"/>
                <w:sz w:val="18"/>
                <w:szCs w:val="18"/>
              </w:rPr>
              <w:t>Jun-01</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jc w:val="end"/>
              <w:rPr>
                <w:rFonts w:ascii="Arial" w:hAnsi="Arial" w:eastAsia="Arial Unicode MS;Tahoma" w:cs="Arial"/>
                <w:sz w:val="18"/>
                <w:szCs w:val="18"/>
              </w:rPr>
            </w:pPr>
            <w:r>
              <w:rPr>
                <w:rFonts w:cs="Arial" w:ascii="Arial" w:hAnsi="Arial"/>
                <w:sz w:val="18"/>
                <w:szCs w:val="18"/>
              </w:rPr>
              <w:t>May-02</w:t>
            </w:r>
          </w:p>
        </w:tc>
        <w:tc>
          <w:tcPr>
            <w:tcW w:w="1080" w:type="dxa"/>
            <w:tcBorders/>
            <w:vAlign w:val="bottom"/>
          </w:tcPr>
          <w:p>
            <w:pPr>
              <w:pStyle w:val="Normal"/>
              <w:rPr>
                <w:rFonts w:ascii="Arial" w:hAnsi="Arial" w:eastAsia="Arial Unicode MS;Tahoma" w:cs="Arial"/>
                <w:sz w:val="18"/>
                <w:szCs w:val="18"/>
              </w:rPr>
            </w:pPr>
            <w:r>
              <w:rPr>
                <w:rFonts w:cs="Arial" w:ascii="Arial" w:hAnsi="Arial"/>
                <w:sz w:val="18"/>
                <w:szCs w:val="18"/>
              </w:rPr>
              <w:t>QS7927.2</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260" w:type="dxa"/>
            <w:tcBorders/>
            <w:vAlign w:val="bottom"/>
          </w:tcPr>
          <w:p>
            <w:pPr>
              <w:pStyle w:val="Normal"/>
              <w:rPr>
                <w:rFonts w:ascii="Arial" w:hAnsi="Arial" w:eastAsia="Arial Unicode MS;Tahoma" w:cs="Arial"/>
                <w:sz w:val="18"/>
                <w:szCs w:val="18"/>
              </w:rPr>
            </w:pPr>
            <w:r>
              <w:rPr>
                <w:rFonts w:cs="Arial" w:ascii="Arial" w:hAnsi="Arial"/>
                <w:sz w:val="18"/>
                <w:szCs w:val="18"/>
              </w:rPr>
              <w:t>Sell</w:t>
            </w:r>
          </w:p>
        </w:tc>
        <w:tc>
          <w:tcPr>
            <w:tcW w:w="1440" w:type="dxa"/>
            <w:tcBorders/>
            <w:vAlign w:val="bottom"/>
          </w:tcPr>
          <w:p>
            <w:pPr>
              <w:pStyle w:val="Normal"/>
              <w:rPr>
                <w:rFonts w:ascii="Arial" w:hAnsi="Arial" w:eastAsia="Arial Unicode MS;Tahoma" w:cs="Arial"/>
                <w:sz w:val="18"/>
                <w:szCs w:val="18"/>
              </w:rPr>
            </w:pPr>
            <w:r>
              <w:rPr>
                <w:rFonts w:cs="Arial" w:ascii="Arial" w:hAnsi="Arial"/>
                <w:sz w:val="18"/>
                <w:szCs w:val="18"/>
              </w:rPr>
              <w:t>Buy</w:t>
            </w:r>
          </w:p>
        </w:tc>
        <w:tc>
          <w:tcPr>
            <w:tcW w:w="720" w:type="dxa"/>
            <w:tcBorders/>
            <w:vAlign w:val="bottom"/>
          </w:tcPr>
          <w:p>
            <w:pPr>
              <w:pStyle w:val="Normal"/>
              <w:rPr>
                <w:rFonts w:ascii="Arial" w:hAnsi="Arial" w:eastAsia="Arial Unicode MS;Tahoma" w:cs="Arial"/>
                <w:sz w:val="18"/>
                <w:szCs w:val="18"/>
              </w:rPr>
            </w:pPr>
            <w:r>
              <w:rPr>
                <w:rFonts w:cs="Arial" w:ascii="Arial" w:hAnsi="Arial"/>
                <w:sz w:val="18"/>
                <w:szCs w:val="18"/>
              </w:rPr>
              <w:t>Put</w:t>
            </w:r>
          </w:p>
        </w:tc>
        <w:tc>
          <w:tcPr>
            <w:tcW w:w="99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r>
      <w:tr>
        <w:trPr>
          <w:trHeight w:val="255" w:hRule="atLeast"/>
        </w:trPr>
        <w:tc>
          <w:tcPr>
            <w:tcW w:w="520"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44"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878"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27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35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351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63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0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26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44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990" w:type="dxa"/>
            <w:tcBorders/>
            <w:vAlign w:val="bottom"/>
          </w:tcPr>
          <w:p>
            <w:pPr>
              <w:pStyle w:val="Normal"/>
              <w:snapToGrid w:val="false"/>
              <w:rPr>
                <w:rFonts w:ascii="Arial" w:hAnsi="Arial" w:eastAsia="Arial Unicode MS;Tahoma" w:cs="Arial"/>
                <w:b/>
                <w:bCs/>
                <w:sz w:val="18"/>
                <w:szCs w:val="18"/>
                <w:u w:val="double"/>
              </w:rPr>
            </w:pPr>
            <w:r>
              <w:rPr>
                <w:rFonts w:eastAsia="Arial Unicode MS;Tahoma" w:cs="Arial" w:ascii="Arial" w:hAnsi="Arial"/>
                <w:b/>
                <w:bCs/>
                <w:sz w:val="18"/>
                <w:szCs w:val="18"/>
                <w:u w:val="double"/>
              </w:rPr>
            </w:r>
          </w:p>
        </w:tc>
      </w:tr>
      <w:tr>
        <w:trPr>
          <w:trHeight w:val="255" w:hRule="atLeast"/>
        </w:trPr>
        <w:tc>
          <w:tcPr>
            <w:tcW w:w="520" w:type="dxa"/>
            <w:tcBorders/>
            <w:vAlign w:val="bottom"/>
          </w:tcPr>
          <w:p>
            <w:pPr>
              <w:pStyle w:val="Normal"/>
              <w:jc w:val="end"/>
              <w:rPr>
                <w:rFonts w:ascii="Arial" w:hAnsi="Arial" w:eastAsia="Arial Unicode MS;Tahoma" w:cs="Arial"/>
                <w:b/>
                <w:bCs/>
                <w:sz w:val="18"/>
                <w:szCs w:val="18"/>
              </w:rPr>
            </w:pPr>
            <w:r>
              <w:rPr>
                <w:rFonts w:cs="Arial" w:ascii="Arial" w:hAnsi="Arial"/>
                <w:b/>
                <w:bCs/>
                <w:sz w:val="18"/>
                <w:szCs w:val="18"/>
              </w:rPr>
              <w:t>13</w:t>
            </w:r>
          </w:p>
        </w:tc>
        <w:tc>
          <w:tcPr>
            <w:tcW w:w="44"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878" w:type="dxa"/>
            <w:tcBorders/>
            <w:vAlign w:val="bottom"/>
          </w:tcPr>
          <w:p>
            <w:pPr>
              <w:pStyle w:val="Normal"/>
              <w:rPr>
                <w:rFonts w:ascii="Arial" w:hAnsi="Arial" w:eastAsia="Arial Unicode MS;Tahoma" w:cs="Arial"/>
                <w:sz w:val="18"/>
                <w:szCs w:val="18"/>
              </w:rPr>
            </w:pPr>
            <w:r>
              <w:rPr>
                <w:rFonts w:cs="Arial" w:ascii="Arial" w:hAnsi="Arial"/>
                <w:sz w:val="18"/>
                <w:szCs w:val="18"/>
              </w:rPr>
              <w:t>Equistar</w:t>
            </w:r>
          </w:p>
        </w:tc>
        <w:tc>
          <w:tcPr>
            <w:tcW w:w="27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350" w:type="dxa"/>
            <w:tcBorders/>
            <w:vAlign w:val="bottom"/>
          </w:tcPr>
          <w:p>
            <w:pPr>
              <w:pStyle w:val="Normal"/>
              <w:rPr>
                <w:rFonts w:ascii="Arial" w:hAnsi="Arial" w:eastAsia="Arial Unicode MS;Tahoma" w:cs="Arial"/>
                <w:sz w:val="18"/>
                <w:szCs w:val="18"/>
              </w:rPr>
            </w:pPr>
            <w:r>
              <w:rPr>
                <w:rFonts w:cs="Arial" w:ascii="Arial" w:hAnsi="Arial"/>
                <w:sz w:val="18"/>
                <w:szCs w:val="18"/>
              </w:rPr>
              <w:t>10,000/d</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3510" w:type="dxa"/>
            <w:tcBorders/>
            <w:vAlign w:val="bottom"/>
          </w:tcPr>
          <w:p>
            <w:pPr>
              <w:pStyle w:val="Normal"/>
              <w:rPr>
                <w:rFonts w:ascii="Arial" w:hAnsi="Arial" w:eastAsia="Arial Unicode MS;Tahoma" w:cs="Arial"/>
                <w:sz w:val="18"/>
                <w:szCs w:val="18"/>
              </w:rPr>
            </w:pPr>
            <w:r>
              <w:rPr>
                <w:rFonts w:cs="Arial" w:ascii="Arial" w:hAnsi="Arial"/>
                <w:sz w:val="18"/>
                <w:szCs w:val="18"/>
              </w:rPr>
              <w:t>Higher of HSC-.20 or 4.42</w:t>
            </w:r>
          </w:p>
        </w:tc>
        <w:tc>
          <w:tcPr>
            <w:tcW w:w="180" w:type="dxa"/>
            <w:tcBorders/>
            <w:vAlign w:val="bottom"/>
          </w:tcPr>
          <w:p>
            <w:pPr>
              <w:pStyle w:val="Normal"/>
              <w:snapToGrid w:val="false"/>
              <w:rPr>
                <w:rFonts w:ascii="Arial" w:hAnsi="Arial" w:eastAsia="Arial Unicode MS;Tahoma" w:cs="Arial"/>
                <w:b/>
                <w:bCs/>
                <w:sz w:val="18"/>
                <w:szCs w:val="18"/>
                <w:u w:val="double"/>
              </w:rPr>
            </w:pPr>
            <w:r>
              <w:rPr>
                <w:rFonts w:eastAsia="Arial Unicode MS;Tahoma" w:cs="Arial" w:ascii="Arial" w:hAnsi="Arial"/>
                <w:b/>
                <w:bCs/>
                <w:sz w:val="18"/>
                <w:szCs w:val="18"/>
                <w:u w:val="double"/>
              </w:rPr>
            </w:r>
          </w:p>
        </w:tc>
        <w:tc>
          <w:tcPr>
            <w:tcW w:w="630" w:type="dxa"/>
            <w:tcBorders/>
            <w:vAlign w:val="bottom"/>
          </w:tcPr>
          <w:p>
            <w:pPr>
              <w:pStyle w:val="Normal"/>
              <w:jc w:val="end"/>
              <w:rPr>
                <w:rFonts w:ascii="Arial" w:hAnsi="Arial" w:eastAsia="Arial Unicode MS;Tahoma" w:cs="Arial"/>
                <w:sz w:val="18"/>
                <w:szCs w:val="18"/>
              </w:rPr>
            </w:pPr>
            <w:r>
              <w:rPr>
                <w:rFonts w:cs="Arial" w:ascii="Arial" w:hAnsi="Arial"/>
                <w:sz w:val="18"/>
                <w:szCs w:val="18"/>
              </w:rPr>
              <w:t>Jun-01</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jc w:val="end"/>
              <w:rPr>
                <w:rFonts w:ascii="Arial" w:hAnsi="Arial" w:eastAsia="Arial Unicode MS;Tahoma" w:cs="Arial"/>
                <w:sz w:val="18"/>
                <w:szCs w:val="18"/>
              </w:rPr>
            </w:pPr>
            <w:r>
              <w:rPr>
                <w:rFonts w:cs="Arial" w:ascii="Arial" w:hAnsi="Arial"/>
                <w:sz w:val="18"/>
                <w:szCs w:val="18"/>
              </w:rPr>
              <w:t>Oct-01</w:t>
            </w:r>
          </w:p>
        </w:tc>
        <w:tc>
          <w:tcPr>
            <w:tcW w:w="1080" w:type="dxa"/>
            <w:tcBorders/>
            <w:vAlign w:val="bottom"/>
          </w:tcPr>
          <w:p>
            <w:pPr>
              <w:pStyle w:val="Normal"/>
              <w:rPr>
                <w:rFonts w:ascii="Arial" w:hAnsi="Arial" w:eastAsia="Arial Unicode MS;Tahoma" w:cs="Arial"/>
                <w:sz w:val="18"/>
                <w:szCs w:val="18"/>
              </w:rPr>
            </w:pPr>
            <w:r>
              <w:rPr>
                <w:rFonts w:cs="Arial" w:ascii="Arial" w:hAnsi="Arial"/>
                <w:sz w:val="18"/>
                <w:szCs w:val="18"/>
              </w:rPr>
              <w:t>QQ0888.5</w:t>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260" w:type="dxa"/>
            <w:tcBorders/>
            <w:vAlign w:val="bottom"/>
          </w:tcPr>
          <w:p>
            <w:pPr>
              <w:pStyle w:val="Normal"/>
              <w:rPr>
                <w:rFonts w:ascii="Arial" w:hAnsi="Arial" w:eastAsia="Arial Unicode MS;Tahoma" w:cs="Arial"/>
                <w:sz w:val="18"/>
                <w:szCs w:val="18"/>
              </w:rPr>
            </w:pPr>
            <w:r>
              <w:rPr>
                <w:rFonts w:cs="Arial" w:ascii="Arial" w:hAnsi="Arial"/>
                <w:sz w:val="18"/>
                <w:szCs w:val="18"/>
              </w:rPr>
              <w:t>Sell</w:t>
            </w:r>
          </w:p>
        </w:tc>
        <w:tc>
          <w:tcPr>
            <w:tcW w:w="1440" w:type="dxa"/>
            <w:tcBorders/>
            <w:vAlign w:val="bottom"/>
          </w:tcPr>
          <w:p>
            <w:pPr>
              <w:pStyle w:val="Normal"/>
              <w:rPr>
                <w:rFonts w:ascii="Arial" w:hAnsi="Arial" w:eastAsia="Arial Unicode MS;Tahoma" w:cs="Arial"/>
                <w:sz w:val="18"/>
                <w:szCs w:val="18"/>
              </w:rPr>
            </w:pPr>
            <w:r>
              <w:rPr>
                <w:rFonts w:cs="Arial" w:ascii="Arial" w:hAnsi="Arial"/>
                <w:sz w:val="18"/>
                <w:szCs w:val="18"/>
              </w:rPr>
              <w:t>Buy</w:t>
            </w:r>
          </w:p>
        </w:tc>
        <w:tc>
          <w:tcPr>
            <w:tcW w:w="720" w:type="dxa"/>
            <w:tcBorders/>
            <w:vAlign w:val="bottom"/>
          </w:tcPr>
          <w:p>
            <w:pPr>
              <w:pStyle w:val="Normal"/>
              <w:rPr>
                <w:rFonts w:ascii="Arial" w:hAnsi="Arial" w:eastAsia="Arial Unicode MS;Tahoma" w:cs="Arial"/>
                <w:sz w:val="18"/>
                <w:szCs w:val="18"/>
              </w:rPr>
            </w:pPr>
            <w:r>
              <w:rPr>
                <w:rFonts w:cs="Arial" w:ascii="Arial" w:hAnsi="Arial"/>
                <w:sz w:val="18"/>
                <w:szCs w:val="18"/>
              </w:rPr>
              <w:t>Put</w:t>
            </w:r>
          </w:p>
        </w:tc>
        <w:tc>
          <w:tcPr>
            <w:tcW w:w="990" w:type="dxa"/>
            <w:tcBorders/>
            <w:vAlign w:val="bottom"/>
          </w:tcPr>
          <w:p>
            <w:pPr>
              <w:pStyle w:val="Normal"/>
              <w:rPr>
                <w:rFonts w:ascii="Arial" w:hAnsi="Arial" w:eastAsia="Arial Unicode MS;Tahoma" w:cs="Arial"/>
                <w:sz w:val="18"/>
                <w:szCs w:val="18"/>
              </w:rPr>
            </w:pPr>
            <w:r>
              <w:rPr>
                <w:rFonts w:cs="Arial" w:ascii="Arial" w:hAnsi="Arial"/>
                <w:sz w:val="18"/>
                <w:szCs w:val="18"/>
              </w:rPr>
              <w:t>Yes</w:t>
            </w:r>
          </w:p>
        </w:tc>
      </w:tr>
      <w:tr>
        <w:trPr>
          <w:trHeight w:val="255" w:hRule="atLeast"/>
        </w:trPr>
        <w:tc>
          <w:tcPr>
            <w:tcW w:w="520"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44" w:type="dxa"/>
            <w:tcBorders/>
            <w:vAlign w:val="bottom"/>
          </w:tcPr>
          <w:p>
            <w:pPr>
              <w:pStyle w:val="Normal"/>
              <w:snapToGrid w:val="false"/>
              <w:rPr>
                <w:rFonts w:ascii="Arial" w:hAnsi="Arial" w:eastAsia="Arial Unicode MS;Tahoma" w:cs="Arial"/>
                <w:b/>
                <w:bCs/>
                <w:sz w:val="18"/>
                <w:szCs w:val="18"/>
              </w:rPr>
            </w:pPr>
            <w:r>
              <w:rPr>
                <w:rFonts w:eastAsia="Arial Unicode MS;Tahoma" w:cs="Arial" w:ascii="Arial" w:hAnsi="Arial"/>
                <w:b/>
                <w:bCs/>
                <w:sz w:val="18"/>
                <w:szCs w:val="18"/>
              </w:rPr>
            </w:r>
          </w:p>
        </w:tc>
        <w:tc>
          <w:tcPr>
            <w:tcW w:w="1878"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27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35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351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63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0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8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26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144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720" w:type="dxa"/>
            <w:tcBorders/>
            <w:vAlign w:val="bottom"/>
          </w:tcPr>
          <w:p>
            <w:pPr>
              <w:pStyle w:val="Normal"/>
              <w:snapToGrid w:val="false"/>
              <w:rPr>
                <w:rFonts w:ascii="Arial" w:hAnsi="Arial" w:eastAsia="Arial Unicode MS;Tahoma" w:cs="Arial"/>
                <w:sz w:val="18"/>
                <w:szCs w:val="18"/>
              </w:rPr>
            </w:pPr>
            <w:r>
              <w:rPr>
                <w:rFonts w:eastAsia="Arial Unicode MS;Tahoma" w:cs="Arial" w:ascii="Arial" w:hAnsi="Arial"/>
                <w:sz w:val="18"/>
                <w:szCs w:val="18"/>
              </w:rPr>
            </w:r>
          </w:p>
        </w:tc>
        <w:tc>
          <w:tcPr>
            <w:tcW w:w="990" w:type="dxa"/>
            <w:tcBorders/>
            <w:vAlign w:val="bottom"/>
          </w:tcPr>
          <w:p>
            <w:pPr>
              <w:pStyle w:val="Normal"/>
              <w:snapToGrid w:val="false"/>
              <w:rPr>
                <w:rFonts w:ascii="Arial" w:hAnsi="Arial" w:eastAsia="Arial Unicode MS;Tahoma" w:cs="Arial"/>
                <w:b/>
                <w:bCs/>
                <w:sz w:val="18"/>
                <w:szCs w:val="18"/>
                <w:u w:val="double"/>
              </w:rPr>
            </w:pPr>
            <w:r>
              <w:rPr>
                <w:rFonts w:eastAsia="Arial Unicode MS;Tahoma" w:cs="Arial" w:ascii="Arial" w:hAnsi="Arial"/>
                <w:b/>
                <w:bCs/>
                <w:sz w:val="18"/>
                <w:szCs w:val="18"/>
                <w:u w:val="double"/>
              </w:rPr>
            </w:r>
          </w:p>
        </w:tc>
      </w:tr>
      <w:tr>
        <w:trPr>
          <w:trHeight w:val="255" w:hRule="atLeast"/>
        </w:trPr>
        <w:tc>
          <w:tcPr>
            <w:tcW w:w="520" w:type="dxa"/>
            <w:tcBorders/>
            <w:vAlign w:val="bottom"/>
          </w:tcPr>
          <w:p>
            <w:pPr>
              <w:pStyle w:val="Normal"/>
              <w:jc w:val="end"/>
              <w:rPr>
                <w:rFonts w:ascii="Arial" w:hAnsi="Arial" w:eastAsia="Arial Unicode MS;Tahoma" w:cs="Arial"/>
                <w:b/>
                <w:bCs/>
                <w:sz w:val="18"/>
                <w:szCs w:val="18"/>
              </w:rPr>
            </w:pPr>
            <w:r>
              <w:rPr>
                <w:rFonts w:cs="Arial" w:ascii="Arial" w:hAnsi="Arial"/>
                <w:b/>
                <w:bCs/>
                <w:sz w:val="18"/>
                <w:szCs w:val="18"/>
              </w:rPr>
              <w:t>14</w:t>
            </w:r>
          </w:p>
        </w:tc>
        <w:tc>
          <w:tcPr>
            <w:tcW w:w="44" w:type="dxa"/>
            <w:tcBorders/>
            <w:vAlign w:val="bottom"/>
          </w:tcPr>
          <w:p>
            <w:pPr>
              <w:pStyle w:val="Normal"/>
              <w:rPr>
                <w:rFonts w:ascii="Arial" w:hAnsi="Arial" w:eastAsia="Arial Unicode MS;Tahoma" w:cs="Arial"/>
                <w:sz w:val="18"/>
                <w:szCs w:val="18"/>
              </w:rPr>
            </w:pPr>
            <w:r>
              <w:rPr>
                <w:rFonts w:eastAsia="Arial Unicode MS;Tahoma" w:cs="Arial" w:ascii="Arial" w:hAnsi="Arial"/>
                <w:strike/>
                <w:sz w:val="18"/>
                <w:szCs w:val="18"/>
              </w:rPr>
              <w:t> </w:t>
            </w:r>
          </w:p>
        </w:tc>
        <w:tc>
          <w:tcPr>
            <w:tcW w:w="1878" w:type="dxa"/>
            <w:tcBorders/>
            <w:vAlign w:val="bottom"/>
          </w:tcPr>
          <w:p>
            <w:pPr>
              <w:pStyle w:val="Normal"/>
              <w:rPr>
                <w:rFonts w:ascii="Arial" w:hAnsi="Arial" w:eastAsia="Arial Unicode MS;Tahoma" w:cs="Arial"/>
                <w:sz w:val="18"/>
                <w:szCs w:val="18"/>
              </w:rPr>
            </w:pPr>
            <w:r>
              <w:rPr>
                <w:rFonts w:cs="Arial" w:ascii="Arial" w:hAnsi="Arial"/>
                <w:sz w:val="18"/>
                <w:szCs w:val="18"/>
              </w:rPr>
              <w:t>Equistar</w:t>
            </w:r>
          </w:p>
        </w:tc>
        <w:tc>
          <w:tcPr>
            <w:tcW w:w="270" w:type="dxa"/>
            <w:tcBorders/>
            <w:vAlign w:val="bottom"/>
          </w:tcPr>
          <w:p>
            <w:pPr>
              <w:pStyle w:val="Normal"/>
              <w:rPr>
                <w:rFonts w:ascii="Arial" w:hAnsi="Arial" w:eastAsia="Arial Unicode MS;Tahoma" w:cs="Arial"/>
                <w:sz w:val="18"/>
                <w:szCs w:val="18"/>
              </w:rPr>
            </w:pPr>
            <w:r>
              <w:rPr>
                <w:rFonts w:eastAsia="Arial Unicode MS;Tahoma" w:cs="Arial" w:ascii="Arial" w:hAnsi="Arial"/>
                <w:strike/>
                <w:sz w:val="18"/>
                <w:szCs w:val="18"/>
              </w:rPr>
              <w:t> </w:t>
            </w:r>
          </w:p>
        </w:tc>
        <w:tc>
          <w:tcPr>
            <w:tcW w:w="1350" w:type="dxa"/>
            <w:tcBorders/>
            <w:vAlign w:val="bottom"/>
          </w:tcPr>
          <w:p>
            <w:pPr>
              <w:pStyle w:val="Normal"/>
              <w:rPr>
                <w:rFonts w:ascii="Arial" w:hAnsi="Arial" w:eastAsia="Arial Unicode MS;Tahoma" w:cs="Arial"/>
                <w:sz w:val="18"/>
                <w:szCs w:val="18"/>
              </w:rPr>
            </w:pPr>
            <w:r>
              <w:rPr>
                <w:rFonts w:cs="Arial" w:ascii="Arial" w:hAnsi="Arial"/>
                <w:sz w:val="18"/>
                <w:szCs w:val="18"/>
              </w:rPr>
              <w:t>10,000/d</w:t>
            </w:r>
          </w:p>
        </w:tc>
        <w:tc>
          <w:tcPr>
            <w:tcW w:w="180" w:type="dxa"/>
            <w:tcBorders/>
            <w:vAlign w:val="bottom"/>
          </w:tcPr>
          <w:p>
            <w:pPr>
              <w:pStyle w:val="Normal"/>
              <w:rPr>
                <w:rFonts w:ascii="Arial" w:hAnsi="Arial" w:eastAsia="Arial Unicode MS;Tahoma" w:cs="Arial"/>
                <w:sz w:val="18"/>
                <w:szCs w:val="18"/>
              </w:rPr>
            </w:pPr>
            <w:r>
              <w:rPr>
                <w:rFonts w:eastAsia="Arial Unicode MS;Tahoma" w:cs="Arial" w:ascii="Arial" w:hAnsi="Arial"/>
                <w:strike/>
                <w:sz w:val="18"/>
                <w:szCs w:val="18"/>
              </w:rPr>
              <w:t> </w:t>
            </w:r>
          </w:p>
        </w:tc>
        <w:tc>
          <w:tcPr>
            <w:tcW w:w="3510" w:type="dxa"/>
            <w:tcBorders/>
            <w:vAlign w:val="bottom"/>
          </w:tcPr>
          <w:p>
            <w:pPr>
              <w:pStyle w:val="Normal"/>
              <w:rPr>
                <w:rFonts w:ascii="Arial" w:hAnsi="Arial" w:eastAsia="Arial Unicode MS;Tahoma" w:cs="Arial"/>
                <w:sz w:val="18"/>
                <w:szCs w:val="18"/>
              </w:rPr>
            </w:pPr>
            <w:r>
              <w:rPr>
                <w:rFonts w:cs="Arial" w:ascii="Arial" w:hAnsi="Arial"/>
                <w:sz w:val="18"/>
                <w:szCs w:val="18"/>
              </w:rPr>
              <w:t>Higher of HSC-.20 or 3.85</w:t>
            </w:r>
          </w:p>
        </w:tc>
        <w:tc>
          <w:tcPr>
            <w:tcW w:w="180" w:type="dxa"/>
            <w:tcBorders/>
            <w:vAlign w:val="bottom"/>
          </w:tcPr>
          <w:p>
            <w:pPr>
              <w:pStyle w:val="Normal"/>
              <w:snapToGrid w:val="false"/>
              <w:rPr>
                <w:rFonts w:ascii="Arial" w:hAnsi="Arial" w:eastAsia="Arial Unicode MS;Tahoma" w:cs="Arial"/>
                <w:b/>
                <w:bCs/>
                <w:sz w:val="18"/>
                <w:szCs w:val="18"/>
                <w:u w:val="double"/>
              </w:rPr>
            </w:pPr>
            <w:r>
              <w:rPr>
                <w:rFonts w:eastAsia="Arial Unicode MS;Tahoma" w:cs="Arial" w:ascii="Arial" w:hAnsi="Arial"/>
                <w:b/>
                <w:bCs/>
                <w:sz w:val="18"/>
                <w:szCs w:val="18"/>
                <w:u w:val="double"/>
              </w:rPr>
            </w:r>
          </w:p>
        </w:tc>
        <w:tc>
          <w:tcPr>
            <w:tcW w:w="630" w:type="dxa"/>
            <w:tcBorders/>
            <w:vAlign w:val="bottom"/>
          </w:tcPr>
          <w:p>
            <w:pPr>
              <w:pStyle w:val="Normal"/>
              <w:jc w:val="end"/>
              <w:rPr>
                <w:rFonts w:ascii="Arial" w:hAnsi="Arial" w:eastAsia="Arial Unicode MS;Tahoma" w:cs="Arial"/>
                <w:sz w:val="18"/>
                <w:szCs w:val="18"/>
              </w:rPr>
            </w:pPr>
            <w:r>
              <w:rPr>
                <w:rFonts w:cs="Arial" w:ascii="Arial" w:hAnsi="Arial"/>
                <w:sz w:val="18"/>
                <w:szCs w:val="18"/>
              </w:rPr>
              <w:t>Jun-01</w:t>
            </w:r>
          </w:p>
        </w:tc>
        <w:tc>
          <w:tcPr>
            <w:tcW w:w="180" w:type="dxa"/>
            <w:tcBorders/>
            <w:vAlign w:val="bottom"/>
          </w:tcPr>
          <w:p>
            <w:pPr>
              <w:pStyle w:val="Normal"/>
              <w:rPr>
                <w:rFonts w:ascii="Arial" w:hAnsi="Arial" w:eastAsia="Arial Unicode MS;Tahoma" w:cs="Arial"/>
                <w:sz w:val="18"/>
                <w:szCs w:val="18"/>
              </w:rPr>
            </w:pPr>
            <w:r>
              <w:rPr>
                <w:rFonts w:eastAsia="Arial Unicode MS;Tahoma" w:cs="Arial" w:ascii="Arial" w:hAnsi="Arial"/>
                <w:strike/>
                <w:sz w:val="18"/>
                <w:szCs w:val="18"/>
              </w:rPr>
              <w:t> </w:t>
            </w:r>
          </w:p>
        </w:tc>
        <w:tc>
          <w:tcPr>
            <w:tcW w:w="720" w:type="dxa"/>
            <w:tcBorders/>
            <w:vAlign w:val="bottom"/>
          </w:tcPr>
          <w:p>
            <w:pPr>
              <w:pStyle w:val="Normal"/>
              <w:jc w:val="end"/>
              <w:rPr>
                <w:rFonts w:ascii="Arial" w:hAnsi="Arial" w:eastAsia="Arial Unicode MS;Tahoma" w:cs="Arial"/>
                <w:sz w:val="18"/>
                <w:szCs w:val="18"/>
              </w:rPr>
            </w:pPr>
            <w:r>
              <w:rPr>
                <w:rFonts w:cs="Arial" w:ascii="Arial" w:hAnsi="Arial"/>
                <w:sz w:val="18"/>
                <w:szCs w:val="18"/>
              </w:rPr>
              <w:t>May-02</w:t>
            </w:r>
          </w:p>
        </w:tc>
        <w:tc>
          <w:tcPr>
            <w:tcW w:w="1080" w:type="dxa"/>
            <w:tcBorders/>
            <w:vAlign w:val="bottom"/>
          </w:tcPr>
          <w:p>
            <w:pPr>
              <w:pStyle w:val="Normal"/>
              <w:rPr>
                <w:rFonts w:ascii="Arial" w:hAnsi="Arial" w:eastAsia="Arial Unicode MS;Tahoma" w:cs="Arial"/>
                <w:sz w:val="18"/>
                <w:szCs w:val="18"/>
              </w:rPr>
            </w:pPr>
            <w:r>
              <w:rPr>
                <w:rFonts w:cs="Arial" w:ascii="Arial" w:hAnsi="Arial"/>
                <w:sz w:val="18"/>
                <w:szCs w:val="18"/>
              </w:rPr>
              <w:t>V60634</w:t>
            </w:r>
          </w:p>
        </w:tc>
        <w:tc>
          <w:tcPr>
            <w:tcW w:w="180" w:type="dxa"/>
            <w:tcBorders/>
            <w:vAlign w:val="bottom"/>
          </w:tcPr>
          <w:p>
            <w:pPr>
              <w:pStyle w:val="Normal"/>
              <w:rPr>
                <w:rFonts w:ascii="Arial" w:hAnsi="Arial" w:eastAsia="Arial Unicode MS;Tahoma" w:cs="Arial"/>
                <w:sz w:val="18"/>
                <w:szCs w:val="18"/>
              </w:rPr>
            </w:pPr>
            <w:r>
              <w:rPr>
                <w:rFonts w:eastAsia="Arial Unicode MS;Tahoma" w:cs="Arial" w:ascii="Arial" w:hAnsi="Arial"/>
                <w:strike/>
                <w:sz w:val="18"/>
                <w:szCs w:val="18"/>
              </w:rPr>
              <w:t> </w:t>
            </w:r>
          </w:p>
        </w:tc>
        <w:tc>
          <w:tcPr>
            <w:tcW w:w="1260" w:type="dxa"/>
            <w:tcBorders/>
            <w:vAlign w:val="bottom"/>
          </w:tcPr>
          <w:p>
            <w:pPr>
              <w:pStyle w:val="Normal"/>
              <w:rPr>
                <w:rFonts w:ascii="Arial" w:hAnsi="Arial" w:eastAsia="Arial Unicode MS;Tahoma" w:cs="Arial"/>
                <w:sz w:val="18"/>
                <w:szCs w:val="18"/>
              </w:rPr>
            </w:pPr>
            <w:r>
              <w:rPr>
                <w:rFonts w:cs="Arial" w:ascii="Arial" w:hAnsi="Arial"/>
                <w:sz w:val="18"/>
                <w:szCs w:val="18"/>
              </w:rPr>
              <w:t>Sell</w:t>
            </w:r>
          </w:p>
        </w:tc>
        <w:tc>
          <w:tcPr>
            <w:tcW w:w="1440" w:type="dxa"/>
            <w:tcBorders/>
            <w:vAlign w:val="bottom"/>
          </w:tcPr>
          <w:p>
            <w:pPr>
              <w:pStyle w:val="Normal"/>
              <w:rPr>
                <w:rFonts w:ascii="Arial" w:hAnsi="Arial" w:eastAsia="Arial Unicode MS;Tahoma" w:cs="Arial"/>
                <w:sz w:val="18"/>
                <w:szCs w:val="18"/>
              </w:rPr>
            </w:pPr>
            <w:r>
              <w:rPr>
                <w:rFonts w:cs="Arial" w:ascii="Arial" w:hAnsi="Arial"/>
                <w:sz w:val="18"/>
                <w:szCs w:val="18"/>
              </w:rPr>
              <w:t>Buy</w:t>
            </w:r>
          </w:p>
        </w:tc>
        <w:tc>
          <w:tcPr>
            <w:tcW w:w="720" w:type="dxa"/>
            <w:tcBorders/>
            <w:vAlign w:val="bottom"/>
          </w:tcPr>
          <w:p>
            <w:pPr>
              <w:pStyle w:val="Normal"/>
              <w:rPr>
                <w:rFonts w:ascii="Arial" w:hAnsi="Arial" w:eastAsia="Arial Unicode MS;Tahoma" w:cs="Arial"/>
                <w:sz w:val="18"/>
                <w:szCs w:val="18"/>
              </w:rPr>
            </w:pPr>
            <w:r>
              <w:rPr>
                <w:rFonts w:cs="Arial" w:ascii="Arial" w:hAnsi="Arial"/>
                <w:sz w:val="18"/>
                <w:szCs w:val="18"/>
              </w:rPr>
              <w:t>Put</w:t>
            </w:r>
          </w:p>
        </w:tc>
        <w:tc>
          <w:tcPr>
            <w:tcW w:w="990" w:type="dxa"/>
            <w:tcBorders/>
            <w:vAlign w:val="bottom"/>
          </w:tcPr>
          <w:p>
            <w:pPr>
              <w:pStyle w:val="Normal"/>
              <w:rPr>
                <w:rFonts w:ascii="Arial" w:hAnsi="Arial" w:eastAsia="Arial Unicode MS;Tahoma" w:cs="Arial"/>
                <w:sz w:val="18"/>
                <w:szCs w:val="18"/>
              </w:rPr>
            </w:pPr>
            <w:r>
              <w:rPr>
                <w:rFonts w:cs="Arial" w:ascii="Arial" w:hAnsi="Arial"/>
                <w:sz w:val="18"/>
                <w:szCs w:val="18"/>
              </w:rPr>
              <w:t>Yes</w:t>
            </w:r>
          </w:p>
        </w:tc>
      </w:tr>
    </w:tbl>
    <w:p>
      <w:pPr>
        <w:sectPr>
          <w:headerReference w:type="default" r:id="rId12"/>
          <w:headerReference w:type="first" r:id="rId13"/>
          <w:footerReference w:type="default" r:id="rId14"/>
          <w:footerReference w:type="first" r:id="rId15"/>
          <w:type w:val="nextPage"/>
          <w:pgSz w:orient="landscape" w:w="15840" w:h="12240"/>
          <w:pgMar w:left="288" w:right="288" w:gutter="0" w:header="720" w:top="1440" w:footer="720" w:bottom="1440"/>
          <w:pgNumType w:fmt="decimal"/>
          <w:formProt w:val="false"/>
          <w:textDirection w:val="lrTb"/>
          <w:docGrid w:type="default" w:linePitch="360" w:charSpace="0"/>
        </w:sectPr>
        <w:pStyle w:val="VEBodyText"/>
        <w:rPr/>
      </w:pPr>
      <w:r>
        <w:rPr/>
      </w:r>
    </w:p>
    <w:p>
      <w:pPr>
        <w:pStyle w:val="VEBodyText"/>
        <w:jc w:val="center"/>
        <w:rPr>
          <w:b/>
          <w:bCs/>
        </w:rPr>
      </w:pPr>
      <w:r>
        <w:rPr>
          <w:b/>
          <w:bCs/>
        </w:rPr>
        <w:t xml:space="preserve">APPENDIX </w:t>
      </w:r>
      <w:r>
        <w:rPr>
          <w:b/>
          <w:bCs/>
          <w:strike/>
        </w:rPr>
        <w:t>14.9(b)</w:t>
      </w:r>
      <w:r>
        <w:rPr>
          <w:b/>
          <w:bCs/>
        </w:rPr>
        <w:t xml:space="preserve"> </w:t>
      </w:r>
      <w:r>
        <w:rPr>
          <w:b/>
          <w:bCs/>
          <w:u w:val="double"/>
        </w:rPr>
        <w:t>4.19(b)</w:t>
      </w:r>
    </w:p>
    <w:p>
      <w:pPr>
        <w:pStyle w:val="Normal"/>
        <w:jc w:val="center"/>
        <w:rPr>
          <w:b/>
          <w:bCs/>
        </w:rPr>
      </w:pPr>
      <w:r>
        <w:rPr>
          <w:b/>
          <w:bCs/>
        </w:rPr>
      </w:r>
    </w:p>
    <w:p>
      <w:pPr>
        <w:pStyle w:val="Normal"/>
        <w:jc w:val="center"/>
        <w:rPr>
          <w:b/>
          <w:bCs/>
        </w:rPr>
      </w:pPr>
      <w:r>
        <w:rPr/>
        <w:t>See attached.</w:t>
      </w:r>
      <w:r>
        <w:rPr>
          <w:b/>
          <w:bCs/>
        </w:rPr>
        <w:t xml:space="preserve">APPENDIX </w:t>
      </w:r>
      <w:r>
        <w:rPr>
          <w:b/>
          <w:bCs/>
          <w:strike/>
        </w:rPr>
        <w:t>4.19(C)</w:t>
      </w:r>
      <w:r>
        <w:rPr>
          <w:b/>
          <w:bCs/>
        </w:rPr>
        <w:t xml:space="preserve"> </w:t>
      </w:r>
      <w:r>
        <w:rPr>
          <w:b/>
          <w:bCs/>
          <w:u w:val="double"/>
        </w:rPr>
        <w:t>4.19(c)</w:t>
      </w:r>
    </w:p>
    <w:p>
      <w:pPr>
        <w:pStyle w:val="Normal"/>
        <w:jc w:val="center"/>
        <w:rPr>
          <w:b/>
          <w:bCs/>
        </w:rPr>
      </w:pPr>
      <w:r>
        <w:rPr>
          <w:b/>
          <w:bCs/>
        </w:rPr>
      </w:r>
    </w:p>
    <w:tbl>
      <w:tblPr>
        <w:tblW w:w="8758" w:type="dxa"/>
        <w:jc w:val="start"/>
        <w:tblInd w:w="0" w:type="dxa"/>
        <w:tblLayout w:type="fixed"/>
        <w:tblCellMar>
          <w:top w:w="16" w:type="dxa"/>
          <w:start w:w="16" w:type="dxa"/>
          <w:bottom w:w="0" w:type="dxa"/>
          <w:end w:w="16" w:type="dxa"/>
        </w:tblCellMar>
      </w:tblPr>
      <w:tblGrid>
        <w:gridCol w:w="980"/>
        <w:gridCol w:w="4478"/>
        <w:gridCol w:w="3300"/>
      </w:tblGrid>
      <w:tr>
        <w:trPr>
          <w:trHeight w:val="276" w:hRule="atLeast"/>
        </w:trPr>
        <w:tc>
          <w:tcPr>
            <w:tcW w:w="980" w:type="dxa"/>
            <w:tcBorders/>
            <w:vAlign w:val="bottom"/>
          </w:tcPr>
          <w:p>
            <w:pPr>
              <w:pStyle w:val="Normal"/>
              <w:snapToGrid w:val="false"/>
              <w:jc w:val="center"/>
              <w:rPr>
                <w:rFonts w:ascii="Arial" w:hAnsi="Arial" w:cs="Arial"/>
                <w:b/>
                <w:bCs/>
                <w:sz w:val="22"/>
                <w:szCs w:val="22"/>
              </w:rPr>
            </w:pPr>
            <w:r>
              <w:rPr>
                <w:rFonts w:cs="Arial" w:ascii="Arial" w:hAnsi="Arial"/>
                <w:b/>
                <w:bCs/>
                <w:sz w:val="22"/>
                <w:szCs w:val="22"/>
              </w:rPr>
            </w:r>
          </w:p>
        </w:tc>
        <w:tc>
          <w:tcPr>
            <w:tcW w:w="4478" w:type="dxa"/>
            <w:tcBorders/>
            <w:vAlign w:val="bottom"/>
          </w:tcPr>
          <w:p>
            <w:pPr>
              <w:pStyle w:val="Normal"/>
              <w:snapToGrid w:val="false"/>
              <w:jc w:val="center"/>
              <w:rPr>
                <w:rFonts w:ascii="Arial" w:hAnsi="Arial" w:cs="Arial"/>
                <w:b/>
                <w:bCs/>
                <w:sz w:val="22"/>
                <w:szCs w:val="22"/>
              </w:rPr>
            </w:pPr>
            <w:r>
              <w:rPr>
                <w:rFonts w:cs="Arial" w:ascii="Arial" w:hAnsi="Arial"/>
                <w:b/>
                <w:bCs/>
                <w:sz w:val="22"/>
                <w:szCs w:val="22"/>
              </w:rPr>
            </w:r>
          </w:p>
        </w:tc>
        <w:tc>
          <w:tcPr>
            <w:tcW w:w="3300" w:type="dxa"/>
            <w:tcBorders/>
            <w:vAlign w:val="bottom"/>
          </w:tcPr>
          <w:p>
            <w:pPr>
              <w:pStyle w:val="Normal"/>
              <w:snapToGrid w:val="false"/>
              <w:jc w:val="center"/>
              <w:rPr>
                <w:rFonts w:ascii="Arial" w:hAnsi="Arial" w:cs="Arial"/>
                <w:b/>
                <w:bCs/>
                <w:sz w:val="22"/>
                <w:szCs w:val="22"/>
              </w:rPr>
            </w:pPr>
            <w:r>
              <w:rPr>
                <w:rFonts w:cs="Arial" w:ascii="Arial" w:hAnsi="Arial"/>
                <w:b/>
                <w:bCs/>
                <w:sz w:val="22"/>
                <w:szCs w:val="22"/>
              </w:rPr>
            </w:r>
          </w:p>
        </w:tc>
      </w:tr>
      <w:tr>
        <w:trPr>
          <w:trHeight w:val="276" w:hRule="atLeast"/>
        </w:trPr>
        <w:tc>
          <w:tcPr>
            <w:tcW w:w="980" w:type="dxa"/>
            <w:tcBorders>
              <w:bottom w:val="single" w:sz="4" w:space="0" w:color="000000"/>
            </w:tcBorders>
            <w:vAlign w:val="bottom"/>
          </w:tcPr>
          <w:p>
            <w:pPr>
              <w:pStyle w:val="Normal"/>
              <w:jc w:val="center"/>
              <w:rPr>
                <w:rFonts w:ascii="Arial" w:hAnsi="Arial" w:cs="Arial"/>
                <w:b/>
                <w:bCs/>
                <w:sz w:val="22"/>
                <w:szCs w:val="22"/>
              </w:rPr>
            </w:pPr>
            <w:r>
              <w:rPr>
                <w:rFonts w:cs="Arial" w:ascii="Arial" w:hAnsi="Arial"/>
                <w:b/>
                <w:bCs/>
                <w:sz w:val="22"/>
                <w:szCs w:val="22"/>
              </w:rPr>
              <w:t>K #</w:t>
            </w:r>
          </w:p>
        </w:tc>
        <w:tc>
          <w:tcPr>
            <w:tcW w:w="4478" w:type="dxa"/>
            <w:tcBorders>
              <w:bottom w:val="single" w:sz="4" w:space="0" w:color="000000"/>
            </w:tcBorders>
            <w:vAlign w:val="bottom"/>
          </w:tcPr>
          <w:p>
            <w:pPr>
              <w:pStyle w:val="Normal"/>
              <w:jc w:val="center"/>
              <w:rPr>
                <w:rFonts w:ascii="Arial" w:hAnsi="Arial" w:cs="Arial"/>
                <w:b/>
                <w:bCs/>
                <w:sz w:val="22"/>
                <w:szCs w:val="22"/>
              </w:rPr>
            </w:pPr>
            <w:r>
              <w:rPr>
                <w:rFonts w:cs="Arial" w:ascii="Arial" w:hAnsi="Arial"/>
                <w:b/>
                <w:bCs/>
                <w:sz w:val="22"/>
                <w:szCs w:val="22"/>
              </w:rPr>
              <w:t>CONTRACT TYPE</w:t>
            </w:r>
          </w:p>
        </w:tc>
        <w:tc>
          <w:tcPr>
            <w:tcW w:w="3300" w:type="dxa"/>
            <w:tcBorders>
              <w:bottom w:val="single" w:sz="4" w:space="0" w:color="000000"/>
            </w:tcBorders>
            <w:vAlign w:val="bottom"/>
          </w:tcPr>
          <w:p>
            <w:pPr>
              <w:pStyle w:val="Normal"/>
              <w:jc w:val="center"/>
              <w:rPr>
                <w:rFonts w:ascii="Arial" w:hAnsi="Arial" w:cs="Arial"/>
                <w:b/>
                <w:bCs/>
                <w:sz w:val="22"/>
                <w:szCs w:val="22"/>
              </w:rPr>
            </w:pPr>
            <w:r>
              <w:rPr>
                <w:rFonts w:cs="Arial" w:ascii="Arial" w:hAnsi="Arial"/>
                <w:b/>
                <w:bCs/>
                <w:sz w:val="22"/>
                <w:szCs w:val="22"/>
              </w:rPr>
              <w:t>COUNTERPARTY NAME</w:t>
            </w:r>
          </w:p>
        </w:tc>
      </w:tr>
      <w:tr>
        <w:trPr>
          <w:trHeight w:val="135" w:hRule="atLeast"/>
        </w:trPr>
        <w:tc>
          <w:tcPr>
            <w:tcW w:w="980" w:type="dxa"/>
            <w:tcBorders/>
            <w:vAlign w:val="bottom"/>
          </w:tcPr>
          <w:p>
            <w:pPr>
              <w:pStyle w:val="Normal"/>
              <w:snapToGrid w:val="false"/>
              <w:jc w:val="center"/>
              <w:rPr>
                <w:rFonts w:ascii="Arial" w:hAnsi="Arial" w:cs="Arial"/>
                <w:b/>
                <w:bCs/>
                <w:sz w:val="20"/>
                <w:szCs w:val="20"/>
              </w:rPr>
            </w:pPr>
            <w:r>
              <w:rPr>
                <w:rFonts w:cs="Arial" w:ascii="Arial" w:hAnsi="Arial"/>
                <w:b/>
                <w:bCs/>
                <w:sz w:val="20"/>
                <w:szCs w:val="20"/>
              </w:rPr>
            </w:r>
          </w:p>
        </w:tc>
        <w:tc>
          <w:tcPr>
            <w:tcW w:w="4478"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3300"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r>
      <w:tr>
        <w:trPr>
          <w:trHeight w:val="270" w:hRule="atLeast"/>
        </w:trPr>
        <w:tc>
          <w:tcPr>
            <w:tcW w:w="8758" w:type="dxa"/>
            <w:gridSpan w:val="3"/>
            <w:tcBorders/>
            <w:vAlign w:val="bottom"/>
          </w:tcPr>
          <w:p>
            <w:pPr>
              <w:pStyle w:val="Normal"/>
              <w:rPr>
                <w:rFonts w:ascii="Arial" w:hAnsi="Arial" w:cs="Arial"/>
                <w:b/>
                <w:bCs/>
              </w:rPr>
            </w:pPr>
            <w:r>
              <w:rPr>
                <w:rFonts w:cs="Arial" w:ascii="Arial" w:hAnsi="Arial"/>
                <w:b/>
                <w:bCs/>
              </w:rPr>
              <w:t>THESE CONTRACTS WILL REMAIN IN PLACE</w:t>
            </w:r>
          </w:p>
        </w:tc>
      </w:tr>
      <w:tr>
        <w:trPr>
          <w:trHeight w:val="264" w:hRule="atLeast"/>
        </w:trPr>
        <w:tc>
          <w:tcPr>
            <w:tcW w:w="980" w:type="dxa"/>
            <w:tcBorders/>
            <w:vAlign w:val="bottom"/>
          </w:tcPr>
          <w:p>
            <w:pPr>
              <w:pStyle w:val="Normal"/>
              <w:jc w:val="center"/>
              <w:rPr>
                <w:rFonts w:ascii="Arial" w:hAnsi="Arial" w:cs="Arial"/>
                <w:sz w:val="20"/>
                <w:szCs w:val="20"/>
              </w:rPr>
            </w:pPr>
            <w:r>
              <w:rPr>
                <w:rFonts w:cs="Arial" w:ascii="Arial" w:hAnsi="Arial"/>
                <w:sz w:val="20"/>
                <w:szCs w:val="20"/>
              </w:rPr>
              <w:t>96013414</w:t>
            </w:r>
          </w:p>
        </w:tc>
        <w:tc>
          <w:tcPr>
            <w:tcW w:w="4478" w:type="dxa"/>
            <w:tcBorders/>
            <w:vAlign w:val="bottom"/>
          </w:tcPr>
          <w:p>
            <w:pPr>
              <w:pStyle w:val="Normal"/>
              <w:jc w:val="center"/>
              <w:rPr>
                <w:rFonts w:ascii="Arial" w:hAnsi="Arial" w:cs="Arial"/>
                <w:sz w:val="20"/>
                <w:szCs w:val="20"/>
              </w:rPr>
            </w:pPr>
            <w:r>
              <w:rPr>
                <w:rFonts w:cs="Arial" w:ascii="Arial" w:hAnsi="Arial"/>
                <w:sz w:val="20"/>
                <w:szCs w:val="20"/>
              </w:rPr>
              <w:t>Master Purchase Sale Firm</w:t>
            </w:r>
          </w:p>
        </w:tc>
        <w:tc>
          <w:tcPr>
            <w:tcW w:w="3300" w:type="dxa"/>
            <w:tcBorders/>
            <w:vAlign w:val="bottom"/>
          </w:tcPr>
          <w:p>
            <w:pPr>
              <w:pStyle w:val="Normal"/>
              <w:jc w:val="center"/>
              <w:rPr>
                <w:rFonts w:ascii="Arial" w:hAnsi="Arial" w:cs="Arial"/>
                <w:sz w:val="20"/>
                <w:szCs w:val="20"/>
              </w:rPr>
            </w:pPr>
            <w:r>
              <w:rPr>
                <w:rFonts w:cs="Arial" w:ascii="Arial" w:hAnsi="Arial"/>
                <w:sz w:val="20"/>
                <w:szCs w:val="20"/>
              </w:rPr>
              <w:t>EGP Fuels Company</w:t>
            </w:r>
          </w:p>
        </w:tc>
      </w:tr>
      <w:tr>
        <w:trPr>
          <w:trHeight w:val="264" w:hRule="atLeast"/>
        </w:trPr>
        <w:tc>
          <w:tcPr>
            <w:tcW w:w="980" w:type="dxa"/>
            <w:tcBorders/>
            <w:vAlign w:val="bottom"/>
          </w:tcPr>
          <w:p>
            <w:pPr>
              <w:pStyle w:val="Normal"/>
              <w:jc w:val="center"/>
              <w:rPr>
                <w:rFonts w:ascii="Arial" w:hAnsi="Arial" w:cs="Arial"/>
                <w:sz w:val="20"/>
                <w:szCs w:val="20"/>
              </w:rPr>
            </w:pPr>
            <w:r>
              <w:rPr>
                <w:rFonts w:cs="Arial" w:ascii="Arial" w:hAnsi="Arial"/>
                <w:sz w:val="20"/>
                <w:szCs w:val="20"/>
              </w:rPr>
              <w:t>96018826</w:t>
            </w:r>
          </w:p>
        </w:tc>
        <w:tc>
          <w:tcPr>
            <w:tcW w:w="4478" w:type="dxa"/>
            <w:tcBorders/>
            <w:vAlign w:val="bottom"/>
          </w:tcPr>
          <w:p>
            <w:pPr>
              <w:pStyle w:val="Normal"/>
              <w:jc w:val="center"/>
              <w:rPr>
                <w:rFonts w:ascii="Arial" w:hAnsi="Arial" w:cs="Arial"/>
                <w:sz w:val="20"/>
                <w:szCs w:val="20"/>
              </w:rPr>
            </w:pPr>
            <w:r>
              <w:rPr>
                <w:rFonts w:cs="Arial" w:ascii="Arial" w:hAnsi="Arial"/>
                <w:sz w:val="20"/>
                <w:szCs w:val="20"/>
              </w:rPr>
              <w:t>BuyBack</w:t>
            </w:r>
          </w:p>
        </w:tc>
        <w:tc>
          <w:tcPr>
            <w:tcW w:w="3300" w:type="dxa"/>
            <w:tcBorders/>
            <w:vAlign w:val="bottom"/>
          </w:tcPr>
          <w:p>
            <w:pPr>
              <w:pStyle w:val="Normal"/>
              <w:jc w:val="center"/>
              <w:rPr>
                <w:rFonts w:ascii="Arial" w:hAnsi="Arial" w:cs="Arial"/>
                <w:sz w:val="20"/>
                <w:szCs w:val="20"/>
              </w:rPr>
            </w:pPr>
            <w:r>
              <w:rPr>
                <w:rFonts w:cs="Arial" w:ascii="Arial" w:hAnsi="Arial"/>
                <w:sz w:val="20"/>
                <w:szCs w:val="20"/>
              </w:rPr>
              <w:t>EGP Fuels Company</w:t>
            </w:r>
          </w:p>
        </w:tc>
      </w:tr>
      <w:tr>
        <w:trPr>
          <w:trHeight w:val="264" w:hRule="atLeast"/>
        </w:trPr>
        <w:tc>
          <w:tcPr>
            <w:tcW w:w="980" w:type="dxa"/>
            <w:tcBorders/>
            <w:vAlign w:val="bottom"/>
          </w:tcPr>
          <w:p>
            <w:pPr>
              <w:pStyle w:val="Normal"/>
              <w:jc w:val="center"/>
              <w:rPr>
                <w:rFonts w:ascii="Arial" w:hAnsi="Arial" w:cs="Arial"/>
                <w:sz w:val="20"/>
                <w:szCs w:val="20"/>
              </w:rPr>
            </w:pPr>
            <w:r>
              <w:rPr>
                <w:rFonts w:cs="Arial" w:ascii="Arial" w:hAnsi="Arial"/>
                <w:sz w:val="20"/>
                <w:szCs w:val="20"/>
              </w:rPr>
              <w:t>96023787</w:t>
            </w:r>
          </w:p>
        </w:tc>
        <w:tc>
          <w:tcPr>
            <w:tcW w:w="4478" w:type="dxa"/>
            <w:tcBorders/>
            <w:vAlign w:val="bottom"/>
          </w:tcPr>
          <w:p>
            <w:pPr>
              <w:pStyle w:val="Normal"/>
              <w:jc w:val="center"/>
              <w:rPr>
                <w:rFonts w:ascii="Arial" w:hAnsi="Arial" w:cs="Arial"/>
                <w:sz w:val="20"/>
                <w:szCs w:val="20"/>
              </w:rPr>
            </w:pPr>
            <w:r>
              <w:rPr>
                <w:rFonts w:cs="Arial" w:ascii="Arial" w:hAnsi="Arial"/>
                <w:sz w:val="20"/>
                <w:szCs w:val="20"/>
              </w:rPr>
              <w:t>Netting Agreement</w:t>
            </w:r>
          </w:p>
        </w:tc>
        <w:tc>
          <w:tcPr>
            <w:tcW w:w="3300" w:type="dxa"/>
            <w:tcBorders/>
            <w:vAlign w:val="bottom"/>
          </w:tcPr>
          <w:p>
            <w:pPr>
              <w:pStyle w:val="Normal"/>
              <w:jc w:val="center"/>
              <w:rPr>
                <w:rFonts w:ascii="Arial" w:hAnsi="Arial" w:cs="Arial"/>
                <w:sz w:val="20"/>
                <w:szCs w:val="20"/>
              </w:rPr>
            </w:pPr>
            <w:r>
              <w:rPr>
                <w:rFonts w:cs="Arial" w:ascii="Arial" w:hAnsi="Arial"/>
                <w:sz w:val="20"/>
                <w:szCs w:val="20"/>
              </w:rPr>
              <w:t>EGP Fuels Company</w:t>
            </w:r>
          </w:p>
        </w:tc>
      </w:tr>
      <w:tr>
        <w:trPr>
          <w:trHeight w:val="264" w:hRule="atLeast"/>
        </w:trPr>
        <w:tc>
          <w:tcPr>
            <w:tcW w:w="980" w:type="dxa"/>
            <w:tcBorders/>
            <w:vAlign w:val="bottom"/>
          </w:tcPr>
          <w:p>
            <w:pPr>
              <w:pStyle w:val="Normal"/>
              <w:jc w:val="center"/>
              <w:rPr>
                <w:rFonts w:ascii="Arial" w:hAnsi="Arial" w:cs="Arial"/>
                <w:sz w:val="20"/>
                <w:szCs w:val="20"/>
              </w:rPr>
            </w:pPr>
            <w:r>
              <w:rPr>
                <w:rFonts w:cs="Arial" w:ascii="Arial" w:hAnsi="Arial"/>
                <w:sz w:val="20"/>
                <w:szCs w:val="20"/>
              </w:rPr>
              <w:t>96040141</w:t>
            </w:r>
          </w:p>
        </w:tc>
        <w:tc>
          <w:tcPr>
            <w:tcW w:w="4478" w:type="dxa"/>
            <w:tcBorders/>
            <w:vAlign w:val="bottom"/>
          </w:tcPr>
          <w:p>
            <w:pPr>
              <w:pStyle w:val="Normal"/>
              <w:jc w:val="center"/>
              <w:rPr>
                <w:rFonts w:ascii="Arial" w:hAnsi="Arial" w:cs="Arial"/>
                <w:sz w:val="20"/>
                <w:szCs w:val="20"/>
              </w:rPr>
            </w:pPr>
            <w:r>
              <w:rPr>
                <w:rFonts w:cs="Arial" w:ascii="Arial" w:hAnsi="Arial"/>
                <w:sz w:val="20"/>
                <w:szCs w:val="20"/>
              </w:rPr>
              <w:t>Netting Agreement</w:t>
            </w:r>
          </w:p>
        </w:tc>
        <w:tc>
          <w:tcPr>
            <w:tcW w:w="3300" w:type="dxa"/>
            <w:tcBorders/>
            <w:vAlign w:val="bottom"/>
          </w:tcPr>
          <w:p>
            <w:pPr>
              <w:pStyle w:val="Normal"/>
              <w:jc w:val="center"/>
              <w:rPr>
                <w:rFonts w:ascii="Arial" w:hAnsi="Arial" w:cs="Arial"/>
                <w:sz w:val="20"/>
                <w:szCs w:val="20"/>
              </w:rPr>
            </w:pPr>
            <w:r>
              <w:rPr>
                <w:rFonts w:cs="Arial" w:ascii="Arial" w:hAnsi="Arial"/>
                <w:sz w:val="20"/>
                <w:szCs w:val="20"/>
              </w:rPr>
              <w:t>HPL Resources Liquids Division</w:t>
            </w:r>
          </w:p>
        </w:tc>
      </w:tr>
      <w:tr>
        <w:trPr>
          <w:trHeight w:val="264" w:hRule="atLeast"/>
        </w:trPr>
        <w:tc>
          <w:tcPr>
            <w:tcW w:w="980" w:type="dxa"/>
            <w:tcBorders/>
            <w:vAlign w:val="bottom"/>
          </w:tcPr>
          <w:p>
            <w:pPr>
              <w:pStyle w:val="Normal"/>
              <w:jc w:val="center"/>
              <w:rPr>
                <w:rFonts w:ascii="Arial" w:hAnsi="Arial" w:cs="Arial"/>
                <w:sz w:val="20"/>
                <w:szCs w:val="20"/>
              </w:rPr>
            </w:pPr>
            <w:r>
              <w:rPr>
                <w:rFonts w:cs="Arial" w:ascii="Arial" w:hAnsi="Arial"/>
                <w:sz w:val="20"/>
                <w:szCs w:val="20"/>
              </w:rPr>
              <w:t>96018827</w:t>
            </w:r>
          </w:p>
        </w:tc>
        <w:tc>
          <w:tcPr>
            <w:tcW w:w="4478" w:type="dxa"/>
            <w:tcBorders/>
            <w:vAlign w:val="bottom"/>
          </w:tcPr>
          <w:p>
            <w:pPr>
              <w:pStyle w:val="Normal"/>
              <w:jc w:val="center"/>
              <w:rPr>
                <w:rFonts w:ascii="Arial" w:hAnsi="Arial" w:cs="Arial"/>
                <w:sz w:val="20"/>
                <w:szCs w:val="20"/>
              </w:rPr>
            </w:pPr>
            <w:r>
              <w:rPr>
                <w:rFonts w:cs="Arial" w:ascii="Arial" w:hAnsi="Arial"/>
                <w:sz w:val="20"/>
                <w:szCs w:val="20"/>
              </w:rPr>
              <w:t>BuyBack</w:t>
            </w:r>
          </w:p>
        </w:tc>
        <w:tc>
          <w:tcPr>
            <w:tcW w:w="3300" w:type="dxa"/>
            <w:tcBorders/>
            <w:vAlign w:val="bottom"/>
          </w:tcPr>
          <w:p>
            <w:pPr>
              <w:pStyle w:val="Normal"/>
              <w:jc w:val="center"/>
              <w:rPr>
                <w:rFonts w:ascii="Arial" w:hAnsi="Arial" w:cs="Arial"/>
                <w:sz w:val="20"/>
                <w:szCs w:val="20"/>
              </w:rPr>
            </w:pPr>
            <w:r>
              <w:rPr>
                <w:rFonts w:cs="Arial" w:ascii="Arial" w:hAnsi="Arial"/>
                <w:sz w:val="20"/>
                <w:szCs w:val="20"/>
              </w:rPr>
              <w:t>Enron Methanol Company</w:t>
            </w:r>
          </w:p>
        </w:tc>
      </w:tr>
      <w:tr>
        <w:trPr>
          <w:trHeight w:val="264" w:hRule="atLeast"/>
        </w:trPr>
        <w:tc>
          <w:tcPr>
            <w:tcW w:w="980" w:type="dxa"/>
            <w:tcBorders/>
            <w:vAlign w:val="bottom"/>
          </w:tcPr>
          <w:p>
            <w:pPr>
              <w:pStyle w:val="Normal"/>
              <w:jc w:val="center"/>
              <w:rPr>
                <w:rFonts w:ascii="Arial" w:hAnsi="Arial" w:cs="Arial"/>
                <w:sz w:val="20"/>
                <w:szCs w:val="20"/>
              </w:rPr>
            </w:pPr>
            <w:r>
              <w:rPr>
                <w:rFonts w:cs="Arial" w:ascii="Arial" w:hAnsi="Arial"/>
                <w:sz w:val="20"/>
                <w:szCs w:val="20"/>
              </w:rPr>
              <w:t>96023792</w:t>
            </w:r>
          </w:p>
        </w:tc>
        <w:tc>
          <w:tcPr>
            <w:tcW w:w="4478" w:type="dxa"/>
            <w:tcBorders/>
            <w:vAlign w:val="bottom"/>
          </w:tcPr>
          <w:p>
            <w:pPr>
              <w:pStyle w:val="Normal"/>
              <w:jc w:val="center"/>
              <w:rPr>
                <w:rFonts w:ascii="Arial" w:hAnsi="Arial" w:cs="Arial"/>
                <w:sz w:val="20"/>
                <w:szCs w:val="20"/>
              </w:rPr>
            </w:pPr>
            <w:r>
              <w:rPr>
                <w:rFonts w:cs="Arial" w:ascii="Arial" w:hAnsi="Arial"/>
                <w:sz w:val="20"/>
                <w:szCs w:val="20"/>
              </w:rPr>
              <w:t>BuyBack</w:t>
            </w:r>
          </w:p>
        </w:tc>
        <w:tc>
          <w:tcPr>
            <w:tcW w:w="3300" w:type="dxa"/>
            <w:tcBorders/>
            <w:vAlign w:val="bottom"/>
          </w:tcPr>
          <w:p>
            <w:pPr>
              <w:pStyle w:val="Normal"/>
              <w:jc w:val="center"/>
              <w:rPr>
                <w:rFonts w:ascii="Arial" w:hAnsi="Arial" w:cs="Arial"/>
                <w:sz w:val="20"/>
                <w:szCs w:val="20"/>
              </w:rPr>
            </w:pPr>
            <w:r>
              <w:rPr>
                <w:rFonts w:cs="Arial" w:ascii="Arial" w:hAnsi="Arial"/>
                <w:sz w:val="20"/>
                <w:szCs w:val="20"/>
              </w:rPr>
              <w:t>Enron Methanol Company</w:t>
            </w:r>
          </w:p>
        </w:tc>
      </w:tr>
      <w:tr>
        <w:trPr>
          <w:trHeight w:val="264" w:hRule="atLeast"/>
        </w:trPr>
        <w:tc>
          <w:tcPr>
            <w:tcW w:w="980" w:type="dxa"/>
            <w:tcBorders/>
            <w:vAlign w:val="bottom"/>
          </w:tcPr>
          <w:p>
            <w:pPr>
              <w:pStyle w:val="Normal"/>
              <w:jc w:val="center"/>
              <w:rPr>
                <w:rFonts w:ascii="Arial" w:hAnsi="Arial" w:cs="Arial"/>
                <w:sz w:val="20"/>
                <w:szCs w:val="20"/>
              </w:rPr>
            </w:pPr>
            <w:r>
              <w:rPr>
                <w:rFonts w:cs="Arial" w:ascii="Arial" w:hAnsi="Arial"/>
                <w:sz w:val="20"/>
                <w:szCs w:val="20"/>
              </w:rPr>
              <w:t>96023791</w:t>
            </w:r>
          </w:p>
        </w:tc>
        <w:tc>
          <w:tcPr>
            <w:tcW w:w="4478" w:type="dxa"/>
            <w:tcBorders/>
            <w:vAlign w:val="bottom"/>
          </w:tcPr>
          <w:p>
            <w:pPr>
              <w:pStyle w:val="Normal"/>
              <w:jc w:val="center"/>
              <w:rPr>
                <w:rFonts w:ascii="Arial" w:hAnsi="Arial" w:cs="Arial"/>
                <w:sz w:val="20"/>
                <w:szCs w:val="20"/>
              </w:rPr>
            </w:pPr>
            <w:r>
              <w:rPr>
                <w:rFonts w:cs="Arial" w:ascii="Arial" w:hAnsi="Arial"/>
                <w:sz w:val="20"/>
                <w:szCs w:val="20"/>
              </w:rPr>
              <w:t>Netting Agreement</w:t>
            </w:r>
          </w:p>
        </w:tc>
        <w:tc>
          <w:tcPr>
            <w:tcW w:w="3300" w:type="dxa"/>
            <w:tcBorders/>
            <w:vAlign w:val="bottom"/>
          </w:tcPr>
          <w:p>
            <w:pPr>
              <w:pStyle w:val="Normal"/>
              <w:jc w:val="center"/>
              <w:rPr>
                <w:rFonts w:ascii="Arial" w:hAnsi="Arial" w:cs="Arial"/>
                <w:sz w:val="20"/>
                <w:szCs w:val="20"/>
              </w:rPr>
            </w:pPr>
            <w:r>
              <w:rPr>
                <w:rFonts w:cs="Arial" w:ascii="Arial" w:hAnsi="Arial"/>
                <w:sz w:val="20"/>
                <w:szCs w:val="20"/>
              </w:rPr>
              <w:t>Enron Methanol Company</w:t>
            </w:r>
          </w:p>
        </w:tc>
      </w:tr>
      <w:tr>
        <w:trPr>
          <w:trHeight w:val="264" w:hRule="atLeast"/>
        </w:trPr>
        <w:tc>
          <w:tcPr>
            <w:tcW w:w="980" w:type="dxa"/>
            <w:tcBorders/>
            <w:vAlign w:val="bottom"/>
          </w:tcPr>
          <w:p>
            <w:pPr>
              <w:pStyle w:val="Normal"/>
              <w:jc w:val="center"/>
              <w:rPr>
                <w:rFonts w:ascii="Arial" w:hAnsi="Arial" w:cs="Arial"/>
                <w:sz w:val="20"/>
                <w:szCs w:val="20"/>
              </w:rPr>
            </w:pPr>
            <w:r>
              <w:rPr>
                <w:rFonts w:cs="Arial" w:ascii="Arial" w:hAnsi="Arial"/>
                <w:sz w:val="20"/>
                <w:szCs w:val="20"/>
              </w:rPr>
              <w:t>96004320</w:t>
            </w:r>
          </w:p>
        </w:tc>
        <w:tc>
          <w:tcPr>
            <w:tcW w:w="4478" w:type="dxa"/>
            <w:tcBorders/>
            <w:vAlign w:val="bottom"/>
          </w:tcPr>
          <w:p>
            <w:pPr>
              <w:pStyle w:val="Normal"/>
              <w:jc w:val="center"/>
              <w:rPr>
                <w:rFonts w:ascii="Arial" w:hAnsi="Arial" w:cs="Arial"/>
                <w:sz w:val="20"/>
                <w:szCs w:val="20"/>
              </w:rPr>
            </w:pPr>
            <w:r>
              <w:rPr>
                <w:rFonts w:cs="Arial" w:ascii="Arial" w:hAnsi="Arial"/>
                <w:sz w:val="20"/>
                <w:szCs w:val="20"/>
              </w:rPr>
              <w:t>Production Payment</w:t>
            </w:r>
          </w:p>
        </w:tc>
        <w:tc>
          <w:tcPr>
            <w:tcW w:w="3300" w:type="dxa"/>
            <w:tcBorders/>
            <w:vAlign w:val="bottom"/>
          </w:tcPr>
          <w:p>
            <w:pPr>
              <w:pStyle w:val="Normal"/>
              <w:jc w:val="center"/>
              <w:rPr>
                <w:rFonts w:ascii="Arial" w:hAnsi="Arial" w:cs="Arial"/>
                <w:sz w:val="20"/>
                <w:szCs w:val="20"/>
              </w:rPr>
            </w:pPr>
            <w:r>
              <w:rPr>
                <w:rFonts w:cs="Arial" w:ascii="Arial" w:hAnsi="Arial"/>
                <w:sz w:val="20"/>
                <w:szCs w:val="20"/>
              </w:rPr>
              <w:t>ERAC - Finance</w:t>
            </w:r>
          </w:p>
        </w:tc>
      </w:tr>
      <w:tr>
        <w:trPr>
          <w:trHeight w:val="264" w:hRule="atLeast"/>
        </w:trPr>
        <w:tc>
          <w:tcPr>
            <w:tcW w:w="980" w:type="dxa"/>
            <w:tcBorders/>
            <w:vAlign w:val="bottom"/>
          </w:tcPr>
          <w:p>
            <w:pPr>
              <w:pStyle w:val="Normal"/>
              <w:jc w:val="center"/>
              <w:rPr>
                <w:rFonts w:ascii="Arial" w:hAnsi="Arial" w:cs="Arial"/>
                <w:sz w:val="20"/>
                <w:szCs w:val="20"/>
              </w:rPr>
            </w:pPr>
            <w:r>
              <w:rPr>
                <w:rFonts w:cs="Arial" w:ascii="Arial" w:hAnsi="Arial"/>
                <w:sz w:val="20"/>
                <w:szCs w:val="20"/>
              </w:rPr>
              <w:t>96022778</w:t>
            </w:r>
          </w:p>
        </w:tc>
        <w:tc>
          <w:tcPr>
            <w:tcW w:w="4478" w:type="dxa"/>
            <w:tcBorders/>
            <w:vAlign w:val="bottom"/>
          </w:tcPr>
          <w:p>
            <w:pPr>
              <w:pStyle w:val="Normal"/>
              <w:jc w:val="center"/>
              <w:rPr>
                <w:rFonts w:ascii="Arial" w:hAnsi="Arial" w:cs="Arial"/>
                <w:sz w:val="20"/>
                <w:szCs w:val="20"/>
              </w:rPr>
            </w:pPr>
            <w:r>
              <w:rPr>
                <w:rFonts w:cs="Arial" w:ascii="Arial" w:hAnsi="Arial"/>
                <w:sz w:val="20"/>
                <w:szCs w:val="20"/>
              </w:rPr>
              <w:t>GTC Sale Spot</w:t>
            </w:r>
          </w:p>
        </w:tc>
        <w:tc>
          <w:tcPr>
            <w:tcW w:w="3300" w:type="dxa"/>
            <w:tcBorders/>
            <w:vAlign w:val="bottom"/>
          </w:tcPr>
          <w:p>
            <w:pPr>
              <w:pStyle w:val="Normal"/>
              <w:jc w:val="center"/>
              <w:rPr>
                <w:rFonts w:ascii="Arial" w:hAnsi="Arial" w:cs="Arial"/>
                <w:sz w:val="20"/>
                <w:szCs w:val="20"/>
              </w:rPr>
            </w:pPr>
            <w:r>
              <w:rPr>
                <w:rFonts w:cs="Arial" w:ascii="Arial" w:hAnsi="Arial"/>
                <w:sz w:val="20"/>
                <w:szCs w:val="20"/>
              </w:rPr>
              <w:t>HPL Resources Company</w:t>
            </w:r>
          </w:p>
        </w:tc>
      </w:tr>
      <w:tr>
        <w:trPr>
          <w:trHeight w:val="264" w:hRule="atLeast"/>
        </w:trPr>
        <w:tc>
          <w:tcPr>
            <w:tcW w:w="980" w:type="dxa"/>
            <w:tcBorders/>
            <w:vAlign w:val="bottom"/>
          </w:tcPr>
          <w:p>
            <w:pPr>
              <w:pStyle w:val="Normal"/>
              <w:jc w:val="center"/>
              <w:rPr>
                <w:rFonts w:ascii="Arial" w:hAnsi="Arial" w:cs="Arial"/>
                <w:sz w:val="20"/>
                <w:szCs w:val="20"/>
              </w:rPr>
            </w:pPr>
            <w:r>
              <w:rPr>
                <w:rFonts w:cs="Arial" w:ascii="Arial" w:hAnsi="Arial"/>
                <w:sz w:val="20"/>
                <w:szCs w:val="20"/>
              </w:rPr>
              <w:t>96002839</w:t>
            </w:r>
          </w:p>
        </w:tc>
        <w:tc>
          <w:tcPr>
            <w:tcW w:w="4478" w:type="dxa"/>
            <w:tcBorders/>
            <w:vAlign w:val="bottom"/>
          </w:tcPr>
          <w:p>
            <w:pPr>
              <w:pStyle w:val="Normal"/>
              <w:jc w:val="center"/>
              <w:rPr>
                <w:rFonts w:ascii="Arial" w:hAnsi="Arial" w:cs="Arial"/>
                <w:sz w:val="20"/>
                <w:szCs w:val="20"/>
              </w:rPr>
            </w:pPr>
            <w:r>
              <w:rPr>
                <w:rFonts w:cs="Arial" w:ascii="Arial" w:hAnsi="Arial"/>
                <w:sz w:val="20"/>
                <w:szCs w:val="20"/>
              </w:rPr>
              <w:t>Master Purchase Sale Spot</w:t>
            </w:r>
          </w:p>
        </w:tc>
        <w:tc>
          <w:tcPr>
            <w:tcW w:w="3300" w:type="dxa"/>
            <w:tcBorders/>
            <w:vAlign w:val="bottom"/>
          </w:tcPr>
          <w:p>
            <w:pPr>
              <w:pStyle w:val="Normal"/>
              <w:jc w:val="center"/>
              <w:rPr>
                <w:rFonts w:ascii="Arial" w:hAnsi="Arial" w:cs="Arial"/>
                <w:sz w:val="20"/>
                <w:szCs w:val="20"/>
              </w:rPr>
            </w:pPr>
            <w:r>
              <w:rPr>
                <w:rFonts w:cs="Arial" w:ascii="Arial" w:hAnsi="Arial"/>
                <w:sz w:val="20"/>
                <w:szCs w:val="20"/>
              </w:rPr>
              <w:t>HPL Resources Liquids Division</w:t>
            </w:r>
          </w:p>
        </w:tc>
      </w:tr>
      <w:tr>
        <w:trPr>
          <w:trHeight w:val="264" w:hRule="atLeast"/>
        </w:trPr>
        <w:tc>
          <w:tcPr>
            <w:tcW w:w="980" w:type="dxa"/>
            <w:tcBorders/>
            <w:vAlign w:val="bottom"/>
          </w:tcPr>
          <w:p>
            <w:pPr>
              <w:pStyle w:val="Normal"/>
              <w:jc w:val="center"/>
              <w:rPr>
                <w:rFonts w:ascii="Arial" w:hAnsi="Arial" w:cs="Arial"/>
                <w:sz w:val="20"/>
                <w:szCs w:val="20"/>
              </w:rPr>
            </w:pPr>
            <w:r>
              <w:rPr>
                <w:rFonts w:cs="Arial" w:ascii="Arial" w:hAnsi="Arial"/>
                <w:sz w:val="20"/>
                <w:szCs w:val="20"/>
              </w:rPr>
              <w:t>96018307</w:t>
            </w:r>
          </w:p>
        </w:tc>
        <w:tc>
          <w:tcPr>
            <w:tcW w:w="4478" w:type="dxa"/>
            <w:tcBorders/>
            <w:vAlign w:val="bottom"/>
          </w:tcPr>
          <w:p>
            <w:pPr>
              <w:pStyle w:val="Normal"/>
              <w:jc w:val="center"/>
              <w:rPr>
                <w:rFonts w:ascii="Arial" w:hAnsi="Arial" w:cs="Arial"/>
                <w:sz w:val="20"/>
                <w:szCs w:val="20"/>
              </w:rPr>
            </w:pPr>
            <w:r>
              <w:rPr>
                <w:rFonts w:cs="Arial" w:ascii="Arial" w:hAnsi="Arial"/>
                <w:sz w:val="20"/>
                <w:szCs w:val="20"/>
              </w:rPr>
              <w:t>Transportation</w:t>
            </w:r>
          </w:p>
        </w:tc>
        <w:tc>
          <w:tcPr>
            <w:tcW w:w="3300" w:type="dxa"/>
            <w:tcBorders/>
            <w:vAlign w:val="bottom"/>
          </w:tcPr>
          <w:p>
            <w:pPr>
              <w:pStyle w:val="Normal"/>
              <w:jc w:val="center"/>
              <w:rPr>
                <w:rFonts w:ascii="Arial" w:hAnsi="Arial" w:cs="Arial"/>
                <w:sz w:val="20"/>
                <w:szCs w:val="20"/>
              </w:rPr>
            </w:pPr>
            <w:r>
              <w:rPr>
                <w:rFonts w:cs="Arial" w:ascii="Arial" w:hAnsi="Arial"/>
                <w:sz w:val="20"/>
                <w:szCs w:val="20"/>
              </w:rPr>
              <w:t>HPL Resources Liquids Division</w:t>
            </w:r>
          </w:p>
        </w:tc>
      </w:tr>
      <w:tr>
        <w:trPr>
          <w:trHeight w:val="264" w:hRule="atLeast"/>
        </w:trPr>
        <w:tc>
          <w:tcPr>
            <w:tcW w:w="980" w:type="dxa"/>
            <w:tcBorders/>
            <w:vAlign w:val="bottom"/>
          </w:tcPr>
          <w:p>
            <w:pPr>
              <w:pStyle w:val="Normal"/>
              <w:jc w:val="center"/>
              <w:rPr>
                <w:rFonts w:ascii="Arial" w:hAnsi="Arial" w:cs="Arial"/>
                <w:sz w:val="20"/>
                <w:szCs w:val="20"/>
              </w:rPr>
            </w:pPr>
            <w:r>
              <w:rPr>
                <w:rFonts w:cs="Arial" w:ascii="Arial" w:hAnsi="Arial"/>
                <w:sz w:val="20"/>
                <w:szCs w:val="20"/>
              </w:rPr>
              <w:t>96017303</w:t>
            </w:r>
          </w:p>
        </w:tc>
        <w:tc>
          <w:tcPr>
            <w:tcW w:w="4478" w:type="dxa"/>
            <w:tcBorders/>
            <w:vAlign w:val="bottom"/>
          </w:tcPr>
          <w:p>
            <w:pPr>
              <w:pStyle w:val="Normal"/>
              <w:jc w:val="center"/>
              <w:rPr>
                <w:rFonts w:ascii="Arial" w:hAnsi="Arial" w:cs="Arial"/>
                <w:sz w:val="20"/>
                <w:szCs w:val="20"/>
              </w:rPr>
            </w:pPr>
            <w:r>
              <w:rPr>
                <w:rFonts w:cs="Arial" w:ascii="Arial" w:hAnsi="Arial"/>
                <w:sz w:val="20"/>
                <w:szCs w:val="20"/>
              </w:rPr>
              <w:t>Transportation</w:t>
            </w:r>
          </w:p>
        </w:tc>
        <w:tc>
          <w:tcPr>
            <w:tcW w:w="3300" w:type="dxa"/>
            <w:tcBorders/>
            <w:vAlign w:val="bottom"/>
          </w:tcPr>
          <w:p>
            <w:pPr>
              <w:pStyle w:val="Normal"/>
              <w:jc w:val="center"/>
              <w:rPr>
                <w:rFonts w:ascii="Arial" w:hAnsi="Arial" w:cs="Arial"/>
                <w:sz w:val="20"/>
                <w:szCs w:val="20"/>
              </w:rPr>
            </w:pPr>
            <w:r>
              <w:rPr>
                <w:rFonts w:cs="Arial" w:ascii="Arial" w:hAnsi="Arial"/>
                <w:sz w:val="20"/>
                <w:szCs w:val="20"/>
              </w:rPr>
              <w:t>MidTexas Pipeline Company</w:t>
            </w:r>
          </w:p>
        </w:tc>
      </w:tr>
      <w:tr>
        <w:trPr>
          <w:trHeight w:val="264" w:hRule="atLeast"/>
        </w:trPr>
        <w:tc>
          <w:tcPr>
            <w:tcW w:w="980"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4478" w:type="dxa"/>
            <w:tcBorders/>
            <w:vAlign w:val="bottom"/>
          </w:tcPr>
          <w:p>
            <w:pPr>
              <w:pStyle w:val="Normal"/>
              <w:jc w:val="center"/>
              <w:rPr>
                <w:rFonts w:ascii="Arial" w:hAnsi="Arial" w:cs="Arial"/>
                <w:sz w:val="20"/>
                <w:szCs w:val="20"/>
              </w:rPr>
            </w:pPr>
            <w:r>
              <w:rPr>
                <w:rFonts w:cs="Arial" w:ascii="Arial" w:hAnsi="Arial"/>
                <w:sz w:val="20"/>
                <w:szCs w:val="20"/>
              </w:rPr>
              <w:t>Enfolio Firm GTC</w:t>
            </w:r>
          </w:p>
        </w:tc>
        <w:tc>
          <w:tcPr>
            <w:tcW w:w="3300" w:type="dxa"/>
            <w:tcBorders/>
            <w:vAlign w:val="bottom"/>
          </w:tcPr>
          <w:p>
            <w:pPr>
              <w:pStyle w:val="Normal"/>
              <w:jc w:val="center"/>
              <w:rPr>
                <w:rFonts w:ascii="Arial" w:hAnsi="Arial" w:cs="Arial"/>
                <w:sz w:val="20"/>
                <w:szCs w:val="20"/>
              </w:rPr>
            </w:pPr>
            <w:r>
              <w:rPr>
                <w:rFonts w:cs="Arial" w:ascii="Arial" w:hAnsi="Arial"/>
                <w:sz w:val="20"/>
                <w:szCs w:val="20"/>
              </w:rPr>
              <w:t>Enron North America Corp.*</w:t>
            </w:r>
          </w:p>
        </w:tc>
      </w:tr>
      <w:tr>
        <w:trPr>
          <w:trHeight w:val="264" w:hRule="atLeast"/>
        </w:trPr>
        <w:tc>
          <w:tcPr>
            <w:tcW w:w="980"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4478" w:type="dxa"/>
            <w:tcBorders/>
            <w:vAlign w:val="bottom"/>
          </w:tcPr>
          <w:p>
            <w:pPr>
              <w:pStyle w:val="Normal"/>
              <w:jc w:val="center"/>
              <w:rPr>
                <w:rFonts w:ascii="Arial" w:hAnsi="Arial" w:cs="Arial"/>
                <w:sz w:val="20"/>
                <w:szCs w:val="20"/>
              </w:rPr>
            </w:pPr>
            <w:r>
              <w:rPr>
                <w:rFonts w:eastAsia="Arial" w:cs="Arial" w:ascii="Arial" w:hAnsi="Arial"/>
                <w:sz w:val="20"/>
                <w:szCs w:val="20"/>
              </w:rPr>
              <w:t xml:space="preserve"> </w:t>
            </w:r>
            <w:r>
              <w:rPr>
                <w:rFonts w:cs="Arial" w:ascii="Arial" w:hAnsi="Arial"/>
                <w:strike/>
                <w:sz w:val="20"/>
                <w:szCs w:val="20"/>
              </w:rPr>
              <w:t>Back to Back Agreement</w:t>
            </w:r>
            <w:r>
              <w:rPr>
                <w:rFonts w:cs="Arial" w:ascii="Arial" w:hAnsi="Arial"/>
                <w:sz w:val="20"/>
                <w:szCs w:val="20"/>
              </w:rPr>
              <w:t xml:space="preserve"> </w:t>
            </w:r>
            <w:r>
              <w:rPr>
                <w:rFonts w:cs="Arial" w:ascii="Arial" w:hAnsi="Arial"/>
                <w:b/>
                <w:bCs/>
                <w:sz w:val="20"/>
                <w:szCs w:val="20"/>
                <w:u w:val="double"/>
              </w:rPr>
              <w:t>Multiple Enfolio GTC’s</w:t>
            </w:r>
          </w:p>
        </w:tc>
        <w:tc>
          <w:tcPr>
            <w:tcW w:w="3300" w:type="dxa"/>
            <w:tcBorders/>
            <w:vAlign w:val="bottom"/>
          </w:tcPr>
          <w:p>
            <w:pPr>
              <w:pStyle w:val="Normal"/>
              <w:jc w:val="center"/>
              <w:rPr>
                <w:rFonts w:ascii="Arial" w:hAnsi="Arial" w:cs="Arial"/>
                <w:sz w:val="20"/>
                <w:szCs w:val="20"/>
              </w:rPr>
            </w:pPr>
            <w:r>
              <w:rPr>
                <w:rFonts w:cs="Arial" w:ascii="Arial" w:hAnsi="Arial"/>
                <w:sz w:val="20"/>
                <w:szCs w:val="20"/>
              </w:rPr>
              <w:t>Enron North America Corp.**</w:t>
            </w:r>
          </w:p>
        </w:tc>
      </w:tr>
    </w:tbl>
    <w:p>
      <w:pPr>
        <w:pStyle w:val="Normal"/>
        <w:jc w:val="center"/>
        <w:rPr/>
      </w:pPr>
      <w:r>
        <w:rPr/>
      </w:r>
    </w:p>
    <w:p>
      <w:pPr>
        <w:pStyle w:val="Normal"/>
        <w:jc w:val="center"/>
        <w:rPr/>
      </w:pPr>
      <w:r>
        <w:rPr/>
      </w:r>
    </w:p>
    <w:p>
      <w:pPr>
        <w:pStyle w:val="Normal"/>
        <w:rPr/>
      </w:pPr>
      <w:r>
        <w:rPr/>
        <w:t xml:space="preserve">* Relates to EEX transaction </w:t>
      </w:r>
      <w:r>
        <w:rPr>
          <w:b/>
          <w:bCs/>
          <w:u w:val="double"/>
        </w:rPr>
        <w:t>(see attached Appendix 4.19(c1) for monthly volume and pricing)</w:t>
      </w:r>
    </w:p>
    <w:p>
      <w:pPr>
        <w:pStyle w:val="Normal"/>
        <w:jc w:val="center"/>
        <w:rPr>
          <w:b/>
          <w:bCs/>
          <w:u w:val="double"/>
        </w:rPr>
      </w:pPr>
      <w:r>
        <w:rPr>
          <w:b/>
          <w:bCs/>
          <w:u w:val="double"/>
        </w:rPr>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fmt="decimal"/>
          <w:formProt w:val="false"/>
          <w:textDirection w:val="lrTb"/>
          <w:docGrid w:type="default" w:linePitch="360" w:charSpace="0"/>
        </w:sectPr>
        <w:pStyle w:val="VEBodyText"/>
        <w:jc w:val="start"/>
        <w:rPr>
          <w:b/>
          <w:bCs/>
          <w:u w:val="double"/>
        </w:rPr>
      </w:pPr>
      <w:r>
        <w:rPr>
          <w:b/>
          <w:bCs/>
          <w:u w:val="double"/>
        </w:rPr>
        <w:t>** Relates to CES contracts, including Devon</w:t>
      </w:r>
    </w:p>
    <w:p>
      <w:pPr>
        <w:pStyle w:val="VEBodyText"/>
        <w:jc w:val="center"/>
        <w:rPr>
          <w:b/>
          <w:bCs/>
          <w:u w:val="double"/>
        </w:rPr>
      </w:pPr>
      <w:r>
        <w:rPr>
          <w:b/>
          <w:bCs/>
          <w:u w:val="double"/>
        </w:rPr>
        <w:t>Appendix 4.19(c1)</w:t>
      </w:r>
    </w:p>
    <w:p>
      <w:pPr>
        <w:pStyle w:val="VEBodyText"/>
        <w:jc w:val="start"/>
        <w:rPr/>
      </w:pPr>
      <w:r>
        <w:rPr/>
        <w:t>Physical new deals for Enron North America Corp. and AEP</w:t>
      </w:r>
    </w:p>
    <w:tbl>
      <w:tblPr>
        <w:tblW w:w="9680" w:type="dxa"/>
        <w:jc w:val="start"/>
        <w:tblInd w:w="0" w:type="dxa"/>
        <w:tblLayout w:type="fixed"/>
        <w:tblCellMar>
          <w:top w:w="12" w:type="dxa"/>
          <w:start w:w="12" w:type="dxa"/>
          <w:bottom w:w="0" w:type="dxa"/>
          <w:end w:w="12" w:type="dxa"/>
        </w:tblCellMar>
      </w:tblPr>
      <w:tblGrid>
        <w:gridCol w:w="1400"/>
        <w:gridCol w:w="1580"/>
        <w:gridCol w:w="2760"/>
        <w:gridCol w:w="1460"/>
        <w:gridCol w:w="1060"/>
        <w:gridCol w:w="1420"/>
      </w:tblGrid>
      <w:tr>
        <w:trPr>
          <w:trHeight w:val="255" w:hRule="atLeast"/>
        </w:trPr>
        <w:tc>
          <w:tcPr>
            <w:tcW w:w="1400" w:type="dxa"/>
            <w:tcBorders/>
            <w:shd w:fill="FFFF99" w:val="clear"/>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Monthly Volume</w:t>
            </w:r>
          </w:p>
        </w:tc>
        <w:tc>
          <w:tcPr>
            <w:tcW w:w="1580" w:type="dxa"/>
            <w:tcBorders/>
            <w:shd w:fill="FFFF99" w:val="clear"/>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Term</w:t>
            </w:r>
          </w:p>
        </w:tc>
        <w:tc>
          <w:tcPr>
            <w:tcW w:w="2760" w:type="dxa"/>
            <w:tcBorders/>
            <w:shd w:fill="FFFF99" w:val="clear"/>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buy/sell (AEP's perspective)</w:t>
            </w:r>
          </w:p>
        </w:tc>
        <w:tc>
          <w:tcPr>
            <w:tcW w:w="1460" w:type="dxa"/>
            <w:tcBorders/>
            <w:shd w:fill="FFFF99" w:val="clear"/>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Delivery Point</w:t>
            </w:r>
          </w:p>
        </w:tc>
        <w:tc>
          <w:tcPr>
            <w:tcW w:w="1060" w:type="dxa"/>
            <w:tcBorders/>
            <w:shd w:fill="FFFF99" w:val="clear"/>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Pricing</w:t>
            </w:r>
          </w:p>
        </w:tc>
        <w:tc>
          <w:tcPr>
            <w:tcW w:w="1420" w:type="dxa"/>
            <w:tcBorders/>
            <w:tcMar>
              <w:top w:w="0" w:type="dxa"/>
              <w:start w:w="0" w:type="dxa"/>
              <w:end w:w="0" w:type="dxa"/>
            </w:tcMar>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Sitara #</w:t>
            </w:r>
          </w:p>
        </w:tc>
      </w:tr>
      <w:tr>
        <w:trPr>
          <w:trHeight w:val="255" w:hRule="atLeast"/>
        </w:trPr>
        <w:tc>
          <w:tcPr>
            <w:tcW w:w="1400" w:type="dxa"/>
            <w:tcBorders>
              <w:top w:val="single" w:sz="4" w:space="0" w:color="000000"/>
            </w:tcBorders>
            <w:vAlign w:val="bottom"/>
          </w:tcPr>
          <w:p>
            <w:pPr>
              <w:pStyle w:val="Normal"/>
              <w:jc w:val="center"/>
              <w:rPr>
                <w:rFonts w:eastAsia="Arial Unicode MS;Tahoma"/>
                <w:b/>
                <w:bCs/>
                <w:sz w:val="20"/>
                <w:szCs w:val="20"/>
                <w:u w:val="double"/>
              </w:rPr>
            </w:pPr>
            <w:r>
              <w:rPr>
                <w:b/>
                <w:bCs/>
                <w:sz w:val="20"/>
                <w:szCs w:val="20"/>
                <w:u w:val="double"/>
              </w:rPr>
              <w:t>119,481</w:t>
            </w:r>
          </w:p>
        </w:tc>
        <w:tc>
          <w:tcPr>
            <w:tcW w:w="1580" w:type="dxa"/>
            <w:tcBorders>
              <w:top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Jun-01</w:t>
            </w:r>
          </w:p>
        </w:tc>
        <w:tc>
          <w:tcPr>
            <w:tcW w:w="2760" w:type="dxa"/>
            <w:tcBorders>
              <w:top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top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top w:val="single" w:sz="4" w:space="0" w:color="000000"/>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vAlign w:val="bottom"/>
          </w:tcPr>
          <w:p>
            <w:pPr>
              <w:pStyle w:val="Normal"/>
              <w:jc w:val="end"/>
              <w:rPr>
                <w:rFonts w:ascii="Arial" w:hAnsi="Arial" w:eastAsia="Arial Unicode MS;Tahoma" w:cs="Arial"/>
                <w:b/>
                <w:bCs/>
                <w:sz w:val="20"/>
                <w:szCs w:val="20"/>
                <w:u w:val="double"/>
              </w:rPr>
            </w:pPr>
            <w:r>
              <w:rPr>
                <w:rFonts w:cs="Arial" w:ascii="Arial" w:hAnsi="Arial"/>
                <w:b/>
                <w:bCs/>
                <w:sz w:val="20"/>
                <w:szCs w:val="20"/>
                <w:u w:val="double"/>
              </w:rPr>
              <w:t>548645</w:t>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151,145</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Jul-01</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151,145</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Aug-01</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111,145</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Sep-01</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143,189</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Oct-01</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103,819</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Nov-01</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143,819</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Dec-01</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183,052</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Jan-02</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73,052</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Feb-02</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183,052</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Mar-02</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138,264</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Apr-02</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168,264</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May-02</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138,264</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Jun-02</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161,816</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Jul-02</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161,816</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Aug-02</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131,816</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Sep-02</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151,998</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Oct-02</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121,998</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Nov-02</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151,998</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Dec-02</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126,650</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Jan-03</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36,650</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Feb-03</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126,650</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Mar-03</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94,859</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Apr-03</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124,859</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May-03</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94,859</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Jun-03</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113,568</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Jul-03</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113,568</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Aug-03</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83,568</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Sep-03</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107,735</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Oct-03</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87,735</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Nov-03</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107,735</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Dec-03</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118,396</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Jan-04</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78,396</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Feb-04</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118,396</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Mar-04</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96,731</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Apr-04</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116,731</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May-04</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96,731</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Jun-04</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118,396</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Jul-04</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118,396</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Aug-04</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98,396</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Sep-04</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113,154</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Oct-04</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vAlign w:val="bottom"/>
          </w:tcPr>
          <w:p>
            <w:pPr>
              <w:pStyle w:val="Normal"/>
              <w:jc w:val="center"/>
              <w:rPr>
                <w:rFonts w:eastAsia="Arial Unicode MS;Tahoma"/>
                <w:b/>
                <w:bCs/>
                <w:sz w:val="20"/>
                <w:szCs w:val="20"/>
                <w:u w:val="double"/>
              </w:rPr>
            </w:pPr>
            <w:r>
              <w:rPr>
                <w:b/>
                <w:bCs/>
                <w:sz w:val="20"/>
                <w:szCs w:val="20"/>
                <w:u w:val="double"/>
              </w:rPr>
              <w:t>93,154</w:t>
            </w:r>
          </w:p>
        </w:tc>
        <w:tc>
          <w:tcPr>
            <w:tcW w:w="158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Nov-04</w:t>
            </w:r>
          </w:p>
        </w:tc>
        <w:tc>
          <w:tcPr>
            <w:tcW w:w="27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r>
        <w:trPr>
          <w:trHeight w:val="255" w:hRule="atLeast"/>
        </w:trPr>
        <w:tc>
          <w:tcPr>
            <w:tcW w:w="1400" w:type="dxa"/>
            <w:tcBorders>
              <w:bottom w:val="single" w:sz="4" w:space="0" w:color="000000"/>
            </w:tcBorders>
            <w:vAlign w:val="bottom"/>
          </w:tcPr>
          <w:p>
            <w:pPr>
              <w:pStyle w:val="Normal"/>
              <w:jc w:val="center"/>
              <w:rPr>
                <w:rFonts w:eastAsia="Arial Unicode MS;Tahoma"/>
                <w:b/>
                <w:bCs/>
                <w:sz w:val="20"/>
                <w:szCs w:val="20"/>
                <w:u w:val="double"/>
              </w:rPr>
            </w:pPr>
            <w:r>
              <w:rPr>
                <w:b/>
                <w:bCs/>
                <w:sz w:val="20"/>
                <w:szCs w:val="20"/>
                <w:u w:val="double"/>
              </w:rPr>
              <w:t>113,154</w:t>
            </w:r>
          </w:p>
        </w:tc>
        <w:tc>
          <w:tcPr>
            <w:tcW w:w="1580" w:type="dxa"/>
            <w:tcBorders>
              <w:bottom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Dec-04</w:t>
            </w:r>
          </w:p>
        </w:tc>
        <w:tc>
          <w:tcPr>
            <w:tcW w:w="2760" w:type="dxa"/>
            <w:tcBorders>
              <w:bottom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buy</w:t>
            </w:r>
          </w:p>
        </w:tc>
        <w:tc>
          <w:tcPr>
            <w:tcW w:w="1460" w:type="dxa"/>
            <w:tcBorders>
              <w:bottom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Thompsonville</w:t>
            </w:r>
          </w:p>
        </w:tc>
        <w:tc>
          <w:tcPr>
            <w:tcW w:w="1060" w:type="dxa"/>
            <w:tcBorders>
              <w:bottom w:val="single" w:sz="4" w:space="0" w:color="000000"/>
              <w:end w:val="single" w:sz="4" w:space="0" w:color="000000"/>
            </w:tcBorders>
            <w:vAlign w:val="bottom"/>
          </w:tcPr>
          <w:p>
            <w:pPr>
              <w:pStyle w:val="Normal"/>
              <w:jc w:val="center"/>
              <w:rPr>
                <w:rFonts w:ascii="Arial" w:hAnsi="Arial" w:eastAsia="Arial Unicode MS;Tahoma" w:cs="Arial"/>
                <w:b/>
                <w:bCs/>
                <w:sz w:val="20"/>
                <w:szCs w:val="20"/>
                <w:u w:val="double"/>
              </w:rPr>
            </w:pPr>
            <w:r>
              <w:rPr>
                <w:rFonts w:cs="Arial" w:ascii="Arial" w:hAnsi="Arial"/>
                <w:b/>
                <w:bCs/>
                <w:sz w:val="20"/>
                <w:szCs w:val="20"/>
                <w:u w:val="double"/>
              </w:rPr>
              <w:t>HSC-.15</w:t>
            </w:r>
          </w:p>
        </w:tc>
        <w:tc>
          <w:tcPr>
            <w:tcW w:w="1420" w:type="dxa"/>
            <w:tcBorders/>
            <w:tcMar>
              <w:top w:w="0" w:type="dxa"/>
              <w:start w:w="0" w:type="dxa"/>
              <w:end w:w="0" w:type="dxa"/>
            </w:tcMar>
          </w:tcPr>
          <w:p>
            <w:pPr>
              <w:pStyle w:val="Normal"/>
              <w:snapToGrid w:val="false"/>
              <w:rPr>
                <w:rFonts w:ascii="Arial" w:hAnsi="Arial" w:eastAsia="Arial Unicode MS;Tahoma" w:cs="Arial"/>
                <w:b/>
                <w:bCs/>
                <w:sz w:val="20"/>
                <w:szCs w:val="20"/>
                <w:u w:val="double"/>
              </w:rPr>
            </w:pPr>
            <w:r>
              <w:rPr>
                <w:rFonts w:eastAsia="Arial Unicode MS;Tahoma" w:cs="Arial" w:ascii="Arial" w:hAnsi="Arial"/>
                <w:b/>
                <w:bCs/>
                <w:sz w:val="20"/>
                <w:szCs w:val="20"/>
                <w:u w:val="double"/>
              </w:rPr>
            </w:r>
          </w:p>
        </w:tc>
      </w:tr>
    </w:tbl>
    <w:p>
      <w:pPr>
        <w:pStyle w:val="VEBodyText"/>
        <w:rPr>
          <w:strike/>
        </w:rPr>
      </w:pPr>
      <w:r>
        <w:rPr>
          <w:strike/>
        </w:rPr>
        <w:t>** Relates to CES Devon contract</w:t>
      </w:r>
    </w:p>
    <w:p>
      <w:pPr>
        <w:pStyle w:val="Normal"/>
        <w:jc w:val="center"/>
        <w:rPr/>
      </w:pPr>
      <w:r>
        <w:rPr/>
        <w:t>Schedule 4.20</w:t>
      </w:r>
    </w:p>
    <w:p>
      <w:pPr>
        <w:pStyle w:val="Normal"/>
        <w:jc w:val="center"/>
        <w:rPr/>
      </w:pPr>
      <w:r>
        <w:rPr/>
        <w:t>Bank Account Schedule</w:t>
      </w:r>
    </w:p>
    <w:p>
      <w:pPr>
        <w:pStyle w:val="Normal"/>
        <w:rPr/>
      </w:pPr>
      <w:r>
        <w:rPr/>
      </w:r>
    </w:p>
    <w:p>
      <w:pPr>
        <w:pStyle w:val="Normal"/>
        <w:rPr>
          <w:color w:val="FF0000"/>
        </w:rPr>
      </w:pPr>
      <w:r>
        <w:rPr>
          <w:color w:val="FF0000"/>
        </w:rPr>
        <w:t>The following bank accounts shall be retained by Seller in accordance with that certain Amendment to the Purchase and Sale Agreement dated April 2001.</w:t>
      </w:r>
    </w:p>
    <w:p>
      <w:pPr>
        <w:pStyle w:val="Normal"/>
        <w:rPr>
          <w:color w:val="FF0000"/>
        </w:rPr>
      </w:pPr>
      <w:r>
        <w:rPr>
          <w:color w:val="FF0000"/>
        </w:rPr>
      </w:r>
    </w:p>
    <w:p>
      <w:pPr>
        <w:pStyle w:val="Normal"/>
        <w:rPr/>
      </w:pPr>
      <w:r>
        <w:rPr/>
      </w:r>
    </w:p>
    <w:p>
      <w:pPr>
        <w:pStyle w:val="Normal"/>
        <w:rPr>
          <w:u w:val="single"/>
        </w:rPr>
      </w:pPr>
      <w:r>
        <w:rPr>
          <w:u w:val="single"/>
        </w:rPr>
        <w:t>HOUSTON PIPE LINE COMPANY</w:t>
      </w:r>
    </w:p>
    <w:p>
      <w:pPr>
        <w:pStyle w:val="Normal"/>
        <w:rPr/>
      </w:pPr>
      <w:r>
        <w:rPr/>
        <w:t>Bank Accounts</w:t>
      </w:r>
    </w:p>
    <w:p>
      <w:pPr>
        <w:pStyle w:val="Normal"/>
        <w:rPr/>
      </w:pPr>
      <w:r>
        <w:rPr/>
      </w:r>
    </w:p>
    <w:p>
      <w:pPr>
        <w:pStyle w:val="Normal"/>
        <w:rPr/>
      </w:pPr>
      <w:r>
        <w:rPr/>
        <w:t>Bank of America</w:t>
      </w:r>
    </w:p>
    <w:p>
      <w:pPr>
        <w:pStyle w:val="Normal"/>
        <w:rPr/>
      </w:pPr>
      <w:r>
        <w:rPr/>
        <w:t>Account 3750494141</w:t>
      </w:r>
    </w:p>
    <w:p>
      <w:pPr>
        <w:pStyle w:val="Normal"/>
        <w:rPr/>
      </w:pPr>
      <w:r>
        <w:rPr/>
      </w:r>
    </w:p>
    <w:p>
      <w:pPr>
        <w:pStyle w:val="Normal"/>
        <w:rPr/>
      </w:pPr>
      <w:r>
        <w:rPr/>
        <w:t>To be closed once all checks have cleared</w:t>
      </w:r>
    </w:p>
    <w:p>
      <w:pPr>
        <w:pStyle w:val="Normal"/>
        <w:rPr/>
      </w:pPr>
      <w:r>
        <w:rPr/>
        <w:t>Citibank Delaware</w:t>
      </w:r>
    </w:p>
    <w:p>
      <w:pPr>
        <w:pStyle w:val="Normal"/>
        <w:rPr/>
      </w:pPr>
      <w:r>
        <w:rPr/>
        <w:t>Account 3911-0194</w:t>
      </w:r>
    </w:p>
    <w:p>
      <w:pPr>
        <w:pStyle w:val="Normal"/>
        <w:rPr/>
      </w:pPr>
      <w:r>
        <w:rPr/>
      </w:r>
    </w:p>
    <w:p>
      <w:pPr>
        <w:pStyle w:val="Normal"/>
        <w:rPr/>
      </w:pPr>
      <w:r>
        <w:rPr/>
        <w:t>Citibank Delaware</w:t>
      </w:r>
    </w:p>
    <w:p>
      <w:pPr>
        <w:pStyle w:val="Normal"/>
        <w:rPr/>
      </w:pPr>
      <w:r>
        <w:rPr/>
        <w:t>Account 3911-0207</w:t>
      </w:r>
    </w:p>
    <w:p>
      <w:pPr>
        <w:pStyle w:val="Normal"/>
        <w:rPr/>
      </w:pPr>
      <w:r>
        <w:rPr/>
      </w:r>
    </w:p>
    <w:p>
      <w:pPr>
        <w:pStyle w:val="Normal"/>
        <w:rPr/>
      </w:pPr>
      <w:r>
        <w:rPr/>
        <w:t>ALL ZERO BALANCE ACCOUNTS</w:t>
      </w:r>
    </w:p>
    <w:p>
      <w:pPr>
        <w:pStyle w:val="Normal"/>
        <w:rPr/>
      </w:pPr>
      <w:r>
        <w:rPr/>
      </w:r>
    </w:p>
    <w:p>
      <w:pPr>
        <w:pStyle w:val="Normal"/>
        <w:rPr>
          <w:u w:val="single"/>
        </w:rPr>
      </w:pPr>
      <w:r>
        <w:rPr>
          <w:u w:val="single"/>
        </w:rPr>
        <w:t>HPL RESOURCES COMPANY</w:t>
      </w:r>
    </w:p>
    <w:p>
      <w:pPr>
        <w:pStyle w:val="Normal"/>
        <w:rPr/>
      </w:pPr>
      <w:r>
        <w:rPr/>
        <w:t>Bank Accounts</w:t>
      </w:r>
    </w:p>
    <w:p>
      <w:pPr>
        <w:pStyle w:val="Normal"/>
        <w:rPr/>
      </w:pPr>
      <w:r>
        <w:rPr/>
      </w:r>
    </w:p>
    <w:p>
      <w:pPr>
        <w:pStyle w:val="Normal"/>
        <w:rPr/>
      </w:pPr>
      <w:r>
        <w:rPr/>
        <w:t>Bank of America</w:t>
      </w:r>
    </w:p>
    <w:p>
      <w:pPr>
        <w:pStyle w:val="Normal"/>
        <w:rPr/>
      </w:pPr>
      <w:r>
        <w:rPr/>
        <w:t>Account 3750494167</w:t>
      </w:r>
    </w:p>
    <w:p>
      <w:pPr>
        <w:pStyle w:val="Normal"/>
        <w:rPr/>
      </w:pPr>
      <w:r>
        <w:rPr/>
      </w:r>
    </w:p>
    <w:p>
      <w:pPr>
        <w:pStyle w:val="Normal"/>
        <w:rPr/>
      </w:pPr>
      <w:r>
        <w:rPr/>
        <w:t>Citibank Delaware</w:t>
      </w:r>
    </w:p>
    <w:p>
      <w:pPr>
        <w:pStyle w:val="Normal"/>
        <w:rPr/>
      </w:pPr>
      <w:r>
        <w:rPr/>
        <w:t>Account 3911-0215</w:t>
      </w:r>
    </w:p>
    <w:p>
      <w:pPr>
        <w:pStyle w:val="Normal"/>
        <w:jc w:val="center"/>
        <w:rPr/>
      </w:pPr>
      <w:r>
        <w:rPr/>
        <w:t>PURCHASE AND SALE AGREEMENT</w:t>
      </w:r>
    </w:p>
    <w:p>
      <w:pPr>
        <w:pStyle w:val="Normal"/>
        <w:jc w:val="center"/>
        <w:rPr/>
      </w:pPr>
      <w:r>
        <w:rPr/>
      </w:r>
    </w:p>
    <w:p>
      <w:pPr>
        <w:pStyle w:val="Normal"/>
        <w:jc w:val="center"/>
        <w:rPr/>
      </w:pPr>
      <w:r>
        <w:rPr/>
        <w:t>Schedule 4.21</w:t>
      </w:r>
    </w:p>
    <w:p>
      <w:pPr>
        <w:pStyle w:val="Normal"/>
        <w:jc w:val="center"/>
        <w:rPr/>
      </w:pPr>
      <w:r>
        <w:rPr/>
        <w:t>Brokers</w:t>
      </w:r>
    </w:p>
    <w:p>
      <w:pPr>
        <w:pStyle w:val="Normal"/>
        <w:jc w:val="center"/>
        <w:rPr/>
      </w:pPr>
      <w:r>
        <w:rPr/>
      </w:r>
    </w:p>
    <w:p>
      <w:pPr>
        <w:pStyle w:val="Normal"/>
        <w:jc w:val="center"/>
        <w:rPr/>
      </w:pPr>
      <w:r>
        <w:rPr/>
      </w:r>
    </w:p>
    <w:p>
      <w:pPr>
        <w:pStyle w:val="Normal"/>
        <w:rPr/>
      </w:pPr>
      <w:r>
        <w:rPr/>
        <w:t>Lehman Brothers has been retained by Seller as its financial advisor on account of this Agreement.</w:t>
      </w:r>
    </w:p>
    <w:p>
      <w:pPr>
        <w:pStyle w:val="Normal"/>
        <w:jc w:val="center"/>
        <w:rPr/>
      </w:pPr>
      <w:r>
        <w:rPr/>
        <w:t>PURCHASE AND SALE AGREEMENT</w:t>
      </w:r>
    </w:p>
    <w:p>
      <w:pPr>
        <w:pStyle w:val="Normal"/>
        <w:jc w:val="center"/>
        <w:rPr/>
      </w:pPr>
      <w:r>
        <w:rPr/>
      </w:r>
    </w:p>
    <w:p>
      <w:pPr>
        <w:pStyle w:val="Normal"/>
        <w:jc w:val="center"/>
        <w:rPr/>
      </w:pPr>
      <w:r>
        <w:rPr/>
        <w:t>Schedule 4.22</w:t>
      </w:r>
    </w:p>
    <w:p>
      <w:pPr>
        <w:pStyle w:val="Normal"/>
        <w:jc w:val="center"/>
        <w:rPr/>
      </w:pPr>
      <w:r>
        <w:rPr/>
        <w:t>Sufficiency of Assets</w:t>
      </w:r>
    </w:p>
    <w:p>
      <w:pPr>
        <w:pStyle w:val="Normal"/>
        <w:rPr/>
      </w:pPr>
      <w:r>
        <w:rPr/>
      </w:r>
    </w:p>
    <w:p>
      <w:pPr>
        <w:pStyle w:val="Normal"/>
        <w:rPr/>
      </w:pPr>
      <w:r>
        <w:rPr/>
      </w:r>
    </w:p>
    <w:p>
      <w:pPr>
        <w:pStyle w:val="Normal"/>
        <w:rPr/>
      </w:pPr>
      <w:r>
        <w:rPr/>
        <w:t>Exception for any changes in the conduct of the Acquired Companies’ business or the sufficiency of assets used therein as a result of the A/S Line Incident.</w:t>
      </w:r>
    </w:p>
    <w:p>
      <w:pPr>
        <w:pStyle w:val="Normal"/>
        <w:rPr/>
      </w:pPr>
      <w:r>
        <w:rPr/>
      </w:r>
    </w:p>
    <w:p>
      <w:pPr>
        <w:pStyle w:val="Normal"/>
        <w:jc w:val="center"/>
        <w:rPr/>
      </w:pPr>
      <w:r>
        <w:rPr/>
        <w:t>PURCHASE AND SALE AGREEMENT</w:t>
      </w:r>
    </w:p>
    <w:p>
      <w:pPr>
        <w:pStyle w:val="Normal"/>
        <w:jc w:val="center"/>
        <w:rPr/>
      </w:pPr>
      <w:r>
        <w:rPr/>
      </w:r>
    </w:p>
    <w:p>
      <w:pPr>
        <w:pStyle w:val="Normal"/>
        <w:jc w:val="center"/>
        <w:rPr/>
      </w:pPr>
      <w:r>
        <w:rPr/>
        <w:t>Schedule 5.4</w:t>
      </w:r>
    </w:p>
    <w:p>
      <w:pPr>
        <w:pStyle w:val="Normal"/>
        <w:jc w:val="center"/>
        <w:rPr/>
      </w:pPr>
      <w:r>
        <w:rPr/>
        <w:t>Consents and Approvals-Buyer</w:t>
      </w:r>
    </w:p>
    <w:p>
      <w:pPr>
        <w:pStyle w:val="Normal"/>
        <w:jc w:val="center"/>
        <w:rPr/>
      </w:pPr>
      <w:r>
        <w:rPr/>
      </w:r>
    </w:p>
    <w:p>
      <w:pPr>
        <w:pStyle w:val="Normal"/>
        <w:jc w:val="both"/>
        <w:rPr/>
      </w:pPr>
      <w:r>
        <w:rPr/>
        <w:tab/>
        <w:t>Clearance of the transactions contemplated by the Purchase and Sale Agreement under the provisions of the Hart Scott Rodino Antitrust Improvements Act of 1976.</w:t>
      </w:r>
    </w:p>
    <w:p>
      <w:pPr>
        <w:pStyle w:val="Normal"/>
        <w:jc w:val="both"/>
        <w:rPr/>
      </w:pPr>
      <w:r>
        <w:rPr/>
      </w:r>
    </w:p>
    <w:p>
      <w:pPr>
        <w:pStyle w:val="Normal"/>
        <w:jc w:val="both"/>
        <w:rPr/>
      </w:pPr>
      <w:r>
        <w:rPr/>
        <w:tab/>
        <w:t>The SEC Approval</w:t>
      </w:r>
    </w:p>
    <w:p>
      <w:pPr>
        <w:pStyle w:val="Normal"/>
        <w:jc w:val="both"/>
        <w:rPr/>
      </w:pPr>
      <w:r>
        <w:rPr/>
      </w:r>
    </w:p>
    <w:p>
      <w:pPr>
        <w:pStyle w:val="Normal"/>
        <w:jc w:val="both"/>
        <w:rPr/>
      </w:pPr>
      <w:r>
        <w:rPr/>
        <w:tab/>
        <w:t>Notices to Governmental Entities of the State of Texas, including, without limitation, a P-5 Notice to the Texas Railroad Commission.</w:t>
      </w:r>
    </w:p>
    <w:p>
      <w:pPr>
        <w:pStyle w:val="Normal"/>
        <w:jc w:val="center"/>
        <w:rPr/>
      </w:pPr>
      <w:r>
        <w:rPr/>
        <w:t>PURCHASE AND SALE AGREEMENT</w:t>
      </w:r>
    </w:p>
    <w:p>
      <w:pPr>
        <w:pStyle w:val="Normal"/>
        <w:jc w:val="center"/>
        <w:rPr/>
      </w:pPr>
      <w:r>
        <w:rPr/>
      </w:r>
    </w:p>
    <w:p>
      <w:pPr>
        <w:pStyle w:val="Normal"/>
        <w:jc w:val="center"/>
        <w:rPr/>
      </w:pPr>
      <w:r>
        <w:rPr/>
        <w:t>Schedule 6.2</w:t>
      </w:r>
    </w:p>
    <w:p>
      <w:pPr>
        <w:pStyle w:val="Normal"/>
        <w:jc w:val="center"/>
        <w:rPr/>
      </w:pPr>
      <w:r>
        <w:rPr/>
        <w:t>Pre-Closing Restrictions</w:t>
      </w:r>
    </w:p>
    <w:p>
      <w:pPr>
        <w:pStyle w:val="Normal"/>
        <w:jc w:val="center"/>
        <w:rPr/>
      </w:pPr>
      <w:r>
        <w:rPr/>
      </w:r>
    </w:p>
    <w:p>
      <w:pPr>
        <w:pStyle w:val="Normal"/>
        <w:jc w:val="both"/>
        <w:rPr/>
      </w:pPr>
      <w:r>
        <w:rPr/>
      </w:r>
    </w:p>
    <w:p>
      <w:pPr>
        <w:pStyle w:val="Normal"/>
        <w:ind w:hanging="720" w:end="0"/>
        <w:jc w:val="both"/>
        <w:rPr/>
      </w:pPr>
      <w:r>
        <w:rPr/>
        <w:t>1.</w:t>
        <w:tab/>
        <w:t>The Acquired Companies will transfer Excluded Assets and Retained Liabilities to Seller or an Affiliate of Seller.  In addition, the Acquired Companies may dissolve certain of the entities included among the Excluded Assets as indicated on Schedule 7.8 and will unwind and pay any amounts due and owing in connection with, the “MidTexas”, “Project Looper” and “Project Rock” monetizations.  See Schedule 4.6.</w:t>
      </w:r>
    </w:p>
    <w:p>
      <w:pPr>
        <w:pStyle w:val="Normal"/>
        <w:jc w:val="both"/>
        <w:rPr/>
      </w:pPr>
      <w:r>
        <w:rPr/>
      </w:r>
    </w:p>
    <w:p>
      <w:pPr>
        <w:pStyle w:val="Normal"/>
        <w:ind w:hanging="720" w:end="0"/>
        <w:jc w:val="both"/>
        <w:rPr/>
      </w:pPr>
      <w:r>
        <w:rPr/>
        <w:t>2.</w:t>
        <w:tab/>
        <w:t>The Lease dated November 10, 1999 between HPL as Lessee and HPL Asset Holdings L.P. as Lessor will be assigned to LeaseCo, and HPL and LeaseCo will enter into the Sublease in the form attached to this Agreement as Exhibit 3.2(d).</w:t>
      </w:r>
    </w:p>
    <w:p>
      <w:pPr>
        <w:pStyle w:val="Normal"/>
        <w:ind w:hanging="720" w:end="0"/>
        <w:jc w:val="both"/>
        <w:rPr/>
      </w:pPr>
      <w:r>
        <w:rPr/>
      </w:r>
    </w:p>
    <w:p>
      <w:pPr>
        <w:pStyle w:val="Normal"/>
        <w:ind w:hanging="720" w:end="0"/>
        <w:jc w:val="both"/>
        <w:rPr/>
      </w:pPr>
      <w:r>
        <w:rPr/>
        <w:t>3.</w:t>
        <w:tab/>
        <w:t xml:space="preserve">See descriptions of assignments, terminations and amendments of Material Contracts listed in Schedule 4.13.  </w:t>
      </w:r>
    </w:p>
    <w:p>
      <w:pPr>
        <w:pStyle w:val="Normal"/>
        <w:jc w:val="both"/>
        <w:rPr/>
      </w:pPr>
      <w:r>
        <w:rPr/>
      </w:r>
    </w:p>
    <w:p>
      <w:pPr>
        <w:pStyle w:val="Normal"/>
        <w:jc w:val="center"/>
        <w:rPr/>
      </w:pPr>
      <w:r>
        <w:rPr/>
        <w:t>PURCHASE AND SALE AGREEMENT</w:t>
      </w:r>
    </w:p>
    <w:p>
      <w:pPr>
        <w:pStyle w:val="Normal"/>
        <w:jc w:val="center"/>
        <w:rPr/>
      </w:pPr>
      <w:r>
        <w:rPr/>
      </w:r>
    </w:p>
    <w:p>
      <w:pPr>
        <w:pStyle w:val="Normal"/>
        <w:jc w:val="center"/>
        <w:rPr/>
      </w:pPr>
      <w:r>
        <w:rPr/>
      </w:r>
    </w:p>
    <w:p>
      <w:pPr>
        <w:pStyle w:val="Normal"/>
        <w:jc w:val="both"/>
        <w:rPr/>
      </w:pPr>
      <w:r>
        <w:rPr/>
        <w:t>Refer to that certain HPL Employment Transition Protocol dated February 9, 2001 between the Buyer and the Seller, and any amendments thereto, for supplemental information to Schedules 7.3(a), (b) and (c).</w:t>
      </w:r>
    </w:p>
    <w:p>
      <w:pPr>
        <w:pStyle w:val="Normal"/>
        <w:jc w:val="both"/>
        <w:rPr/>
      </w:pPr>
      <w:r>
        <w:rPr/>
      </w:r>
    </w:p>
    <w:p>
      <w:pPr>
        <w:pStyle w:val="Normal"/>
        <w:jc w:val="center"/>
        <w:rPr/>
      </w:pPr>
      <w:r>
        <w:rPr/>
        <w:t>Schedule 7.3(a)</w:t>
      </w:r>
    </w:p>
    <w:p>
      <w:pPr>
        <w:pStyle w:val="Normal"/>
        <w:jc w:val="center"/>
        <w:rPr/>
      </w:pPr>
      <w:r>
        <w:rPr/>
        <w:t>Transferred Employees</w:t>
      </w:r>
    </w:p>
    <w:p>
      <w:pPr>
        <w:pStyle w:val="Normal"/>
        <w:jc w:val="both"/>
        <w:rPr/>
      </w:pPr>
      <w:r>
        <w:rPr/>
      </w:r>
    </w:p>
    <w:tbl>
      <w:tblPr>
        <w:tblW w:w="10080" w:type="dxa"/>
        <w:jc w:val="start"/>
        <w:tblInd w:w="0" w:type="dxa"/>
        <w:tblLayout w:type="fixed"/>
        <w:tblCellMar>
          <w:top w:w="12" w:type="dxa"/>
          <w:start w:w="12" w:type="dxa"/>
          <w:bottom w:w="0" w:type="dxa"/>
          <w:end w:w="12" w:type="dxa"/>
        </w:tblCellMar>
      </w:tblPr>
      <w:tblGrid>
        <w:gridCol w:w="1460"/>
        <w:gridCol w:w="1080"/>
        <w:gridCol w:w="1840"/>
        <w:gridCol w:w="2260"/>
        <w:gridCol w:w="1400"/>
        <w:gridCol w:w="2040"/>
      </w:tblGrid>
      <w:tr>
        <w:trPr>
          <w:trHeight w:val="525" w:hRule="atLeast"/>
        </w:trPr>
        <w:tc>
          <w:tcPr>
            <w:tcW w:w="1460" w:type="dxa"/>
            <w:tcBorders>
              <w:top w:val="single" w:sz="4" w:space="0" w:color="000000"/>
              <w:start w:val="single" w:sz="4" w:space="0" w:color="000000"/>
              <w:bottom w:val="single" w:sz="4" w:space="0" w:color="000000"/>
              <w:end w:val="single" w:sz="4" w:space="0" w:color="000000"/>
            </w:tcBorders>
            <w:shd w:fill="99CCFF" w:val="clear"/>
            <w:vAlign w:val="bottom"/>
          </w:tcPr>
          <w:p>
            <w:pPr>
              <w:pStyle w:val="Normal"/>
              <w:rPr>
                <w:b/>
                <w:bCs/>
                <w:sz w:val="20"/>
                <w:szCs w:val="20"/>
              </w:rPr>
            </w:pPr>
            <w:r>
              <w:rPr>
                <w:b/>
                <w:bCs/>
                <w:sz w:val="20"/>
                <w:szCs w:val="20"/>
              </w:rPr>
              <w:t>Last name</w:t>
            </w:r>
          </w:p>
        </w:tc>
        <w:tc>
          <w:tcPr>
            <w:tcW w:w="1080" w:type="dxa"/>
            <w:tcBorders>
              <w:top w:val="single" w:sz="4" w:space="0" w:color="000000"/>
              <w:bottom w:val="single" w:sz="4" w:space="0" w:color="000000"/>
              <w:end w:val="single" w:sz="4" w:space="0" w:color="000000"/>
            </w:tcBorders>
            <w:shd w:fill="99CCFF" w:val="clear"/>
            <w:vAlign w:val="bottom"/>
          </w:tcPr>
          <w:p>
            <w:pPr>
              <w:pStyle w:val="Normal"/>
              <w:rPr>
                <w:b/>
                <w:bCs/>
                <w:sz w:val="20"/>
                <w:szCs w:val="20"/>
              </w:rPr>
            </w:pPr>
            <w:r>
              <w:rPr>
                <w:b/>
                <w:bCs/>
                <w:sz w:val="20"/>
                <w:szCs w:val="20"/>
              </w:rPr>
              <w:t>First name</w:t>
            </w:r>
          </w:p>
        </w:tc>
        <w:tc>
          <w:tcPr>
            <w:tcW w:w="1840" w:type="dxa"/>
            <w:tcBorders>
              <w:top w:val="single" w:sz="4" w:space="0" w:color="000000"/>
              <w:bottom w:val="single" w:sz="4" w:space="0" w:color="000000"/>
              <w:end w:val="single" w:sz="4" w:space="0" w:color="000000"/>
            </w:tcBorders>
            <w:shd w:fill="99CCFF" w:val="clear"/>
            <w:vAlign w:val="bottom"/>
          </w:tcPr>
          <w:p>
            <w:pPr>
              <w:pStyle w:val="Normal"/>
              <w:rPr>
                <w:b/>
                <w:bCs/>
                <w:sz w:val="20"/>
                <w:szCs w:val="20"/>
              </w:rPr>
            </w:pPr>
            <w:r>
              <w:rPr>
                <w:b/>
                <w:bCs/>
                <w:sz w:val="20"/>
                <w:szCs w:val="20"/>
              </w:rPr>
              <w:t>Chart</w:t>
            </w:r>
          </w:p>
        </w:tc>
        <w:tc>
          <w:tcPr>
            <w:tcW w:w="2260" w:type="dxa"/>
            <w:tcBorders>
              <w:top w:val="single" w:sz="4" w:space="0" w:color="000000"/>
              <w:bottom w:val="single" w:sz="4" w:space="0" w:color="000000"/>
              <w:end w:val="single" w:sz="4" w:space="0" w:color="000000"/>
            </w:tcBorders>
            <w:shd w:fill="99CCFF" w:val="clear"/>
            <w:vAlign w:val="bottom"/>
          </w:tcPr>
          <w:p>
            <w:pPr>
              <w:pStyle w:val="Normal"/>
              <w:rPr>
                <w:b/>
                <w:bCs/>
                <w:sz w:val="16"/>
                <w:szCs w:val="16"/>
              </w:rPr>
            </w:pPr>
            <w:r>
              <w:rPr>
                <w:b/>
                <w:bCs/>
                <w:sz w:val="16"/>
                <w:szCs w:val="16"/>
              </w:rPr>
              <w:t>Org Status</w:t>
            </w:r>
          </w:p>
        </w:tc>
        <w:tc>
          <w:tcPr>
            <w:tcW w:w="1400" w:type="dxa"/>
            <w:tcBorders>
              <w:top w:val="single" w:sz="4" w:space="0" w:color="000000"/>
              <w:bottom w:val="single" w:sz="4" w:space="0" w:color="000000"/>
              <w:end w:val="single" w:sz="4" w:space="0" w:color="000000"/>
            </w:tcBorders>
            <w:shd w:fill="99CCFF" w:val="clear"/>
            <w:vAlign w:val="bottom"/>
          </w:tcPr>
          <w:p>
            <w:pPr>
              <w:pStyle w:val="Normal"/>
              <w:rPr>
                <w:b/>
                <w:bCs/>
                <w:sz w:val="16"/>
                <w:szCs w:val="16"/>
              </w:rPr>
            </w:pPr>
            <w:r>
              <w:rPr>
                <w:b/>
                <w:bCs/>
                <w:sz w:val="16"/>
                <w:szCs w:val="16"/>
              </w:rPr>
              <w:t>Org</w:t>
            </w:r>
          </w:p>
        </w:tc>
        <w:tc>
          <w:tcPr>
            <w:tcW w:w="2040" w:type="dxa"/>
            <w:tcBorders>
              <w:top w:val="single" w:sz="4" w:space="0" w:color="000000"/>
              <w:bottom w:val="single" w:sz="4" w:space="0" w:color="000000"/>
              <w:end w:val="single" w:sz="4" w:space="0" w:color="000000"/>
            </w:tcBorders>
            <w:shd w:fill="99CCFF" w:val="clear"/>
            <w:vAlign w:val="bottom"/>
          </w:tcPr>
          <w:p>
            <w:pPr>
              <w:pStyle w:val="Normal"/>
              <w:rPr>
                <w:b/>
                <w:bCs/>
                <w:sz w:val="20"/>
                <w:szCs w:val="20"/>
              </w:rPr>
            </w:pPr>
            <w:r>
              <w:rPr>
                <w:b/>
                <w:bCs/>
                <w:sz w:val="20"/>
                <w:szCs w:val="20"/>
              </w:rPr>
              <w:t>Position name</w:t>
            </w:r>
          </w:p>
        </w:tc>
      </w:tr>
      <w:tr>
        <w:trPr>
          <w:trHeight w:val="264" w:hRule="atLeast"/>
        </w:trPr>
        <w:tc>
          <w:tcPr>
            <w:tcW w:w="1460" w:type="dxa"/>
            <w:tcBorders/>
            <w:vAlign w:val="bottom"/>
          </w:tcPr>
          <w:p>
            <w:pPr>
              <w:pStyle w:val="Normal"/>
              <w:numPr>
                <w:ilvl w:val="0"/>
                <w:numId w:val="0"/>
              </w:numPr>
              <w:snapToGrid w:val="false"/>
              <w:outlineLvl w:val="1"/>
              <w:rPr>
                <w:rFonts w:ascii="Arial" w:hAnsi="Arial" w:cs="Arial"/>
                <w:b/>
                <w:bCs/>
                <w:sz w:val="20"/>
                <w:szCs w:val="20"/>
              </w:rPr>
            </w:pPr>
            <w:r>
              <w:rPr>
                <w:rFonts w:cs="Arial" w:ascii="Arial" w:hAnsi="Arial"/>
                <w:b/>
                <w:bCs/>
                <w:sz w:val="20"/>
                <w:szCs w:val="20"/>
              </w:rPr>
            </w:r>
          </w:p>
        </w:tc>
        <w:tc>
          <w:tcPr>
            <w:tcW w:w="1080" w:type="dxa"/>
            <w:tcBorders/>
            <w:vAlign w:val="bottom"/>
          </w:tcPr>
          <w:p>
            <w:pPr>
              <w:pStyle w:val="Normal"/>
              <w:numPr>
                <w:ilvl w:val="0"/>
                <w:numId w:val="0"/>
              </w:numPr>
              <w:outlineLvl w:val="1"/>
              <w:rPr>
                <w:rFonts w:ascii="Arial" w:hAnsi="Arial" w:eastAsia="Arial" w:cs="Arial"/>
                <w:sz w:val="20"/>
                <w:szCs w:val="20"/>
              </w:rPr>
            </w:pPr>
            <w:r>
              <w:rPr>
                <w:rFonts w:eastAsia="Arial" w:cs="Arial" w:ascii="Arial" w:hAnsi="Arial"/>
                <w:sz w:val="20"/>
                <w:szCs w:val="20"/>
              </w:rPr>
              <w:t xml:space="preserve"> </w:t>
            </w:r>
          </w:p>
        </w:tc>
        <w:tc>
          <w:tcPr>
            <w:tcW w:w="1840" w:type="dxa"/>
            <w:tcBorders/>
            <w:vAlign w:val="bottom"/>
          </w:tcPr>
          <w:p>
            <w:pPr>
              <w:pStyle w:val="Normal"/>
              <w:numPr>
                <w:ilvl w:val="0"/>
                <w:numId w:val="0"/>
              </w:numPr>
              <w:outlineLvl w:val="1"/>
              <w:rPr>
                <w:rFonts w:ascii="Arial" w:hAnsi="Arial" w:cs="Arial"/>
                <w:b/>
                <w:bCs/>
                <w:sz w:val="20"/>
                <w:szCs w:val="20"/>
              </w:rPr>
            </w:pPr>
            <w:r>
              <w:rPr>
                <w:rFonts w:cs="Arial" w:ascii="Arial" w:hAnsi="Arial"/>
                <w:b/>
                <w:bCs/>
                <w:sz w:val="20"/>
                <w:szCs w:val="20"/>
              </w:rPr>
              <w:t>MARKETING</w:t>
            </w:r>
          </w:p>
        </w:tc>
        <w:tc>
          <w:tcPr>
            <w:tcW w:w="2260" w:type="dxa"/>
            <w:tcBorders/>
            <w:vAlign w:val="bottom"/>
          </w:tcPr>
          <w:p>
            <w:pPr>
              <w:pStyle w:val="Normal"/>
              <w:numPr>
                <w:ilvl w:val="0"/>
                <w:numId w:val="0"/>
              </w:numPr>
              <w:snapToGrid w:val="false"/>
              <w:outlineLvl w:val="1"/>
              <w:rPr>
                <w:rFonts w:ascii="Arial" w:hAnsi="Arial" w:cs="Arial"/>
                <w:b/>
                <w:bCs/>
                <w:sz w:val="16"/>
                <w:szCs w:val="16"/>
              </w:rPr>
            </w:pPr>
            <w:r>
              <w:rPr>
                <w:rFonts w:cs="Arial" w:ascii="Arial" w:hAnsi="Arial"/>
                <w:b/>
                <w:bCs/>
                <w:sz w:val="16"/>
                <w:szCs w:val="16"/>
              </w:rPr>
            </w:r>
          </w:p>
        </w:tc>
        <w:tc>
          <w:tcPr>
            <w:tcW w:w="1400" w:type="dxa"/>
            <w:tcBorders/>
            <w:vAlign w:val="bottom"/>
          </w:tcPr>
          <w:p>
            <w:pPr>
              <w:pStyle w:val="Normal"/>
              <w:numPr>
                <w:ilvl w:val="0"/>
                <w:numId w:val="0"/>
              </w:numPr>
              <w:snapToGrid w:val="false"/>
              <w:outlineLvl w:val="1"/>
              <w:rPr>
                <w:rFonts w:ascii="Arial" w:hAnsi="Arial" w:cs="Arial"/>
                <w:sz w:val="16"/>
                <w:szCs w:val="16"/>
              </w:rPr>
            </w:pPr>
            <w:r>
              <w:rPr>
                <w:rFonts w:cs="Arial" w:ascii="Arial" w:hAnsi="Arial"/>
                <w:sz w:val="16"/>
                <w:szCs w:val="16"/>
              </w:rPr>
            </w:r>
          </w:p>
        </w:tc>
        <w:tc>
          <w:tcPr>
            <w:tcW w:w="2040" w:type="dxa"/>
            <w:tcBorders/>
            <w:vAlign w:val="bottom"/>
          </w:tcPr>
          <w:p>
            <w:pPr>
              <w:pStyle w:val="Normal"/>
              <w:numPr>
                <w:ilvl w:val="0"/>
                <w:numId w:val="0"/>
              </w:numPr>
              <w:snapToGrid w:val="false"/>
              <w:outlineLvl w:val="1"/>
              <w:rPr>
                <w:rFonts w:ascii="Arial" w:hAnsi="Arial" w:cs="Arial"/>
                <w:sz w:val="16"/>
                <w:szCs w:val="16"/>
              </w:rPr>
            </w:pPr>
            <w:r>
              <w:rPr>
                <w:rFonts w:cs="Arial" w:ascii="Arial" w:hAnsi="Arial"/>
                <w:sz w:val="16"/>
                <w:szCs w:val="16"/>
              </w:rPr>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Bubert</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Jerry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NOT ON CHART</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Consultant</w:t>
            </w:r>
          </w:p>
        </w:tc>
        <w:tc>
          <w:tcPr>
            <w:tcW w:w="140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Dir Asset Dev</w:t>
            </w:r>
          </w:p>
        </w:tc>
      </w:tr>
      <w:tr>
        <w:trPr>
          <w:trHeight w:val="264" w:hRule="atLeast"/>
        </w:trPr>
        <w:tc>
          <w:tcPr>
            <w:tcW w:w="1460" w:type="dxa"/>
            <w:tcBorders/>
            <w:vAlign w:val="bottom"/>
          </w:tcPr>
          <w:p>
            <w:pPr>
              <w:pStyle w:val="Normal"/>
              <w:numPr>
                <w:ilvl w:val="0"/>
                <w:numId w:val="0"/>
              </w:numPr>
              <w:snapToGrid w:val="false"/>
              <w:outlineLvl w:val="3"/>
              <w:rPr>
                <w:rFonts w:ascii="Arial" w:hAnsi="Arial" w:cs="Arial"/>
                <w:sz w:val="20"/>
                <w:szCs w:val="20"/>
              </w:rPr>
            </w:pPr>
            <w:r>
              <w:rPr>
                <w:rFonts w:cs="Arial" w:ascii="Arial" w:hAnsi="Arial"/>
                <w:sz w:val="20"/>
                <w:szCs w:val="20"/>
              </w:rPr>
            </w:r>
          </w:p>
        </w:tc>
        <w:tc>
          <w:tcPr>
            <w:tcW w:w="1080" w:type="dxa"/>
            <w:tcBorders/>
            <w:vAlign w:val="bottom"/>
          </w:tcPr>
          <w:p>
            <w:pPr>
              <w:pStyle w:val="Normal"/>
              <w:numPr>
                <w:ilvl w:val="0"/>
                <w:numId w:val="0"/>
              </w:numPr>
              <w:snapToGrid w:val="false"/>
              <w:outlineLvl w:val="3"/>
              <w:rPr>
                <w:rFonts w:ascii="Arial" w:hAnsi="Arial" w:cs="Arial"/>
                <w:sz w:val="20"/>
                <w:szCs w:val="20"/>
              </w:rPr>
            </w:pPr>
            <w:r>
              <w:rPr>
                <w:rFonts w:cs="Arial" w:ascii="Arial" w:hAnsi="Arial"/>
                <w:sz w:val="20"/>
                <w:szCs w:val="20"/>
              </w:rPr>
            </w:r>
          </w:p>
        </w:tc>
        <w:tc>
          <w:tcPr>
            <w:tcW w:w="1840" w:type="dxa"/>
            <w:tcBorders/>
            <w:vAlign w:val="bottom"/>
          </w:tcPr>
          <w:p>
            <w:pPr>
              <w:pStyle w:val="Normal"/>
              <w:numPr>
                <w:ilvl w:val="0"/>
                <w:numId w:val="0"/>
              </w:numPr>
              <w:snapToGrid w:val="false"/>
              <w:outlineLvl w:val="3"/>
              <w:rPr>
                <w:rFonts w:ascii="Arial" w:hAnsi="Arial" w:cs="Arial"/>
                <w:sz w:val="20"/>
                <w:szCs w:val="20"/>
              </w:rPr>
            </w:pPr>
            <w:r>
              <w:rPr>
                <w:rFonts w:cs="Arial" w:ascii="Arial" w:hAnsi="Arial"/>
                <w:sz w:val="20"/>
                <w:szCs w:val="20"/>
              </w:rPr>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204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r>
      <w:tr>
        <w:trPr>
          <w:trHeight w:val="264" w:hRule="atLeast"/>
        </w:trPr>
        <w:tc>
          <w:tcPr>
            <w:tcW w:w="1460" w:type="dxa"/>
            <w:tcBorders/>
            <w:vAlign w:val="bottom"/>
          </w:tcPr>
          <w:p>
            <w:pPr>
              <w:pStyle w:val="Normal"/>
              <w:numPr>
                <w:ilvl w:val="0"/>
                <w:numId w:val="0"/>
              </w:numPr>
              <w:snapToGrid w:val="false"/>
              <w:outlineLvl w:val="3"/>
              <w:rPr>
                <w:rFonts w:ascii="Arial" w:hAnsi="Arial" w:cs="Arial"/>
                <w:sz w:val="20"/>
                <w:szCs w:val="20"/>
              </w:rPr>
            </w:pPr>
            <w:r>
              <w:rPr>
                <w:rFonts w:cs="Arial" w:ascii="Arial" w:hAnsi="Arial"/>
                <w:sz w:val="20"/>
                <w:szCs w:val="20"/>
              </w:rPr>
            </w:r>
          </w:p>
        </w:tc>
        <w:tc>
          <w:tcPr>
            <w:tcW w:w="1080" w:type="dxa"/>
            <w:tcBorders/>
            <w:vAlign w:val="bottom"/>
          </w:tcPr>
          <w:p>
            <w:pPr>
              <w:pStyle w:val="Normal"/>
              <w:numPr>
                <w:ilvl w:val="0"/>
                <w:numId w:val="0"/>
              </w:numPr>
              <w:snapToGrid w:val="false"/>
              <w:outlineLvl w:val="3"/>
              <w:rPr>
                <w:rFonts w:ascii="Arial" w:hAnsi="Arial" w:cs="Arial"/>
                <w:sz w:val="20"/>
                <w:szCs w:val="20"/>
              </w:rPr>
            </w:pPr>
            <w:r>
              <w:rPr>
                <w:rFonts w:cs="Arial" w:ascii="Arial" w:hAnsi="Arial"/>
                <w:sz w:val="20"/>
                <w:szCs w:val="20"/>
              </w:rPr>
            </w:r>
          </w:p>
        </w:tc>
        <w:tc>
          <w:tcPr>
            <w:tcW w:w="1840" w:type="dxa"/>
            <w:tcBorders/>
            <w:vAlign w:val="bottom"/>
          </w:tcPr>
          <w:p>
            <w:pPr>
              <w:pStyle w:val="Normal"/>
              <w:numPr>
                <w:ilvl w:val="0"/>
                <w:numId w:val="0"/>
              </w:numPr>
              <w:outlineLvl w:val="3"/>
              <w:rPr>
                <w:rFonts w:ascii="Arial" w:hAnsi="Arial" w:cs="Arial"/>
                <w:b/>
                <w:bCs/>
                <w:sz w:val="20"/>
                <w:szCs w:val="20"/>
              </w:rPr>
            </w:pPr>
            <w:r>
              <w:rPr>
                <w:rFonts w:cs="Arial" w:ascii="Arial" w:hAnsi="Arial"/>
                <w:b/>
                <w:bCs/>
                <w:sz w:val="20"/>
                <w:szCs w:val="20"/>
              </w:rPr>
              <w:t xml:space="preserve">ENERGY OPS. </w:t>
            </w:r>
          </w:p>
        </w:tc>
        <w:tc>
          <w:tcPr>
            <w:tcW w:w="2260" w:type="dxa"/>
            <w:tcBorders/>
            <w:vAlign w:val="bottom"/>
          </w:tcPr>
          <w:p>
            <w:pPr>
              <w:pStyle w:val="Normal"/>
              <w:numPr>
                <w:ilvl w:val="0"/>
                <w:numId w:val="0"/>
              </w:numPr>
              <w:snapToGrid w:val="false"/>
              <w:outlineLvl w:val="3"/>
              <w:rPr>
                <w:rFonts w:ascii="Arial" w:hAnsi="Arial" w:cs="Arial"/>
                <w:b/>
                <w:bCs/>
                <w:sz w:val="16"/>
                <w:szCs w:val="16"/>
              </w:rPr>
            </w:pPr>
            <w:r>
              <w:rPr>
                <w:rFonts w:cs="Arial" w:ascii="Arial" w:hAnsi="Arial"/>
                <w:b/>
                <w:bCs/>
                <w:sz w:val="16"/>
                <w:szCs w:val="16"/>
              </w:rPr>
            </w:r>
          </w:p>
        </w:tc>
        <w:tc>
          <w:tcPr>
            <w:tcW w:w="140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204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Morgan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Jackie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Global Systems</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Arriaga</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Veronica</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Confirmations</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Gin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Cynthia</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Settlements</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Lehart</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Greg</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Settlements</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snapToGrid w:val="false"/>
              <w:outlineLvl w:val="3"/>
              <w:rPr>
                <w:rFonts w:ascii="Arial" w:hAnsi="Arial" w:cs="Arial"/>
                <w:sz w:val="20"/>
                <w:szCs w:val="20"/>
              </w:rPr>
            </w:pPr>
            <w:r>
              <w:rPr>
                <w:rFonts w:cs="Arial" w:ascii="Arial" w:hAnsi="Arial"/>
                <w:sz w:val="20"/>
                <w:szCs w:val="20"/>
              </w:rPr>
            </w:r>
          </w:p>
        </w:tc>
        <w:tc>
          <w:tcPr>
            <w:tcW w:w="1080" w:type="dxa"/>
            <w:tcBorders/>
            <w:vAlign w:val="bottom"/>
          </w:tcPr>
          <w:p>
            <w:pPr>
              <w:pStyle w:val="Normal"/>
              <w:numPr>
                <w:ilvl w:val="0"/>
                <w:numId w:val="0"/>
              </w:numPr>
              <w:snapToGrid w:val="false"/>
              <w:outlineLvl w:val="3"/>
              <w:rPr>
                <w:rFonts w:ascii="Arial" w:hAnsi="Arial" w:cs="Arial"/>
                <w:sz w:val="20"/>
                <w:szCs w:val="20"/>
              </w:rPr>
            </w:pPr>
            <w:r>
              <w:rPr>
                <w:rFonts w:cs="Arial" w:ascii="Arial" w:hAnsi="Arial"/>
                <w:sz w:val="20"/>
                <w:szCs w:val="20"/>
              </w:rPr>
            </w:r>
          </w:p>
        </w:tc>
        <w:tc>
          <w:tcPr>
            <w:tcW w:w="1840" w:type="dxa"/>
            <w:tcBorders/>
            <w:vAlign w:val="bottom"/>
          </w:tcPr>
          <w:p>
            <w:pPr>
              <w:pStyle w:val="Normal"/>
              <w:numPr>
                <w:ilvl w:val="0"/>
                <w:numId w:val="0"/>
              </w:numPr>
              <w:snapToGrid w:val="false"/>
              <w:outlineLvl w:val="3"/>
              <w:rPr>
                <w:rFonts w:ascii="Arial" w:hAnsi="Arial" w:cs="Arial"/>
                <w:sz w:val="20"/>
                <w:szCs w:val="20"/>
              </w:rPr>
            </w:pPr>
            <w:r>
              <w:rPr>
                <w:rFonts w:cs="Arial" w:ascii="Arial" w:hAnsi="Arial"/>
                <w:sz w:val="20"/>
                <w:szCs w:val="20"/>
              </w:rPr>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204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r>
      <w:tr>
        <w:trPr>
          <w:trHeight w:val="264" w:hRule="atLeast"/>
        </w:trPr>
        <w:tc>
          <w:tcPr>
            <w:tcW w:w="1460" w:type="dxa"/>
            <w:tcBorders/>
            <w:vAlign w:val="bottom"/>
          </w:tcPr>
          <w:p>
            <w:pPr>
              <w:pStyle w:val="Normal"/>
              <w:numPr>
                <w:ilvl w:val="0"/>
                <w:numId w:val="0"/>
              </w:numPr>
              <w:snapToGrid w:val="false"/>
              <w:outlineLvl w:val="3"/>
              <w:rPr>
                <w:rFonts w:ascii="Arial" w:hAnsi="Arial" w:cs="Arial"/>
                <w:sz w:val="20"/>
                <w:szCs w:val="20"/>
              </w:rPr>
            </w:pPr>
            <w:r>
              <w:rPr>
                <w:rFonts w:cs="Arial" w:ascii="Arial" w:hAnsi="Arial"/>
                <w:sz w:val="20"/>
                <w:szCs w:val="20"/>
              </w:rPr>
            </w:r>
          </w:p>
        </w:tc>
        <w:tc>
          <w:tcPr>
            <w:tcW w:w="1080" w:type="dxa"/>
            <w:tcBorders/>
            <w:vAlign w:val="bottom"/>
          </w:tcPr>
          <w:p>
            <w:pPr>
              <w:pStyle w:val="Normal"/>
              <w:numPr>
                <w:ilvl w:val="0"/>
                <w:numId w:val="0"/>
              </w:numPr>
              <w:snapToGrid w:val="false"/>
              <w:outlineLvl w:val="3"/>
              <w:rPr>
                <w:rFonts w:ascii="Arial" w:hAnsi="Arial" w:cs="Arial"/>
                <w:sz w:val="20"/>
                <w:szCs w:val="20"/>
              </w:rPr>
            </w:pPr>
            <w:r>
              <w:rPr>
                <w:rFonts w:cs="Arial" w:ascii="Arial" w:hAnsi="Arial"/>
                <w:sz w:val="20"/>
                <w:szCs w:val="20"/>
              </w:rPr>
            </w:r>
          </w:p>
        </w:tc>
        <w:tc>
          <w:tcPr>
            <w:tcW w:w="1840" w:type="dxa"/>
            <w:tcBorders/>
            <w:vAlign w:val="bottom"/>
          </w:tcPr>
          <w:p>
            <w:pPr>
              <w:pStyle w:val="Normal"/>
              <w:numPr>
                <w:ilvl w:val="0"/>
                <w:numId w:val="0"/>
              </w:numPr>
              <w:snapToGrid w:val="false"/>
              <w:outlineLvl w:val="3"/>
              <w:rPr>
                <w:rFonts w:ascii="Arial" w:hAnsi="Arial" w:cs="Arial"/>
                <w:sz w:val="20"/>
                <w:szCs w:val="20"/>
              </w:rPr>
            </w:pPr>
            <w:r>
              <w:rPr>
                <w:rFonts w:cs="Arial" w:ascii="Arial" w:hAnsi="Arial"/>
                <w:sz w:val="20"/>
                <w:szCs w:val="20"/>
              </w:rPr>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204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r>
      <w:tr>
        <w:trPr>
          <w:trHeight w:val="264" w:hRule="atLeast"/>
        </w:trPr>
        <w:tc>
          <w:tcPr>
            <w:tcW w:w="1460" w:type="dxa"/>
            <w:tcBorders/>
            <w:vAlign w:val="bottom"/>
          </w:tcPr>
          <w:p>
            <w:pPr>
              <w:pStyle w:val="Normal"/>
              <w:numPr>
                <w:ilvl w:val="0"/>
                <w:numId w:val="0"/>
              </w:numPr>
              <w:snapToGrid w:val="false"/>
              <w:outlineLvl w:val="3"/>
              <w:rPr>
                <w:rFonts w:ascii="Arial" w:hAnsi="Arial" w:cs="Arial"/>
                <w:sz w:val="20"/>
                <w:szCs w:val="20"/>
              </w:rPr>
            </w:pPr>
            <w:r>
              <w:rPr>
                <w:rFonts w:cs="Arial" w:ascii="Arial" w:hAnsi="Arial"/>
                <w:sz w:val="20"/>
                <w:szCs w:val="20"/>
              </w:rPr>
            </w:r>
          </w:p>
        </w:tc>
        <w:tc>
          <w:tcPr>
            <w:tcW w:w="1080" w:type="dxa"/>
            <w:tcBorders/>
            <w:vAlign w:val="bottom"/>
          </w:tcPr>
          <w:p>
            <w:pPr>
              <w:pStyle w:val="Normal"/>
              <w:numPr>
                <w:ilvl w:val="0"/>
                <w:numId w:val="0"/>
              </w:numPr>
              <w:snapToGrid w:val="false"/>
              <w:outlineLvl w:val="3"/>
              <w:rPr>
                <w:rFonts w:ascii="Arial" w:hAnsi="Arial" w:cs="Arial"/>
                <w:sz w:val="20"/>
                <w:szCs w:val="20"/>
              </w:rPr>
            </w:pPr>
            <w:r>
              <w:rPr>
                <w:rFonts w:cs="Arial" w:ascii="Arial" w:hAnsi="Arial"/>
                <w:sz w:val="20"/>
                <w:szCs w:val="20"/>
              </w:rPr>
            </w:r>
          </w:p>
        </w:tc>
        <w:tc>
          <w:tcPr>
            <w:tcW w:w="1840" w:type="dxa"/>
            <w:tcBorders/>
            <w:vAlign w:val="bottom"/>
          </w:tcPr>
          <w:p>
            <w:pPr>
              <w:pStyle w:val="Normal"/>
              <w:numPr>
                <w:ilvl w:val="0"/>
                <w:numId w:val="0"/>
              </w:numPr>
              <w:outlineLvl w:val="3"/>
              <w:rPr>
                <w:rFonts w:ascii="Arial" w:hAnsi="Arial" w:cs="Arial"/>
                <w:b/>
                <w:bCs/>
                <w:sz w:val="20"/>
                <w:szCs w:val="20"/>
              </w:rPr>
            </w:pPr>
            <w:r>
              <w:rPr>
                <w:rFonts w:cs="Arial" w:ascii="Arial" w:hAnsi="Arial"/>
                <w:b/>
                <w:bCs/>
                <w:sz w:val="20"/>
                <w:szCs w:val="20"/>
              </w:rPr>
              <w:t>ACCOUNTING</w:t>
            </w:r>
          </w:p>
        </w:tc>
        <w:tc>
          <w:tcPr>
            <w:tcW w:w="2260" w:type="dxa"/>
            <w:tcBorders/>
            <w:vAlign w:val="bottom"/>
          </w:tcPr>
          <w:p>
            <w:pPr>
              <w:pStyle w:val="Normal"/>
              <w:numPr>
                <w:ilvl w:val="0"/>
                <w:numId w:val="0"/>
              </w:numPr>
              <w:snapToGrid w:val="false"/>
              <w:outlineLvl w:val="3"/>
              <w:rPr>
                <w:rFonts w:ascii="Arial" w:hAnsi="Arial" w:cs="Arial"/>
                <w:b/>
                <w:bCs/>
                <w:sz w:val="16"/>
                <w:szCs w:val="16"/>
              </w:rPr>
            </w:pPr>
            <w:r>
              <w:rPr>
                <w:rFonts w:cs="Arial" w:ascii="Arial" w:hAnsi="Arial"/>
                <w:b/>
                <w:bCs/>
                <w:sz w:val="16"/>
                <w:szCs w:val="16"/>
              </w:rPr>
            </w:r>
          </w:p>
        </w:tc>
        <w:tc>
          <w:tcPr>
            <w:tcW w:w="140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204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Kendall</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Kerry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General</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Manager</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Miroballi</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Yvette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Property</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Manager</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Lopez</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Blanca</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General</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Eisenbrandt</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Anita</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General</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Coleman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Jane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General</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Replaces Cassandra Pollack</w:t>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Nelson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Jackie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General</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Azore</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Jacquelyn</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Property/General</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Fills Vacant Position on Chart</w:t>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Wright</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Erica</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Property</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Hernandez</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Anamaria</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Property</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Little</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Jim</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Contracts</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Pitre</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Becky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Contracts</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Cernosek</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Frank</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Contracts</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Reinhardt</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Donald</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Contracts</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Sr. Specialist</w:t>
            </w:r>
          </w:p>
        </w:tc>
      </w:tr>
      <w:tr>
        <w:trPr>
          <w:trHeight w:val="264"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Taylor</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Vance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Contracts</w:t>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ENA</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Specialist</w:t>
            </w:r>
          </w:p>
        </w:tc>
      </w:tr>
      <w:tr>
        <w:trPr>
          <w:trHeight w:val="264" w:hRule="atLeast"/>
        </w:trPr>
        <w:tc>
          <w:tcPr>
            <w:tcW w:w="1460" w:type="dxa"/>
            <w:tcBorders/>
            <w:vAlign w:val="bottom"/>
          </w:tcPr>
          <w:p>
            <w:pPr>
              <w:pStyle w:val="Normal"/>
              <w:numPr>
                <w:ilvl w:val="0"/>
                <w:numId w:val="0"/>
              </w:numPr>
              <w:snapToGrid w:val="false"/>
              <w:outlineLvl w:val="3"/>
              <w:rPr>
                <w:rFonts w:ascii="Arial" w:hAnsi="Arial" w:cs="Arial"/>
                <w:sz w:val="20"/>
                <w:szCs w:val="20"/>
              </w:rPr>
            </w:pPr>
            <w:r>
              <w:rPr>
                <w:rFonts w:cs="Arial" w:ascii="Arial" w:hAnsi="Arial"/>
                <w:sz w:val="20"/>
                <w:szCs w:val="20"/>
              </w:rPr>
            </w:r>
          </w:p>
        </w:tc>
        <w:tc>
          <w:tcPr>
            <w:tcW w:w="1080" w:type="dxa"/>
            <w:tcBorders/>
            <w:vAlign w:val="bottom"/>
          </w:tcPr>
          <w:p>
            <w:pPr>
              <w:pStyle w:val="Normal"/>
              <w:numPr>
                <w:ilvl w:val="0"/>
                <w:numId w:val="0"/>
              </w:numPr>
              <w:snapToGrid w:val="false"/>
              <w:outlineLvl w:val="3"/>
              <w:rPr>
                <w:rFonts w:ascii="Arial" w:hAnsi="Arial" w:cs="Arial"/>
                <w:sz w:val="20"/>
                <w:szCs w:val="20"/>
              </w:rPr>
            </w:pPr>
            <w:r>
              <w:rPr>
                <w:rFonts w:cs="Arial" w:ascii="Arial" w:hAnsi="Arial"/>
                <w:sz w:val="20"/>
                <w:szCs w:val="20"/>
              </w:rPr>
            </w:r>
          </w:p>
        </w:tc>
        <w:tc>
          <w:tcPr>
            <w:tcW w:w="184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226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140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c>
          <w:tcPr>
            <w:tcW w:w="2040" w:type="dxa"/>
            <w:tcBorders/>
            <w:vAlign w:val="bottom"/>
          </w:tcPr>
          <w:p>
            <w:pPr>
              <w:pStyle w:val="Normal"/>
              <w:numPr>
                <w:ilvl w:val="0"/>
                <w:numId w:val="0"/>
              </w:numPr>
              <w:snapToGrid w:val="false"/>
              <w:outlineLvl w:val="3"/>
              <w:rPr>
                <w:rFonts w:ascii="Arial" w:hAnsi="Arial" w:cs="Arial"/>
                <w:sz w:val="16"/>
                <w:szCs w:val="16"/>
              </w:rPr>
            </w:pPr>
            <w:r>
              <w:rPr>
                <w:rFonts w:cs="Arial" w:ascii="Arial" w:hAnsi="Arial"/>
                <w:sz w:val="16"/>
                <w:szCs w:val="16"/>
              </w:rPr>
            </w:r>
          </w:p>
        </w:tc>
      </w:tr>
      <w:tr>
        <w:trPr>
          <w:trHeight w:val="264" w:hRule="atLeast"/>
        </w:trPr>
        <w:tc>
          <w:tcPr>
            <w:tcW w:w="1460" w:type="dxa"/>
            <w:tcBorders/>
            <w:vAlign w:val="bottom"/>
          </w:tcPr>
          <w:p>
            <w:pPr>
              <w:pStyle w:val="Normal"/>
              <w:numPr>
                <w:ilvl w:val="0"/>
                <w:numId w:val="0"/>
              </w:numPr>
              <w:snapToGrid w:val="false"/>
              <w:outlineLvl w:val="1"/>
              <w:rPr>
                <w:rFonts w:ascii="Arial" w:hAnsi="Arial" w:cs="Arial"/>
                <w:sz w:val="20"/>
                <w:szCs w:val="20"/>
              </w:rPr>
            </w:pPr>
            <w:r>
              <w:rPr>
                <w:rFonts w:cs="Arial" w:ascii="Arial" w:hAnsi="Arial"/>
                <w:sz w:val="20"/>
                <w:szCs w:val="20"/>
              </w:rPr>
            </w:r>
          </w:p>
        </w:tc>
        <w:tc>
          <w:tcPr>
            <w:tcW w:w="1080" w:type="dxa"/>
            <w:tcBorders/>
            <w:vAlign w:val="bottom"/>
          </w:tcPr>
          <w:p>
            <w:pPr>
              <w:pStyle w:val="Normal"/>
              <w:numPr>
                <w:ilvl w:val="0"/>
                <w:numId w:val="0"/>
              </w:numPr>
              <w:outlineLvl w:val="1"/>
              <w:rPr>
                <w:rFonts w:ascii="Arial" w:hAnsi="Arial" w:eastAsia="Arial" w:cs="Arial"/>
                <w:sz w:val="20"/>
                <w:szCs w:val="20"/>
              </w:rPr>
            </w:pPr>
            <w:r>
              <w:rPr>
                <w:rFonts w:eastAsia="Arial" w:cs="Arial" w:ascii="Arial" w:hAnsi="Arial"/>
                <w:sz w:val="20"/>
                <w:szCs w:val="20"/>
              </w:rPr>
              <w:t xml:space="preserve"> </w:t>
            </w:r>
          </w:p>
        </w:tc>
        <w:tc>
          <w:tcPr>
            <w:tcW w:w="1840" w:type="dxa"/>
            <w:tcBorders/>
            <w:vAlign w:val="bottom"/>
          </w:tcPr>
          <w:p>
            <w:pPr>
              <w:pStyle w:val="Normal"/>
              <w:numPr>
                <w:ilvl w:val="0"/>
                <w:numId w:val="0"/>
              </w:numPr>
              <w:outlineLvl w:val="1"/>
              <w:rPr>
                <w:rFonts w:ascii="Arial" w:hAnsi="Arial" w:cs="Arial"/>
                <w:b/>
                <w:bCs/>
                <w:sz w:val="20"/>
                <w:szCs w:val="20"/>
              </w:rPr>
            </w:pPr>
            <w:r>
              <w:rPr>
                <w:rFonts w:cs="Arial" w:ascii="Arial" w:hAnsi="Arial"/>
                <w:b/>
                <w:bCs/>
                <w:sz w:val="20"/>
                <w:szCs w:val="20"/>
              </w:rPr>
              <w:t>FIELD OPS.</w:t>
            </w:r>
          </w:p>
        </w:tc>
        <w:tc>
          <w:tcPr>
            <w:tcW w:w="2260" w:type="dxa"/>
            <w:tcBorders/>
            <w:vAlign w:val="bottom"/>
          </w:tcPr>
          <w:p>
            <w:pPr>
              <w:pStyle w:val="Normal"/>
              <w:numPr>
                <w:ilvl w:val="0"/>
                <w:numId w:val="0"/>
              </w:numPr>
              <w:snapToGrid w:val="false"/>
              <w:outlineLvl w:val="1"/>
              <w:rPr>
                <w:rFonts w:ascii="Arial" w:hAnsi="Arial" w:cs="Arial"/>
                <w:b/>
                <w:bCs/>
                <w:sz w:val="16"/>
                <w:szCs w:val="16"/>
              </w:rPr>
            </w:pPr>
            <w:r>
              <w:rPr>
                <w:rFonts w:cs="Arial" w:ascii="Arial" w:hAnsi="Arial"/>
                <w:b/>
                <w:bCs/>
                <w:sz w:val="16"/>
                <w:szCs w:val="16"/>
              </w:rPr>
            </w:r>
          </w:p>
        </w:tc>
        <w:tc>
          <w:tcPr>
            <w:tcW w:w="1400" w:type="dxa"/>
            <w:tcBorders/>
            <w:vAlign w:val="bottom"/>
          </w:tcPr>
          <w:p>
            <w:pPr>
              <w:pStyle w:val="Normal"/>
              <w:numPr>
                <w:ilvl w:val="0"/>
                <w:numId w:val="0"/>
              </w:numPr>
              <w:snapToGrid w:val="false"/>
              <w:outlineLvl w:val="1"/>
              <w:rPr>
                <w:rFonts w:ascii="Arial" w:hAnsi="Arial" w:cs="Arial"/>
                <w:sz w:val="16"/>
                <w:szCs w:val="16"/>
              </w:rPr>
            </w:pPr>
            <w:r>
              <w:rPr>
                <w:rFonts w:cs="Arial" w:ascii="Arial" w:hAnsi="Arial"/>
                <w:sz w:val="16"/>
                <w:szCs w:val="16"/>
              </w:rPr>
            </w:r>
          </w:p>
        </w:tc>
        <w:tc>
          <w:tcPr>
            <w:tcW w:w="2040" w:type="dxa"/>
            <w:tcBorders/>
            <w:vAlign w:val="bottom"/>
          </w:tcPr>
          <w:p>
            <w:pPr>
              <w:pStyle w:val="Normal"/>
              <w:numPr>
                <w:ilvl w:val="0"/>
                <w:numId w:val="0"/>
              </w:numPr>
              <w:snapToGrid w:val="false"/>
              <w:outlineLvl w:val="1"/>
              <w:rPr>
                <w:rFonts w:ascii="Arial" w:hAnsi="Arial" w:cs="Arial"/>
                <w:sz w:val="16"/>
                <w:szCs w:val="16"/>
              </w:rPr>
            </w:pPr>
            <w:r>
              <w:rPr>
                <w:rFonts w:cs="Arial" w:ascii="Arial" w:hAnsi="Arial"/>
                <w:sz w:val="16"/>
                <w:szCs w:val="16"/>
              </w:rPr>
            </w:r>
          </w:p>
        </w:tc>
      </w:tr>
      <w:tr>
        <w:trPr>
          <w:trHeight w:val="270" w:hRule="atLeast"/>
        </w:trPr>
        <w:tc>
          <w:tcPr>
            <w:tcW w:w="146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Arnold</w:t>
            </w:r>
          </w:p>
        </w:tc>
        <w:tc>
          <w:tcPr>
            <w:tcW w:w="108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Anna</w:t>
            </w:r>
          </w:p>
        </w:tc>
        <w:tc>
          <w:tcPr>
            <w:tcW w:w="184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Ops/GCO</w:t>
            </w:r>
          </w:p>
        </w:tc>
        <w:tc>
          <w:tcPr>
            <w:tcW w:w="226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 xml:space="preserve">Gco Admin Support - Corpus </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Analyst Admin Assoc</w:t>
            </w:r>
          </w:p>
        </w:tc>
      </w:tr>
      <w:tr>
        <w:trPr>
          <w:trHeight w:val="270" w:hRule="atLeast"/>
        </w:trPr>
        <w:tc>
          <w:tcPr>
            <w:tcW w:w="146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Bordelon</w:t>
            </w:r>
          </w:p>
        </w:tc>
        <w:tc>
          <w:tcPr>
            <w:tcW w:w="108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Anjinette</w:t>
            </w:r>
          </w:p>
        </w:tc>
        <w:tc>
          <w:tcPr>
            <w:tcW w:w="184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Ops/GCO</w:t>
            </w:r>
          </w:p>
        </w:tc>
        <w:tc>
          <w:tcPr>
            <w:tcW w:w="226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 Admin Support - Corpus</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Clerk Opns Int</w:t>
            </w:r>
          </w:p>
        </w:tc>
      </w:tr>
      <w:tr>
        <w:trPr>
          <w:trHeight w:val="270" w:hRule="atLeast"/>
        </w:trPr>
        <w:tc>
          <w:tcPr>
            <w:tcW w:w="146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Harwell</w:t>
            </w:r>
          </w:p>
        </w:tc>
        <w:tc>
          <w:tcPr>
            <w:tcW w:w="108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Dana</w:t>
            </w:r>
          </w:p>
        </w:tc>
        <w:tc>
          <w:tcPr>
            <w:tcW w:w="184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Ops/GCO</w:t>
            </w:r>
          </w:p>
        </w:tc>
        <w:tc>
          <w:tcPr>
            <w:tcW w:w="226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 Admin Support - Houston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Clerk Opns SR</w:t>
            </w:r>
          </w:p>
        </w:tc>
      </w:tr>
      <w:tr>
        <w:trPr>
          <w:trHeight w:val="270" w:hRule="atLeast"/>
        </w:trPr>
        <w:tc>
          <w:tcPr>
            <w:tcW w:w="146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McBath</w:t>
            </w:r>
          </w:p>
        </w:tc>
        <w:tc>
          <w:tcPr>
            <w:tcW w:w="108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Margie</w:t>
            </w:r>
          </w:p>
        </w:tc>
        <w:tc>
          <w:tcPr>
            <w:tcW w:w="184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Ops/GCO</w:t>
            </w:r>
          </w:p>
        </w:tc>
        <w:tc>
          <w:tcPr>
            <w:tcW w:w="226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 Admin Support - Houston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Clerk Opns SR</w:t>
            </w:r>
          </w:p>
        </w:tc>
      </w:tr>
      <w:tr>
        <w:trPr>
          <w:trHeight w:val="270" w:hRule="atLeast"/>
        </w:trPr>
        <w:tc>
          <w:tcPr>
            <w:tcW w:w="1460" w:type="dxa"/>
            <w:tcBorders/>
            <w:vAlign w:val="bottom"/>
          </w:tcPr>
          <w:p>
            <w:pPr>
              <w:pStyle w:val="Normal"/>
              <w:numPr>
                <w:ilvl w:val="0"/>
                <w:numId w:val="0"/>
              </w:numPr>
              <w:snapToGrid w:val="false"/>
              <w:outlineLvl w:val="3"/>
              <w:rPr>
                <w:rFonts w:ascii="Arial" w:hAnsi="Arial" w:cs="Arial"/>
                <w:color w:val="000000"/>
                <w:sz w:val="20"/>
                <w:szCs w:val="20"/>
              </w:rPr>
            </w:pPr>
            <w:r>
              <w:rPr>
                <w:rFonts w:cs="Arial" w:ascii="Arial" w:hAnsi="Arial"/>
                <w:color w:val="000000"/>
                <w:sz w:val="20"/>
                <w:szCs w:val="20"/>
              </w:rPr>
            </w:r>
          </w:p>
        </w:tc>
        <w:tc>
          <w:tcPr>
            <w:tcW w:w="1080" w:type="dxa"/>
            <w:tcBorders/>
            <w:vAlign w:val="bottom"/>
          </w:tcPr>
          <w:p>
            <w:pPr>
              <w:pStyle w:val="Normal"/>
              <w:numPr>
                <w:ilvl w:val="0"/>
                <w:numId w:val="0"/>
              </w:numPr>
              <w:jc w:val="end"/>
              <w:outlineLvl w:val="3"/>
              <w:rPr>
                <w:rFonts w:ascii="Arial" w:hAnsi="Arial" w:eastAsia="Arial" w:cs="Arial"/>
                <w:color w:val="000000"/>
                <w:sz w:val="20"/>
                <w:szCs w:val="20"/>
              </w:rPr>
            </w:pPr>
            <w:r>
              <w:rPr>
                <w:rFonts w:eastAsia="Arial" w:cs="Arial" w:ascii="Arial" w:hAnsi="Arial"/>
                <w:color w:val="000000"/>
                <w:sz w:val="20"/>
                <w:szCs w:val="20"/>
              </w:rPr>
              <w:t xml:space="preserve"> </w:t>
            </w:r>
          </w:p>
        </w:tc>
        <w:tc>
          <w:tcPr>
            <w:tcW w:w="1840" w:type="dxa"/>
            <w:tcBorders/>
            <w:vAlign w:val="bottom"/>
          </w:tcPr>
          <w:p>
            <w:pPr>
              <w:pStyle w:val="Normal"/>
              <w:numPr>
                <w:ilvl w:val="0"/>
                <w:numId w:val="0"/>
              </w:numPr>
              <w:outlineLvl w:val="3"/>
              <w:rPr>
                <w:rFonts w:ascii="Arial" w:hAnsi="Arial" w:cs="Arial"/>
                <w:color w:val="000000"/>
                <w:sz w:val="20"/>
                <w:szCs w:val="20"/>
              </w:rPr>
            </w:pPr>
            <w:r>
              <w:rPr>
                <w:rFonts w:cs="Arial" w:ascii="Arial" w:hAnsi="Arial"/>
                <w:color w:val="000000"/>
                <w:sz w:val="20"/>
                <w:szCs w:val="20"/>
              </w:rPr>
              <w:t> </w:t>
            </w:r>
          </w:p>
        </w:tc>
        <w:tc>
          <w:tcPr>
            <w:tcW w:w="226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 </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 </w:t>
            </w:r>
          </w:p>
        </w:tc>
        <w:tc>
          <w:tcPr>
            <w:tcW w:w="2040" w:type="dxa"/>
            <w:tcBorders/>
            <w:vAlign w:val="bottom"/>
          </w:tcPr>
          <w:p>
            <w:pPr>
              <w:pStyle w:val="Normal"/>
              <w:numPr>
                <w:ilvl w:val="0"/>
                <w:numId w:val="0"/>
              </w:numPr>
              <w:outlineLvl w:val="3"/>
              <w:rPr>
                <w:rFonts w:ascii="Arial" w:hAnsi="Arial" w:eastAsia="Arial" w:cs="Arial"/>
                <w:color w:val="000000"/>
                <w:sz w:val="20"/>
                <w:szCs w:val="20"/>
              </w:rPr>
            </w:pPr>
            <w:r>
              <w:rPr>
                <w:rFonts w:eastAsia="Arial" w:cs="Arial" w:ascii="Arial" w:hAnsi="Arial"/>
                <w:color w:val="000000"/>
                <w:sz w:val="20"/>
                <w:szCs w:val="20"/>
              </w:rPr>
              <w:t xml:space="preserve"> </w:t>
            </w:r>
          </w:p>
        </w:tc>
      </w:tr>
      <w:tr>
        <w:trPr>
          <w:trHeight w:val="264" w:hRule="atLeast"/>
        </w:trPr>
        <w:tc>
          <w:tcPr>
            <w:tcW w:w="1460" w:type="dxa"/>
            <w:tcBorders/>
            <w:vAlign w:val="bottom"/>
          </w:tcPr>
          <w:p>
            <w:pPr>
              <w:pStyle w:val="Normal"/>
              <w:numPr>
                <w:ilvl w:val="0"/>
                <w:numId w:val="0"/>
              </w:numPr>
              <w:outlineLvl w:val="1"/>
              <w:rPr>
                <w:rFonts w:ascii="Arial" w:hAnsi="Arial" w:cs="Arial"/>
                <w:sz w:val="16"/>
                <w:szCs w:val="16"/>
              </w:rPr>
            </w:pPr>
            <w:r>
              <w:rPr>
                <w:rFonts w:cs="Arial" w:ascii="Arial" w:hAnsi="Arial"/>
                <w:sz w:val="16"/>
                <w:szCs w:val="16"/>
              </w:rPr>
              <w:t>Thompson</w:t>
            </w:r>
          </w:p>
        </w:tc>
        <w:tc>
          <w:tcPr>
            <w:tcW w:w="1080" w:type="dxa"/>
            <w:tcBorders/>
            <w:vAlign w:val="bottom"/>
          </w:tcPr>
          <w:p>
            <w:pPr>
              <w:pStyle w:val="Normal"/>
              <w:numPr>
                <w:ilvl w:val="0"/>
                <w:numId w:val="0"/>
              </w:numPr>
              <w:outlineLvl w:val="1"/>
              <w:rPr>
                <w:rFonts w:ascii="Arial" w:hAnsi="Arial" w:cs="Arial"/>
                <w:sz w:val="16"/>
                <w:szCs w:val="16"/>
              </w:rPr>
            </w:pPr>
            <w:r>
              <w:rPr>
                <w:rFonts w:cs="Arial" w:ascii="Arial" w:hAnsi="Arial"/>
                <w:sz w:val="16"/>
                <w:szCs w:val="16"/>
              </w:rPr>
              <w:t>Charles</w:t>
            </w:r>
          </w:p>
        </w:tc>
        <w:tc>
          <w:tcPr>
            <w:tcW w:w="1840" w:type="dxa"/>
            <w:tcBorders/>
            <w:vAlign w:val="bottom"/>
          </w:tcPr>
          <w:p>
            <w:pPr>
              <w:pStyle w:val="Normal"/>
              <w:numPr>
                <w:ilvl w:val="0"/>
                <w:numId w:val="0"/>
              </w:numPr>
              <w:outlineLvl w:val="1"/>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1"/>
              <w:rPr>
                <w:rFonts w:ascii="Arial" w:hAnsi="Arial" w:cs="Arial"/>
                <w:sz w:val="16"/>
                <w:szCs w:val="16"/>
              </w:rPr>
            </w:pPr>
            <w:r>
              <w:rPr>
                <w:rFonts w:cs="Arial" w:ascii="Arial" w:hAnsi="Arial"/>
                <w:sz w:val="16"/>
                <w:szCs w:val="16"/>
              </w:rPr>
              <w:t>Gco-Houston Reg - Admin</w:t>
            </w:r>
          </w:p>
        </w:tc>
        <w:tc>
          <w:tcPr>
            <w:tcW w:w="1400" w:type="dxa"/>
            <w:tcBorders/>
            <w:vAlign w:val="bottom"/>
          </w:tcPr>
          <w:p>
            <w:pPr>
              <w:pStyle w:val="Normal"/>
              <w:numPr>
                <w:ilvl w:val="0"/>
                <w:numId w:val="0"/>
              </w:numPr>
              <w:outlineLvl w:val="1"/>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1"/>
              <w:rPr>
                <w:rFonts w:ascii="Arial" w:hAnsi="Arial" w:cs="Arial"/>
                <w:sz w:val="16"/>
                <w:szCs w:val="16"/>
              </w:rPr>
            </w:pPr>
            <w:r>
              <w:rPr>
                <w:rFonts w:cs="Arial" w:ascii="Arial" w:hAnsi="Arial"/>
                <w:sz w:val="16"/>
                <w:szCs w:val="16"/>
              </w:rPr>
              <w:t>Advisor Team</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Alley</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Derrel</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Gco-Corpus Christi Admin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Advisor Team</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Newman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Robert</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Gco-Houston Reg - Admin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Advisor Team</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Kantenberger</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Michael</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Gco-Houston Reg - Admin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Engr Resv SR</w:t>
            </w:r>
          </w:p>
        </w:tc>
      </w:tr>
      <w:tr>
        <w:trPr>
          <w:trHeight w:val="270" w:hRule="atLeast"/>
        </w:trPr>
        <w:tc>
          <w:tcPr>
            <w:tcW w:w="1460" w:type="dxa"/>
            <w:tcBorders/>
            <w:vAlign w:val="bottom"/>
          </w:tcPr>
          <w:p>
            <w:pPr>
              <w:pStyle w:val="Normal"/>
              <w:numPr>
                <w:ilvl w:val="0"/>
                <w:numId w:val="0"/>
              </w:numPr>
              <w:snapToGrid w:val="false"/>
              <w:outlineLvl w:val="2"/>
              <w:rPr>
                <w:rFonts w:ascii="Arial" w:hAnsi="Arial" w:cs="Arial"/>
                <w:sz w:val="20"/>
                <w:szCs w:val="20"/>
              </w:rPr>
            </w:pPr>
            <w:r>
              <w:rPr>
                <w:rFonts w:cs="Arial" w:ascii="Arial" w:hAnsi="Arial"/>
                <w:sz w:val="20"/>
                <w:szCs w:val="20"/>
              </w:rPr>
            </w:r>
          </w:p>
        </w:tc>
        <w:tc>
          <w:tcPr>
            <w:tcW w:w="1080" w:type="dxa"/>
            <w:tcBorders/>
            <w:vAlign w:val="bottom"/>
          </w:tcPr>
          <w:p>
            <w:pPr>
              <w:pStyle w:val="Normal"/>
              <w:numPr>
                <w:ilvl w:val="0"/>
                <w:numId w:val="0"/>
              </w:numPr>
              <w:jc w:val="end"/>
              <w:outlineLvl w:val="2"/>
              <w:rPr>
                <w:rFonts w:ascii="Arial" w:hAnsi="Arial" w:eastAsia="Arial" w:cs="Arial"/>
                <w:color w:val="000000"/>
                <w:sz w:val="20"/>
                <w:szCs w:val="20"/>
              </w:rPr>
            </w:pPr>
            <w:r>
              <w:rPr>
                <w:rFonts w:eastAsia="Arial" w:cs="Arial" w:ascii="Arial" w:hAnsi="Arial"/>
                <w:color w:val="000000"/>
                <w:sz w:val="20"/>
                <w:szCs w:val="20"/>
              </w:rPr>
              <w:t xml:space="preserve"> </w:t>
            </w:r>
          </w:p>
        </w:tc>
        <w:tc>
          <w:tcPr>
            <w:tcW w:w="1840" w:type="dxa"/>
            <w:tcBorders/>
            <w:vAlign w:val="bottom"/>
          </w:tcPr>
          <w:p>
            <w:pPr>
              <w:pStyle w:val="Normal"/>
              <w:numPr>
                <w:ilvl w:val="0"/>
                <w:numId w:val="0"/>
              </w:numPr>
              <w:outlineLvl w:val="2"/>
              <w:rPr>
                <w:rFonts w:ascii="Arial" w:hAnsi="Arial" w:cs="Arial"/>
                <w:sz w:val="20"/>
                <w:szCs w:val="20"/>
              </w:rPr>
            </w:pPr>
            <w:r>
              <w:rPr>
                <w:rFonts w:cs="Arial" w:ascii="Arial" w:hAnsi="Arial"/>
                <w:sz w:val="20"/>
                <w:szCs w:val="20"/>
              </w:rPr>
              <w:t> </w:t>
            </w:r>
          </w:p>
        </w:tc>
        <w:tc>
          <w:tcPr>
            <w:tcW w:w="22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 </w:t>
            </w:r>
          </w:p>
        </w:tc>
        <w:tc>
          <w:tcPr>
            <w:tcW w:w="140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 </w:t>
            </w:r>
          </w:p>
        </w:tc>
        <w:tc>
          <w:tcPr>
            <w:tcW w:w="2040" w:type="dxa"/>
            <w:tcBorders/>
            <w:vAlign w:val="bottom"/>
          </w:tcPr>
          <w:p>
            <w:pPr>
              <w:pStyle w:val="Normal"/>
              <w:numPr>
                <w:ilvl w:val="0"/>
                <w:numId w:val="0"/>
              </w:numPr>
              <w:jc w:val="end"/>
              <w:outlineLvl w:val="2"/>
              <w:rPr>
                <w:rFonts w:ascii="Arial" w:hAnsi="Arial" w:eastAsia="Arial" w:cs="Arial"/>
                <w:b/>
                <w:bCs/>
                <w:sz w:val="20"/>
                <w:szCs w:val="20"/>
              </w:rPr>
            </w:pPr>
            <w:r>
              <w:rPr>
                <w:rFonts w:eastAsia="Arial" w:cs="Arial" w:ascii="Arial" w:hAnsi="Arial"/>
                <w:b/>
                <w:bCs/>
                <w:sz w:val="20"/>
                <w:szCs w:val="20"/>
              </w:rPr>
              <w:t xml:space="preserve"> </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Sheridan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William</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Gco-Houston Reg - Admin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 Safety &amp; Secrty</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Hotz</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Randy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GPG - GCO Field IT</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 SR IT - Non Devel</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Ferrell</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Bobby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 Corrosion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 Tech Div</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Ayers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David</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 Des</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 Tech Div</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Ramirez</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Ricardo</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 Corrosion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 Tech II</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Jurecek</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Bryan</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Gco-Corpus Christi Administration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Spec Tech II</w:t>
            </w:r>
          </w:p>
        </w:tc>
      </w:tr>
      <w:tr>
        <w:trPr>
          <w:trHeight w:val="270" w:hRule="atLeast"/>
        </w:trPr>
        <w:tc>
          <w:tcPr>
            <w:tcW w:w="1460" w:type="dxa"/>
            <w:tcBorders/>
            <w:vAlign w:val="bottom"/>
          </w:tcPr>
          <w:p>
            <w:pPr>
              <w:pStyle w:val="Normal"/>
              <w:numPr>
                <w:ilvl w:val="0"/>
                <w:numId w:val="0"/>
              </w:numPr>
              <w:snapToGrid w:val="false"/>
              <w:outlineLvl w:val="2"/>
              <w:rPr>
                <w:rFonts w:ascii="Arial" w:hAnsi="Arial" w:cs="Arial"/>
                <w:sz w:val="20"/>
                <w:szCs w:val="20"/>
              </w:rPr>
            </w:pPr>
            <w:r>
              <w:rPr>
                <w:rFonts w:cs="Arial" w:ascii="Arial" w:hAnsi="Arial"/>
                <w:sz w:val="20"/>
                <w:szCs w:val="20"/>
              </w:rPr>
            </w:r>
          </w:p>
        </w:tc>
        <w:tc>
          <w:tcPr>
            <w:tcW w:w="1080" w:type="dxa"/>
            <w:tcBorders/>
            <w:vAlign w:val="bottom"/>
          </w:tcPr>
          <w:p>
            <w:pPr>
              <w:pStyle w:val="Normal"/>
              <w:numPr>
                <w:ilvl w:val="0"/>
                <w:numId w:val="0"/>
              </w:numPr>
              <w:jc w:val="end"/>
              <w:outlineLvl w:val="2"/>
              <w:rPr>
                <w:rFonts w:ascii="Arial" w:hAnsi="Arial" w:eastAsia="Arial" w:cs="Arial"/>
                <w:color w:val="000000"/>
                <w:sz w:val="20"/>
                <w:szCs w:val="20"/>
              </w:rPr>
            </w:pPr>
            <w:r>
              <w:rPr>
                <w:rFonts w:eastAsia="Arial" w:cs="Arial" w:ascii="Arial" w:hAnsi="Arial"/>
                <w:color w:val="000000"/>
                <w:sz w:val="20"/>
                <w:szCs w:val="20"/>
              </w:rPr>
              <w:t xml:space="preserve"> </w:t>
            </w:r>
          </w:p>
        </w:tc>
        <w:tc>
          <w:tcPr>
            <w:tcW w:w="1840" w:type="dxa"/>
            <w:tcBorders/>
            <w:vAlign w:val="bottom"/>
          </w:tcPr>
          <w:p>
            <w:pPr>
              <w:pStyle w:val="Normal"/>
              <w:numPr>
                <w:ilvl w:val="0"/>
                <w:numId w:val="0"/>
              </w:numPr>
              <w:outlineLvl w:val="2"/>
              <w:rPr>
                <w:rFonts w:ascii="Arial" w:hAnsi="Arial" w:cs="Arial"/>
                <w:sz w:val="20"/>
                <w:szCs w:val="20"/>
              </w:rPr>
            </w:pPr>
            <w:r>
              <w:rPr>
                <w:rFonts w:cs="Arial" w:ascii="Arial" w:hAnsi="Arial"/>
                <w:sz w:val="20"/>
                <w:szCs w:val="20"/>
              </w:rPr>
              <w:t> </w:t>
            </w:r>
          </w:p>
        </w:tc>
        <w:tc>
          <w:tcPr>
            <w:tcW w:w="22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 </w:t>
            </w:r>
          </w:p>
        </w:tc>
        <w:tc>
          <w:tcPr>
            <w:tcW w:w="140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 </w:t>
            </w:r>
          </w:p>
        </w:tc>
        <w:tc>
          <w:tcPr>
            <w:tcW w:w="2040" w:type="dxa"/>
            <w:tcBorders/>
            <w:vAlign w:val="bottom"/>
          </w:tcPr>
          <w:p>
            <w:pPr>
              <w:pStyle w:val="Normal"/>
              <w:numPr>
                <w:ilvl w:val="0"/>
                <w:numId w:val="0"/>
              </w:numPr>
              <w:jc w:val="end"/>
              <w:outlineLvl w:val="2"/>
              <w:rPr>
                <w:rFonts w:ascii="Arial" w:hAnsi="Arial" w:eastAsia="Arial" w:cs="Arial"/>
                <w:b/>
                <w:bCs/>
                <w:sz w:val="20"/>
                <w:szCs w:val="20"/>
              </w:rPr>
            </w:pPr>
            <w:r>
              <w:rPr>
                <w:rFonts w:eastAsia="Arial" w:cs="Arial" w:ascii="Arial" w:hAnsi="Arial"/>
                <w:b/>
                <w:bCs/>
                <w:sz w:val="20"/>
                <w:szCs w:val="20"/>
              </w:rPr>
              <w:t xml:space="preserve"> </w:t>
            </w:r>
          </w:p>
        </w:tc>
      </w:tr>
      <w:tr>
        <w:trPr>
          <w:trHeight w:val="270" w:hRule="atLeast"/>
        </w:trPr>
        <w:tc>
          <w:tcPr>
            <w:tcW w:w="14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Jones</w:t>
            </w:r>
          </w:p>
        </w:tc>
        <w:tc>
          <w:tcPr>
            <w:tcW w:w="108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Cheryl</w:t>
            </w:r>
          </w:p>
        </w:tc>
        <w:tc>
          <w:tcPr>
            <w:tcW w:w="184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GPG - Measurement</w:t>
            </w:r>
          </w:p>
        </w:tc>
        <w:tc>
          <w:tcPr>
            <w:tcW w:w="1400" w:type="dxa"/>
            <w:tcBorders/>
            <w:vAlign w:val="bottom"/>
          </w:tcPr>
          <w:p>
            <w:pPr>
              <w:pStyle w:val="Normal"/>
              <w:numPr>
                <w:ilvl w:val="0"/>
                <w:numId w:val="0"/>
              </w:numPr>
              <w:outlineLvl w:val="2"/>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Chart Operations Spec</w:t>
            </w:r>
          </w:p>
        </w:tc>
      </w:tr>
      <w:tr>
        <w:trPr>
          <w:trHeight w:val="270" w:hRule="atLeast"/>
        </w:trPr>
        <w:tc>
          <w:tcPr>
            <w:tcW w:w="14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Cameron</w:t>
            </w:r>
          </w:p>
        </w:tc>
        <w:tc>
          <w:tcPr>
            <w:tcW w:w="108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Peggy</w:t>
            </w:r>
          </w:p>
        </w:tc>
        <w:tc>
          <w:tcPr>
            <w:tcW w:w="184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GPG - Measurement</w:t>
            </w:r>
          </w:p>
        </w:tc>
        <w:tc>
          <w:tcPr>
            <w:tcW w:w="1400" w:type="dxa"/>
            <w:tcBorders/>
            <w:vAlign w:val="bottom"/>
          </w:tcPr>
          <w:p>
            <w:pPr>
              <w:pStyle w:val="Normal"/>
              <w:numPr>
                <w:ilvl w:val="0"/>
                <w:numId w:val="0"/>
              </w:numPr>
              <w:outlineLvl w:val="2"/>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Data Specialist EFM</w:t>
            </w:r>
          </w:p>
        </w:tc>
      </w:tr>
      <w:tr>
        <w:trPr>
          <w:trHeight w:val="270" w:hRule="atLeast"/>
        </w:trPr>
        <w:tc>
          <w:tcPr>
            <w:tcW w:w="14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Kirkwood</w:t>
            </w:r>
          </w:p>
        </w:tc>
        <w:tc>
          <w:tcPr>
            <w:tcW w:w="108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Patricia</w:t>
            </w:r>
          </w:p>
        </w:tc>
        <w:tc>
          <w:tcPr>
            <w:tcW w:w="184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GPG - Measurement</w:t>
            </w:r>
          </w:p>
        </w:tc>
        <w:tc>
          <w:tcPr>
            <w:tcW w:w="1400" w:type="dxa"/>
            <w:tcBorders/>
            <w:vAlign w:val="bottom"/>
          </w:tcPr>
          <w:p>
            <w:pPr>
              <w:pStyle w:val="Normal"/>
              <w:numPr>
                <w:ilvl w:val="0"/>
                <w:numId w:val="0"/>
              </w:numPr>
              <w:outlineLvl w:val="2"/>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Sr. Censor</w:t>
            </w:r>
          </w:p>
        </w:tc>
      </w:tr>
      <w:tr>
        <w:trPr>
          <w:trHeight w:val="270" w:hRule="atLeast"/>
        </w:trPr>
        <w:tc>
          <w:tcPr>
            <w:tcW w:w="14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Garcia</w:t>
            </w:r>
          </w:p>
        </w:tc>
        <w:tc>
          <w:tcPr>
            <w:tcW w:w="108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Mary</w:t>
            </w:r>
          </w:p>
        </w:tc>
        <w:tc>
          <w:tcPr>
            <w:tcW w:w="184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GPG - Measurement</w:t>
            </w:r>
          </w:p>
        </w:tc>
        <w:tc>
          <w:tcPr>
            <w:tcW w:w="1400" w:type="dxa"/>
            <w:tcBorders/>
            <w:vAlign w:val="bottom"/>
          </w:tcPr>
          <w:p>
            <w:pPr>
              <w:pStyle w:val="Normal"/>
              <w:numPr>
                <w:ilvl w:val="0"/>
                <w:numId w:val="0"/>
              </w:numPr>
              <w:outlineLvl w:val="2"/>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Sr. Censor</w:t>
            </w:r>
          </w:p>
        </w:tc>
      </w:tr>
      <w:tr>
        <w:trPr>
          <w:trHeight w:val="270" w:hRule="atLeast"/>
        </w:trPr>
        <w:tc>
          <w:tcPr>
            <w:tcW w:w="1460" w:type="dxa"/>
            <w:tcBorders/>
            <w:vAlign w:val="bottom"/>
          </w:tcPr>
          <w:p>
            <w:pPr>
              <w:pStyle w:val="Normal"/>
              <w:numPr>
                <w:ilvl w:val="0"/>
                <w:numId w:val="0"/>
              </w:numPr>
              <w:snapToGrid w:val="false"/>
              <w:outlineLvl w:val="2"/>
              <w:rPr>
                <w:rFonts w:ascii="Arial" w:hAnsi="Arial" w:cs="Arial"/>
                <w:sz w:val="20"/>
                <w:szCs w:val="20"/>
              </w:rPr>
            </w:pPr>
            <w:r>
              <w:rPr>
                <w:rFonts w:cs="Arial" w:ascii="Arial" w:hAnsi="Arial"/>
                <w:sz w:val="20"/>
                <w:szCs w:val="20"/>
              </w:rPr>
            </w:r>
          </w:p>
        </w:tc>
        <w:tc>
          <w:tcPr>
            <w:tcW w:w="1080" w:type="dxa"/>
            <w:tcBorders/>
            <w:vAlign w:val="bottom"/>
          </w:tcPr>
          <w:p>
            <w:pPr>
              <w:pStyle w:val="Normal"/>
              <w:numPr>
                <w:ilvl w:val="0"/>
                <w:numId w:val="0"/>
              </w:numPr>
              <w:jc w:val="end"/>
              <w:outlineLvl w:val="2"/>
              <w:rPr>
                <w:rFonts w:ascii="Arial" w:hAnsi="Arial" w:eastAsia="Arial" w:cs="Arial"/>
                <w:color w:val="000000"/>
                <w:sz w:val="20"/>
                <w:szCs w:val="20"/>
              </w:rPr>
            </w:pPr>
            <w:r>
              <w:rPr>
                <w:rFonts w:eastAsia="Arial" w:cs="Arial" w:ascii="Arial" w:hAnsi="Arial"/>
                <w:color w:val="000000"/>
                <w:sz w:val="20"/>
                <w:szCs w:val="20"/>
              </w:rPr>
              <w:t xml:space="preserve"> </w:t>
            </w:r>
          </w:p>
        </w:tc>
        <w:tc>
          <w:tcPr>
            <w:tcW w:w="1840" w:type="dxa"/>
            <w:tcBorders/>
            <w:vAlign w:val="bottom"/>
          </w:tcPr>
          <w:p>
            <w:pPr>
              <w:pStyle w:val="Normal"/>
              <w:numPr>
                <w:ilvl w:val="0"/>
                <w:numId w:val="0"/>
              </w:numPr>
              <w:outlineLvl w:val="2"/>
              <w:rPr>
                <w:rFonts w:ascii="Arial" w:hAnsi="Arial" w:cs="Arial"/>
                <w:sz w:val="20"/>
                <w:szCs w:val="20"/>
              </w:rPr>
            </w:pPr>
            <w:r>
              <w:rPr>
                <w:rFonts w:cs="Arial" w:ascii="Arial" w:hAnsi="Arial"/>
                <w:sz w:val="20"/>
                <w:szCs w:val="20"/>
              </w:rPr>
              <w:t> </w:t>
            </w:r>
          </w:p>
        </w:tc>
        <w:tc>
          <w:tcPr>
            <w:tcW w:w="22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 </w:t>
            </w:r>
          </w:p>
        </w:tc>
        <w:tc>
          <w:tcPr>
            <w:tcW w:w="140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 </w:t>
            </w:r>
          </w:p>
        </w:tc>
        <w:tc>
          <w:tcPr>
            <w:tcW w:w="2040" w:type="dxa"/>
            <w:tcBorders/>
            <w:vAlign w:val="bottom"/>
          </w:tcPr>
          <w:p>
            <w:pPr>
              <w:pStyle w:val="Normal"/>
              <w:numPr>
                <w:ilvl w:val="0"/>
                <w:numId w:val="0"/>
              </w:numPr>
              <w:jc w:val="end"/>
              <w:outlineLvl w:val="2"/>
              <w:rPr>
                <w:rFonts w:ascii="Arial" w:hAnsi="Arial" w:eastAsia="Arial" w:cs="Arial"/>
                <w:b/>
                <w:bCs/>
                <w:sz w:val="20"/>
                <w:szCs w:val="20"/>
              </w:rPr>
            </w:pPr>
            <w:r>
              <w:rPr>
                <w:rFonts w:eastAsia="Arial" w:cs="Arial" w:ascii="Arial" w:hAnsi="Arial"/>
                <w:b/>
                <w:bCs/>
                <w:sz w:val="20"/>
                <w:szCs w:val="20"/>
              </w:rPr>
              <w:t xml:space="preserve"> </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Avery Jr</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Melvin</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Guard Security</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Gee</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Scott</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Guard Security</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Hilton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Gary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Guard Security</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Leblanc</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William</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Guard Security</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Martin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Larry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Guard Security</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Morton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Charles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Guard Security</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Roussett Jr</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Raymond</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Guard Security</w:t>
            </w:r>
          </w:p>
        </w:tc>
      </w:tr>
      <w:tr>
        <w:trPr>
          <w:trHeight w:val="270" w:hRule="atLeast"/>
        </w:trPr>
        <w:tc>
          <w:tcPr>
            <w:tcW w:w="1460" w:type="dxa"/>
            <w:tcBorders/>
            <w:vAlign w:val="bottom"/>
          </w:tcPr>
          <w:p>
            <w:pPr>
              <w:pStyle w:val="Normal"/>
              <w:numPr>
                <w:ilvl w:val="0"/>
                <w:numId w:val="0"/>
              </w:numPr>
              <w:snapToGrid w:val="false"/>
              <w:outlineLvl w:val="2"/>
              <w:rPr>
                <w:rFonts w:ascii="Arial" w:hAnsi="Arial" w:cs="Arial"/>
                <w:sz w:val="20"/>
                <w:szCs w:val="20"/>
              </w:rPr>
            </w:pPr>
            <w:r>
              <w:rPr>
                <w:rFonts w:cs="Arial" w:ascii="Arial" w:hAnsi="Arial"/>
                <w:sz w:val="20"/>
                <w:szCs w:val="20"/>
              </w:rPr>
            </w:r>
          </w:p>
        </w:tc>
        <w:tc>
          <w:tcPr>
            <w:tcW w:w="1080" w:type="dxa"/>
            <w:tcBorders/>
            <w:vAlign w:val="bottom"/>
          </w:tcPr>
          <w:p>
            <w:pPr>
              <w:pStyle w:val="Normal"/>
              <w:numPr>
                <w:ilvl w:val="0"/>
                <w:numId w:val="0"/>
              </w:numPr>
              <w:jc w:val="end"/>
              <w:outlineLvl w:val="2"/>
              <w:rPr>
                <w:rFonts w:ascii="Arial" w:hAnsi="Arial" w:eastAsia="Arial" w:cs="Arial"/>
                <w:color w:val="000000"/>
                <w:sz w:val="20"/>
                <w:szCs w:val="20"/>
              </w:rPr>
            </w:pPr>
            <w:r>
              <w:rPr>
                <w:rFonts w:eastAsia="Arial" w:cs="Arial" w:ascii="Arial" w:hAnsi="Arial"/>
                <w:color w:val="000000"/>
                <w:sz w:val="20"/>
                <w:szCs w:val="20"/>
              </w:rPr>
              <w:t xml:space="preserve"> </w:t>
            </w:r>
          </w:p>
        </w:tc>
        <w:tc>
          <w:tcPr>
            <w:tcW w:w="1840" w:type="dxa"/>
            <w:tcBorders/>
            <w:vAlign w:val="bottom"/>
          </w:tcPr>
          <w:p>
            <w:pPr>
              <w:pStyle w:val="Normal"/>
              <w:numPr>
                <w:ilvl w:val="0"/>
                <w:numId w:val="0"/>
              </w:numPr>
              <w:snapToGrid w:val="false"/>
              <w:outlineLvl w:val="2"/>
              <w:rPr>
                <w:rFonts w:ascii="Arial" w:hAnsi="Arial" w:cs="Arial"/>
                <w:color w:val="000000"/>
                <w:sz w:val="20"/>
                <w:szCs w:val="20"/>
              </w:rPr>
            </w:pPr>
            <w:r>
              <w:rPr>
                <w:rFonts w:cs="Arial" w:ascii="Arial" w:hAnsi="Arial"/>
                <w:color w:val="000000"/>
                <w:sz w:val="20"/>
                <w:szCs w:val="20"/>
              </w:rPr>
            </w:r>
          </w:p>
        </w:tc>
        <w:tc>
          <w:tcPr>
            <w:tcW w:w="2260" w:type="dxa"/>
            <w:tcBorders/>
            <w:vAlign w:val="bottom"/>
          </w:tcPr>
          <w:p>
            <w:pPr>
              <w:pStyle w:val="Normal"/>
              <w:numPr>
                <w:ilvl w:val="0"/>
                <w:numId w:val="0"/>
              </w:numPr>
              <w:outlineLvl w:val="2"/>
              <w:rPr>
                <w:rFonts w:ascii="Arial" w:hAnsi="Arial" w:cs="Arial"/>
                <w:color w:val="000000"/>
                <w:sz w:val="20"/>
                <w:szCs w:val="20"/>
              </w:rPr>
            </w:pPr>
            <w:r>
              <w:rPr>
                <w:rFonts w:cs="Arial" w:ascii="Arial" w:hAnsi="Arial"/>
                <w:color w:val="000000"/>
                <w:sz w:val="20"/>
                <w:szCs w:val="20"/>
              </w:rPr>
              <w:t> </w:t>
            </w:r>
          </w:p>
        </w:tc>
        <w:tc>
          <w:tcPr>
            <w:tcW w:w="1400" w:type="dxa"/>
            <w:tcBorders/>
            <w:vAlign w:val="bottom"/>
          </w:tcPr>
          <w:p>
            <w:pPr>
              <w:pStyle w:val="Normal"/>
              <w:numPr>
                <w:ilvl w:val="0"/>
                <w:numId w:val="0"/>
              </w:numPr>
              <w:outlineLvl w:val="2"/>
              <w:rPr>
                <w:rFonts w:ascii="Arial" w:hAnsi="Arial" w:cs="Arial"/>
                <w:color w:val="000000"/>
                <w:sz w:val="20"/>
                <w:szCs w:val="20"/>
              </w:rPr>
            </w:pPr>
            <w:r>
              <w:rPr>
                <w:rFonts w:cs="Arial" w:ascii="Arial" w:hAnsi="Arial"/>
                <w:color w:val="000000"/>
                <w:sz w:val="20"/>
                <w:szCs w:val="20"/>
              </w:rPr>
              <w:t> </w:t>
            </w:r>
          </w:p>
        </w:tc>
        <w:tc>
          <w:tcPr>
            <w:tcW w:w="2040" w:type="dxa"/>
            <w:tcBorders/>
            <w:vAlign w:val="bottom"/>
          </w:tcPr>
          <w:p>
            <w:pPr>
              <w:pStyle w:val="Normal"/>
              <w:numPr>
                <w:ilvl w:val="0"/>
                <w:numId w:val="0"/>
              </w:numPr>
              <w:jc w:val="end"/>
              <w:outlineLvl w:val="2"/>
              <w:rPr>
                <w:rFonts w:ascii="Arial" w:hAnsi="Arial" w:eastAsia="Arial" w:cs="Arial"/>
                <w:b/>
                <w:bCs/>
                <w:color w:val="000000"/>
                <w:sz w:val="20"/>
                <w:szCs w:val="20"/>
              </w:rPr>
            </w:pPr>
            <w:r>
              <w:rPr>
                <w:rFonts w:eastAsia="Arial" w:cs="Arial" w:ascii="Arial" w:hAnsi="Arial"/>
                <w:b/>
                <w:bCs/>
                <w:color w:val="000000"/>
                <w:sz w:val="20"/>
                <w:szCs w:val="20"/>
              </w:rPr>
              <w:t xml:space="preserve"> </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Meador Jr</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Otha</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Edna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Leader Team</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Glenn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James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Gco-Corpus Team Robstown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Leader Team</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Tolbirt</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John</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Gco-Corpus Team Robstown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Leader Team</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Jeanneret</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Louis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Gco-Tivoli Team - Tivoli</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Leader Team</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Everington Jr</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Charles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Pearland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Leader Team</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Barnes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John</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South Texas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Leader Team</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Evanicky</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Lonnie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Wharton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Leader Team</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McGarrahan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David</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Gco-East Texas LumbertonSils</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England</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Bobby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Edna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Miska</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Al</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Edna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Prather II</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David</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Edna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Siecko</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Melvin</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Edna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Walch</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Mark</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Edna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Williams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Patrick</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Edna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Harmon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Samuel</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Hudgins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Robert</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Nelson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Charles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Pfiester</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Gary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Prestwood</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Charles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Robinson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Robert</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Sanders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Mark</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Sheafer</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George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Tullos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Dave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Gco-Bammel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Davis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Kenneth</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Gco-Corpus Team Robstown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Deases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Louis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Gco-Corpus Team Robstown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Kanak</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Kevin</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Gco-Corpus Team Robstown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Schuette</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Francis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Gco-Corpus Team Robstown</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Clawson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Charlotte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Gco-East Texas Liberty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Williamson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Joe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Gco-East Texas Liberty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Zomant</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Mary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Gco-East Texas Liberty Area</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Ernst</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Randy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Gco-East Texas LumbertonSils</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Sypert</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Bonnie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Gco-East Texas LumbertonSils</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Bell</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Otis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Gco-Tivoli Team - Tivoli</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Hall</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David</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Gco-Tivoli Team - Tivoli</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Lange</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Lyndon</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Gco-Tivoli Team - Tivoli</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Ruiz</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Gary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Gco-Tivoli Team - Tivoli</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Beck</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Donald</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Pearland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Cobbs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Terence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Pearland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Cummings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Linda</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Pearland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Hall</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Gary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Pearland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Menchaca</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David</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Pearland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Owens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Garnett</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Pearland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Peel</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Pearland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Rogers</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Toni</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Pearland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Russell</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Marcus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Pearland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Wigzell</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David</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Pearland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Ferguson</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Bryan</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South Texas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Guajardo Jr</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Luis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South Texas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Pierce</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Leslie</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South Texas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Sanchez</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Victor</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South Texas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Shaw</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Donald</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South Texas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Teal</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James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South Texas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Borak</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Larry</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Wharton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Kucera</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David</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Wharton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Schaefer</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Stephen</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Wharton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Smith</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Thomas</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Wharton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Stolle</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John</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Wharton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West</w:t>
            </w:r>
          </w:p>
        </w:tc>
        <w:tc>
          <w:tcPr>
            <w:tcW w:w="108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Scott</w:t>
            </w:r>
          </w:p>
        </w:tc>
        <w:tc>
          <w:tcPr>
            <w:tcW w:w="18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Ops/GCO</w:t>
            </w:r>
          </w:p>
        </w:tc>
        <w:tc>
          <w:tcPr>
            <w:tcW w:w="226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Wharton Team</w:t>
            </w:r>
          </w:p>
        </w:tc>
        <w:tc>
          <w:tcPr>
            <w:tcW w:w="1400" w:type="dxa"/>
            <w:tcBorders/>
            <w:vAlign w:val="bottom"/>
          </w:tcPr>
          <w:p>
            <w:pPr>
              <w:pStyle w:val="Normal"/>
              <w:numPr>
                <w:ilvl w:val="0"/>
                <w:numId w:val="0"/>
              </w:numPr>
              <w:outlineLvl w:val="3"/>
              <w:rPr>
                <w:rFonts w:ascii="Arial" w:hAnsi="Arial" w:cs="Arial"/>
                <w:color w:val="000000"/>
                <w:sz w:val="16"/>
                <w:szCs w:val="16"/>
              </w:rPr>
            </w:pPr>
            <w:r>
              <w:rPr>
                <w:rFonts w:cs="Arial" w:ascii="Arial" w:hAnsi="Arial"/>
                <w:color w:val="000000"/>
                <w:sz w:val="16"/>
                <w:szCs w:val="16"/>
              </w:rPr>
              <w:t>GCO</w:t>
            </w:r>
          </w:p>
        </w:tc>
        <w:tc>
          <w:tcPr>
            <w:tcW w:w="2040" w:type="dxa"/>
            <w:tcBorders/>
            <w:vAlign w:val="bottom"/>
          </w:tcPr>
          <w:p>
            <w:pPr>
              <w:pStyle w:val="Normal"/>
              <w:numPr>
                <w:ilvl w:val="0"/>
                <w:numId w:val="0"/>
              </w:numPr>
              <w:outlineLvl w:val="3"/>
              <w:rPr>
                <w:rFonts w:ascii="Arial" w:hAnsi="Arial" w:cs="Arial"/>
                <w:sz w:val="16"/>
                <w:szCs w:val="16"/>
              </w:rPr>
            </w:pPr>
            <w:r>
              <w:rPr>
                <w:rFonts w:cs="Arial" w:ascii="Arial" w:hAnsi="Arial"/>
                <w:sz w:val="16"/>
                <w:szCs w:val="16"/>
              </w:rPr>
              <w:t>Tech O&amp;M SR</w:t>
            </w:r>
          </w:p>
        </w:tc>
      </w:tr>
      <w:tr>
        <w:trPr>
          <w:trHeight w:val="270" w:hRule="atLeast"/>
        </w:trPr>
        <w:tc>
          <w:tcPr>
            <w:tcW w:w="1460" w:type="dxa"/>
            <w:tcBorders/>
            <w:vAlign w:val="bottom"/>
          </w:tcPr>
          <w:p>
            <w:pPr>
              <w:pStyle w:val="Normal"/>
              <w:numPr>
                <w:ilvl w:val="0"/>
                <w:numId w:val="0"/>
              </w:numPr>
              <w:snapToGrid w:val="false"/>
              <w:outlineLvl w:val="2"/>
              <w:rPr>
                <w:rFonts w:ascii="Arial" w:hAnsi="Arial" w:cs="Arial"/>
                <w:sz w:val="20"/>
                <w:szCs w:val="20"/>
              </w:rPr>
            </w:pPr>
            <w:r>
              <w:rPr>
                <w:rFonts w:cs="Arial" w:ascii="Arial" w:hAnsi="Arial"/>
                <w:sz w:val="20"/>
                <w:szCs w:val="20"/>
              </w:rPr>
            </w:r>
          </w:p>
        </w:tc>
        <w:tc>
          <w:tcPr>
            <w:tcW w:w="1080" w:type="dxa"/>
            <w:tcBorders/>
            <w:vAlign w:val="bottom"/>
          </w:tcPr>
          <w:p>
            <w:pPr>
              <w:pStyle w:val="Normal"/>
              <w:numPr>
                <w:ilvl w:val="0"/>
                <w:numId w:val="0"/>
              </w:numPr>
              <w:outlineLvl w:val="2"/>
              <w:rPr>
                <w:rFonts w:ascii="Arial" w:hAnsi="Arial" w:eastAsia="Arial" w:cs="Arial"/>
                <w:sz w:val="20"/>
                <w:szCs w:val="20"/>
              </w:rPr>
            </w:pPr>
            <w:r>
              <w:rPr>
                <w:rFonts w:eastAsia="Arial" w:cs="Arial" w:ascii="Arial" w:hAnsi="Arial"/>
                <w:sz w:val="20"/>
                <w:szCs w:val="20"/>
              </w:rPr>
              <w:t xml:space="preserve"> </w:t>
            </w:r>
          </w:p>
        </w:tc>
        <w:tc>
          <w:tcPr>
            <w:tcW w:w="1840" w:type="dxa"/>
            <w:tcBorders/>
            <w:vAlign w:val="bottom"/>
          </w:tcPr>
          <w:p>
            <w:pPr>
              <w:pStyle w:val="Normal"/>
              <w:numPr>
                <w:ilvl w:val="0"/>
                <w:numId w:val="0"/>
              </w:numPr>
              <w:snapToGrid w:val="false"/>
              <w:outlineLvl w:val="2"/>
              <w:rPr>
                <w:rFonts w:ascii="Arial" w:hAnsi="Arial" w:cs="Arial"/>
                <w:sz w:val="20"/>
                <w:szCs w:val="20"/>
              </w:rPr>
            </w:pPr>
            <w:r>
              <w:rPr>
                <w:rFonts w:cs="Arial" w:ascii="Arial" w:hAnsi="Arial"/>
                <w:sz w:val="20"/>
                <w:szCs w:val="20"/>
              </w:rPr>
            </w:r>
          </w:p>
        </w:tc>
        <w:tc>
          <w:tcPr>
            <w:tcW w:w="2260" w:type="dxa"/>
            <w:tcBorders/>
            <w:vAlign w:val="bottom"/>
          </w:tcPr>
          <w:p>
            <w:pPr>
              <w:pStyle w:val="Normal"/>
              <w:numPr>
                <w:ilvl w:val="0"/>
                <w:numId w:val="0"/>
              </w:numPr>
              <w:outlineLvl w:val="2"/>
              <w:rPr>
                <w:rFonts w:ascii="Arial" w:hAnsi="Arial" w:cs="Arial"/>
                <w:sz w:val="16"/>
                <w:szCs w:val="16"/>
              </w:rPr>
            </w:pPr>
            <w:r>
              <w:rPr>
                <w:rFonts w:cs="Arial" w:ascii="Arial" w:hAnsi="Arial"/>
                <w:sz w:val="16"/>
                <w:szCs w:val="16"/>
              </w:rPr>
              <w:t> </w:t>
            </w:r>
          </w:p>
        </w:tc>
        <w:tc>
          <w:tcPr>
            <w:tcW w:w="1400" w:type="dxa"/>
            <w:tcBorders/>
            <w:vAlign w:val="bottom"/>
          </w:tcPr>
          <w:p>
            <w:pPr>
              <w:pStyle w:val="Normal"/>
              <w:numPr>
                <w:ilvl w:val="0"/>
                <w:numId w:val="0"/>
              </w:numPr>
              <w:outlineLvl w:val="2"/>
              <w:rPr>
                <w:rFonts w:ascii="Arial" w:hAnsi="Arial" w:eastAsia="Arial" w:cs="Arial"/>
                <w:sz w:val="16"/>
                <w:szCs w:val="16"/>
              </w:rPr>
            </w:pPr>
            <w:r>
              <w:rPr>
                <w:rFonts w:eastAsia="Arial" w:cs="Arial" w:ascii="Arial" w:hAnsi="Arial"/>
                <w:sz w:val="16"/>
                <w:szCs w:val="16"/>
              </w:rPr>
              <w:t xml:space="preserve"> </w:t>
            </w:r>
          </w:p>
        </w:tc>
        <w:tc>
          <w:tcPr>
            <w:tcW w:w="2040" w:type="dxa"/>
            <w:tcBorders/>
            <w:vAlign w:val="bottom"/>
          </w:tcPr>
          <w:p>
            <w:pPr>
              <w:pStyle w:val="Normal"/>
              <w:numPr>
                <w:ilvl w:val="0"/>
                <w:numId w:val="0"/>
              </w:numPr>
              <w:jc w:val="end"/>
              <w:outlineLvl w:val="2"/>
              <w:rPr>
                <w:rFonts w:ascii="Arial" w:hAnsi="Arial" w:eastAsia="Arial" w:cs="Arial"/>
                <w:sz w:val="20"/>
                <w:szCs w:val="20"/>
              </w:rPr>
            </w:pPr>
            <w:r>
              <w:rPr>
                <w:rFonts w:eastAsia="Arial" w:cs="Arial" w:ascii="Arial" w:hAnsi="Arial"/>
                <w:sz w:val="20"/>
                <w:szCs w:val="20"/>
              </w:rPr>
              <w:t xml:space="preserve"> </w:t>
            </w:r>
          </w:p>
        </w:tc>
      </w:tr>
    </w:tbl>
    <w:p>
      <w:pPr>
        <w:sectPr>
          <w:headerReference w:type="default" r:id="rId20"/>
          <w:headerReference w:type="first" r:id="rId21"/>
          <w:footerReference w:type="default" r:id="rId22"/>
          <w:footerReference w:type="first" r:id="rId23"/>
          <w:type w:val="nextPage"/>
          <w:pgSz w:w="12240" w:h="15840"/>
          <w:pgMar w:left="1440" w:right="1440" w:gutter="0" w:header="720" w:top="1440" w:footer="720" w:bottom="1440"/>
          <w:pgNumType w:fmt="decimal"/>
          <w:formProt w:val="false"/>
          <w:textDirection w:val="lrTb"/>
          <w:docGrid w:type="default" w:linePitch="360" w:charSpace="0"/>
        </w:sectPr>
      </w:pPr>
    </w:p>
    <w:p>
      <w:pPr>
        <w:pStyle w:val="Normal"/>
        <w:jc w:val="center"/>
        <w:rPr/>
      </w:pPr>
      <w:r>
        <w:rPr/>
        <w:t>PURCHASE AND SALE AGREEMENT</w:t>
      </w:r>
    </w:p>
    <w:p>
      <w:pPr>
        <w:pStyle w:val="Normal"/>
        <w:jc w:val="center"/>
        <w:rPr/>
      </w:pPr>
      <w:r>
        <w:rPr/>
        <w:t>Schedule 7.3(b)</w:t>
      </w:r>
    </w:p>
    <w:p>
      <w:pPr>
        <w:pStyle w:val="Normal"/>
        <w:jc w:val="center"/>
        <w:rPr/>
      </w:pPr>
      <w:r>
        <w:rPr/>
        <w:t>Excluded Employees</w:t>
      </w:r>
    </w:p>
    <w:p>
      <w:pPr>
        <w:pStyle w:val="Normal"/>
        <w:jc w:val="center"/>
        <w:rPr/>
      </w:pPr>
      <w:r>
        <w:rPr/>
      </w:r>
    </w:p>
    <w:tbl>
      <w:tblPr>
        <w:tblW w:w="3060" w:type="dxa"/>
        <w:jc w:val="start"/>
        <w:tblInd w:w="822" w:type="dxa"/>
        <w:tblLayout w:type="fixed"/>
        <w:tblCellMar>
          <w:top w:w="12" w:type="dxa"/>
          <w:start w:w="12" w:type="dxa"/>
          <w:bottom w:w="0" w:type="dxa"/>
          <w:end w:w="12" w:type="dxa"/>
        </w:tblCellMar>
      </w:tblPr>
      <w:tblGrid>
        <w:gridCol w:w="1230"/>
        <w:gridCol w:w="1830"/>
      </w:tblGrid>
      <w:tr>
        <w:trPr>
          <w:trHeight w:val="525" w:hRule="atLeast"/>
        </w:trPr>
        <w:tc>
          <w:tcPr>
            <w:tcW w:w="1230" w:type="dxa"/>
            <w:tcBorders>
              <w:top w:val="single" w:sz="4" w:space="0" w:color="000000"/>
              <w:start w:val="single" w:sz="4" w:space="0" w:color="000000"/>
              <w:bottom w:val="single" w:sz="4" w:space="0" w:color="000000"/>
              <w:end w:val="single" w:sz="4" w:space="0" w:color="000000"/>
            </w:tcBorders>
            <w:shd w:fill="99CCFF" w:val="clear"/>
            <w:vAlign w:val="bottom"/>
          </w:tcPr>
          <w:p>
            <w:pPr>
              <w:pStyle w:val="Normal"/>
              <w:rPr>
                <w:b/>
                <w:bCs/>
                <w:sz w:val="20"/>
                <w:szCs w:val="20"/>
              </w:rPr>
            </w:pPr>
            <w:r>
              <w:rPr>
                <w:b/>
                <w:bCs/>
                <w:sz w:val="20"/>
                <w:szCs w:val="20"/>
              </w:rPr>
              <w:t>Last name</w:t>
            </w:r>
          </w:p>
        </w:tc>
        <w:tc>
          <w:tcPr>
            <w:tcW w:w="1830" w:type="dxa"/>
            <w:tcBorders>
              <w:top w:val="single" w:sz="4" w:space="0" w:color="000000"/>
              <w:bottom w:val="single" w:sz="4" w:space="0" w:color="000000"/>
              <w:end w:val="single" w:sz="4" w:space="0" w:color="000000"/>
            </w:tcBorders>
            <w:shd w:fill="99CCFF" w:val="clear"/>
            <w:vAlign w:val="bottom"/>
          </w:tcPr>
          <w:p>
            <w:pPr>
              <w:pStyle w:val="Normal"/>
              <w:rPr>
                <w:b/>
                <w:bCs/>
                <w:sz w:val="20"/>
                <w:szCs w:val="20"/>
              </w:rPr>
            </w:pPr>
            <w:r>
              <w:rPr>
                <w:b/>
                <w:bCs/>
                <w:sz w:val="20"/>
                <w:szCs w:val="20"/>
              </w:rPr>
              <w:t>First name</w:t>
            </w:r>
          </w:p>
        </w:tc>
      </w:tr>
      <w:tr>
        <w:trPr>
          <w:trHeight w:val="264" w:hRule="atLeast"/>
        </w:trPr>
        <w:tc>
          <w:tcPr>
            <w:tcW w:w="1230" w:type="dxa"/>
            <w:tcBorders/>
            <w:vAlign w:val="bottom"/>
          </w:tcPr>
          <w:p>
            <w:pPr>
              <w:pStyle w:val="Normal"/>
              <w:rPr>
                <w:rFonts w:ascii="Arial" w:hAnsi="Arial" w:cs="Arial"/>
                <w:sz w:val="20"/>
                <w:szCs w:val="20"/>
              </w:rPr>
            </w:pPr>
            <w:r>
              <w:rPr>
                <w:rFonts w:cs="Arial" w:ascii="Arial" w:hAnsi="Arial"/>
                <w:sz w:val="20"/>
                <w:szCs w:val="20"/>
              </w:rPr>
              <w:t>Martin</w:t>
            </w:r>
          </w:p>
        </w:tc>
        <w:tc>
          <w:tcPr>
            <w:tcW w:w="1830" w:type="dxa"/>
            <w:tcBorders/>
            <w:vAlign w:val="bottom"/>
          </w:tcPr>
          <w:p>
            <w:pPr>
              <w:pStyle w:val="Normal"/>
              <w:rPr>
                <w:rFonts w:ascii="Arial" w:hAnsi="Arial" w:cs="Arial"/>
                <w:sz w:val="20"/>
                <w:szCs w:val="20"/>
              </w:rPr>
            </w:pPr>
            <w:r>
              <w:rPr>
                <w:rFonts w:cs="Arial" w:ascii="Arial" w:hAnsi="Arial"/>
                <w:sz w:val="20"/>
                <w:szCs w:val="20"/>
              </w:rPr>
              <w:t>Tom</w:t>
            </w:r>
          </w:p>
        </w:tc>
      </w:tr>
      <w:tr>
        <w:trPr>
          <w:trHeight w:val="264" w:hRule="atLeast"/>
        </w:trPr>
        <w:tc>
          <w:tcPr>
            <w:tcW w:w="1230" w:type="dxa"/>
            <w:tcBorders/>
            <w:vAlign w:val="bottom"/>
          </w:tcPr>
          <w:p>
            <w:pPr>
              <w:pStyle w:val="Normal"/>
              <w:rPr>
                <w:rFonts w:ascii="Arial" w:hAnsi="Arial" w:cs="Arial"/>
                <w:sz w:val="20"/>
                <w:szCs w:val="20"/>
              </w:rPr>
            </w:pPr>
            <w:r>
              <w:rPr>
                <w:rFonts w:cs="Arial" w:ascii="Arial" w:hAnsi="Arial"/>
                <w:sz w:val="20"/>
                <w:szCs w:val="20"/>
              </w:rPr>
              <w:t>Schwieger</w:t>
            </w:r>
          </w:p>
        </w:tc>
        <w:tc>
          <w:tcPr>
            <w:tcW w:w="1830" w:type="dxa"/>
            <w:tcBorders/>
            <w:vAlign w:val="bottom"/>
          </w:tcPr>
          <w:p>
            <w:pPr>
              <w:pStyle w:val="Normal"/>
              <w:rPr>
                <w:rFonts w:ascii="Arial" w:hAnsi="Arial" w:cs="Arial"/>
                <w:sz w:val="20"/>
                <w:szCs w:val="20"/>
              </w:rPr>
            </w:pPr>
            <w:r>
              <w:rPr>
                <w:rFonts w:cs="Arial" w:ascii="Arial" w:hAnsi="Arial"/>
                <w:sz w:val="20"/>
                <w:szCs w:val="20"/>
              </w:rPr>
              <w:t>Jim</w:t>
            </w:r>
          </w:p>
        </w:tc>
      </w:tr>
      <w:tr>
        <w:trPr>
          <w:trHeight w:val="264" w:hRule="atLeast"/>
        </w:trPr>
        <w:tc>
          <w:tcPr>
            <w:tcW w:w="1230" w:type="dxa"/>
            <w:tcBorders/>
            <w:vAlign w:val="bottom"/>
          </w:tcPr>
          <w:p>
            <w:pPr>
              <w:pStyle w:val="Normal"/>
              <w:rPr>
                <w:rFonts w:ascii="Arial" w:hAnsi="Arial" w:cs="Arial"/>
                <w:sz w:val="20"/>
                <w:szCs w:val="20"/>
              </w:rPr>
            </w:pPr>
            <w:r>
              <w:rPr>
                <w:rFonts w:cs="Arial" w:ascii="Arial" w:hAnsi="Arial"/>
                <w:sz w:val="20"/>
                <w:szCs w:val="20"/>
              </w:rPr>
              <w:t>Redmond</w:t>
            </w:r>
          </w:p>
        </w:tc>
        <w:tc>
          <w:tcPr>
            <w:tcW w:w="1830" w:type="dxa"/>
            <w:tcBorders/>
            <w:vAlign w:val="bottom"/>
          </w:tcPr>
          <w:p>
            <w:pPr>
              <w:pStyle w:val="Normal"/>
              <w:rPr>
                <w:rFonts w:ascii="Arial" w:hAnsi="Arial" w:cs="Arial"/>
                <w:sz w:val="20"/>
                <w:szCs w:val="20"/>
              </w:rPr>
            </w:pPr>
            <w:r>
              <w:rPr>
                <w:rFonts w:cs="Arial" w:ascii="Arial" w:hAnsi="Arial"/>
                <w:sz w:val="20"/>
                <w:szCs w:val="20"/>
              </w:rPr>
              <w:t>Brian</w:t>
            </w:r>
          </w:p>
        </w:tc>
      </w:tr>
    </w:tbl>
    <w:p>
      <w:pPr>
        <w:sectPr>
          <w:headerReference w:type="default" r:id="rId24"/>
          <w:headerReference w:type="first" r:id="rId25"/>
          <w:footerReference w:type="default" r:id="rId26"/>
          <w:footerReference w:type="first" r:id="rId27"/>
          <w:type w:val="nextPage"/>
          <w:pgSz w:w="12240" w:h="15840"/>
          <w:pgMar w:left="1440" w:right="1440" w:gutter="0" w:header="720" w:top="1440" w:footer="720" w:bottom="1440"/>
          <w:pgNumType w:fmt="decimal"/>
          <w:formProt w:val="false"/>
          <w:textDirection w:val="lrTb"/>
          <w:docGrid w:type="default" w:linePitch="360" w:charSpace="0"/>
        </w:sectPr>
      </w:pPr>
    </w:p>
    <w:p>
      <w:pPr>
        <w:pStyle w:val="Normal"/>
        <w:jc w:val="center"/>
        <w:rPr/>
      </w:pPr>
      <w:r>
        <w:rPr/>
        <w:t>PURCHASE AND SALE AGREEMENT</w:t>
      </w:r>
    </w:p>
    <w:p>
      <w:pPr>
        <w:pStyle w:val="Normal"/>
        <w:jc w:val="center"/>
        <w:rPr/>
      </w:pPr>
      <w:r>
        <w:rPr/>
        <w:t>Schedule 7.3(c)</w:t>
      </w:r>
    </w:p>
    <w:p>
      <w:pPr>
        <w:pStyle w:val="Normal"/>
        <w:jc w:val="center"/>
        <w:rPr/>
      </w:pPr>
      <w:r>
        <w:rPr/>
      </w:r>
    </w:p>
    <w:tbl>
      <w:tblPr>
        <w:tblW w:w="5780" w:type="dxa"/>
        <w:jc w:val="start"/>
        <w:tblInd w:w="0" w:type="dxa"/>
        <w:tblLayout w:type="fixed"/>
        <w:tblCellMar>
          <w:top w:w="12" w:type="dxa"/>
          <w:start w:w="12" w:type="dxa"/>
          <w:bottom w:w="0" w:type="dxa"/>
          <w:end w:w="12" w:type="dxa"/>
        </w:tblCellMar>
      </w:tblPr>
      <w:tblGrid>
        <w:gridCol w:w="1296"/>
        <w:gridCol w:w="1252"/>
        <w:gridCol w:w="1092"/>
        <w:gridCol w:w="972"/>
        <w:gridCol w:w="1168"/>
      </w:tblGrid>
      <w:tr>
        <w:trPr>
          <w:trHeight w:val="525" w:hRule="atLeast"/>
        </w:trPr>
        <w:tc>
          <w:tcPr>
            <w:tcW w:w="1296" w:type="dxa"/>
            <w:tcBorders>
              <w:top w:val="single" w:sz="4" w:space="0" w:color="000000"/>
              <w:start w:val="single" w:sz="4" w:space="0" w:color="000000"/>
              <w:bottom w:val="single" w:sz="4" w:space="0" w:color="000000"/>
              <w:end w:val="single" w:sz="4" w:space="0" w:color="000000"/>
            </w:tcBorders>
            <w:shd w:fill="99CCFF" w:val="clear"/>
            <w:vAlign w:val="bottom"/>
          </w:tcPr>
          <w:p>
            <w:pPr>
              <w:pStyle w:val="Normal"/>
              <w:rPr>
                <w:b/>
                <w:bCs/>
                <w:sz w:val="20"/>
                <w:szCs w:val="20"/>
              </w:rPr>
            </w:pPr>
            <w:r>
              <w:rPr>
                <w:b/>
                <w:bCs/>
                <w:sz w:val="20"/>
                <w:szCs w:val="20"/>
              </w:rPr>
              <w:t>Last name</w:t>
            </w:r>
          </w:p>
        </w:tc>
        <w:tc>
          <w:tcPr>
            <w:tcW w:w="1252" w:type="dxa"/>
            <w:tcBorders>
              <w:top w:val="single" w:sz="4" w:space="0" w:color="000000"/>
              <w:bottom w:val="single" w:sz="4" w:space="0" w:color="000000"/>
              <w:end w:val="single" w:sz="4" w:space="0" w:color="000000"/>
            </w:tcBorders>
            <w:shd w:fill="99CCFF" w:val="clear"/>
            <w:vAlign w:val="bottom"/>
          </w:tcPr>
          <w:p>
            <w:pPr>
              <w:pStyle w:val="Normal"/>
              <w:rPr>
                <w:b/>
                <w:bCs/>
                <w:sz w:val="20"/>
                <w:szCs w:val="20"/>
              </w:rPr>
            </w:pPr>
            <w:r>
              <w:rPr>
                <w:b/>
                <w:bCs/>
                <w:sz w:val="20"/>
                <w:szCs w:val="20"/>
              </w:rPr>
              <w:t>First name</w:t>
            </w:r>
          </w:p>
        </w:tc>
        <w:tc>
          <w:tcPr>
            <w:tcW w:w="1092" w:type="dxa"/>
            <w:tcBorders>
              <w:top w:val="single" w:sz="4" w:space="0" w:color="000000"/>
              <w:bottom w:val="single" w:sz="4" w:space="0" w:color="000000"/>
              <w:end w:val="single" w:sz="4" w:space="0" w:color="000000"/>
            </w:tcBorders>
            <w:shd w:fill="99CCFF" w:val="clear"/>
            <w:vAlign w:val="bottom"/>
          </w:tcPr>
          <w:p>
            <w:pPr>
              <w:pStyle w:val="Normal"/>
              <w:rPr>
                <w:b/>
                <w:bCs/>
                <w:sz w:val="20"/>
                <w:szCs w:val="20"/>
              </w:rPr>
            </w:pPr>
            <w:r>
              <w:rPr>
                <w:b/>
                <w:bCs/>
                <w:sz w:val="20"/>
                <w:szCs w:val="20"/>
              </w:rPr>
              <w:t>Chart</w:t>
            </w:r>
          </w:p>
        </w:tc>
        <w:tc>
          <w:tcPr>
            <w:tcW w:w="972" w:type="dxa"/>
            <w:tcBorders>
              <w:top w:val="single" w:sz="4" w:space="0" w:color="000000"/>
              <w:bottom w:val="single" w:sz="4" w:space="0" w:color="000000"/>
              <w:end w:val="single" w:sz="4" w:space="0" w:color="000000"/>
            </w:tcBorders>
            <w:shd w:fill="99CCFF" w:val="clear"/>
            <w:vAlign w:val="bottom"/>
          </w:tcPr>
          <w:p>
            <w:pPr>
              <w:pStyle w:val="Normal"/>
              <w:rPr>
                <w:b/>
                <w:bCs/>
                <w:sz w:val="16"/>
                <w:szCs w:val="16"/>
              </w:rPr>
            </w:pPr>
            <w:r>
              <w:rPr>
                <w:b/>
                <w:bCs/>
                <w:sz w:val="16"/>
                <w:szCs w:val="16"/>
              </w:rPr>
              <w:t>Org Status</w:t>
            </w:r>
          </w:p>
        </w:tc>
        <w:tc>
          <w:tcPr>
            <w:tcW w:w="1168" w:type="dxa"/>
            <w:tcBorders>
              <w:top w:val="single" w:sz="4" w:space="0" w:color="000000"/>
              <w:bottom w:val="single" w:sz="4" w:space="0" w:color="000000"/>
              <w:end w:val="single" w:sz="4" w:space="0" w:color="000000"/>
            </w:tcBorders>
            <w:shd w:fill="99CCFF" w:val="clear"/>
            <w:vAlign w:val="bottom"/>
          </w:tcPr>
          <w:p>
            <w:pPr>
              <w:pStyle w:val="Normal"/>
              <w:rPr>
                <w:b/>
                <w:bCs/>
                <w:sz w:val="16"/>
                <w:szCs w:val="16"/>
              </w:rPr>
            </w:pPr>
            <w:r>
              <w:rPr>
                <w:b/>
                <w:bCs/>
                <w:sz w:val="16"/>
                <w:szCs w:val="16"/>
              </w:rPr>
              <w:t>Note</w:t>
            </w:r>
          </w:p>
        </w:tc>
      </w:tr>
      <w:tr>
        <w:trPr>
          <w:trHeight w:val="264" w:hRule="atLeast"/>
        </w:trPr>
        <w:tc>
          <w:tcPr>
            <w:tcW w:w="1296" w:type="dxa"/>
            <w:tcBorders/>
            <w:vAlign w:val="bottom"/>
          </w:tcPr>
          <w:p>
            <w:pPr>
              <w:pStyle w:val="Normal"/>
              <w:numPr>
                <w:ilvl w:val="0"/>
                <w:numId w:val="0"/>
              </w:numPr>
              <w:snapToGrid w:val="false"/>
              <w:outlineLvl w:val="3"/>
              <w:rPr>
                <w:rFonts w:ascii="Arial" w:hAnsi="Arial" w:cs="Arial"/>
                <w:b/>
                <w:bCs/>
                <w:sz w:val="20"/>
                <w:szCs w:val="20"/>
              </w:rPr>
            </w:pPr>
            <w:r>
              <w:rPr>
                <w:rFonts w:cs="Arial" w:ascii="Arial" w:hAnsi="Arial"/>
                <w:b/>
                <w:bCs/>
                <w:sz w:val="20"/>
                <w:szCs w:val="20"/>
              </w:rPr>
            </w:r>
          </w:p>
        </w:tc>
        <w:tc>
          <w:tcPr>
            <w:tcW w:w="1252" w:type="dxa"/>
            <w:tcBorders/>
            <w:vAlign w:val="bottom"/>
          </w:tcPr>
          <w:p>
            <w:pPr>
              <w:pStyle w:val="Normal"/>
              <w:numPr>
                <w:ilvl w:val="0"/>
                <w:numId w:val="0"/>
              </w:numPr>
              <w:snapToGrid w:val="false"/>
              <w:outlineLvl w:val="3"/>
              <w:rPr>
                <w:rFonts w:ascii="Arial" w:hAnsi="Arial" w:cs="Arial"/>
                <w:sz w:val="20"/>
                <w:szCs w:val="20"/>
              </w:rPr>
            </w:pPr>
            <w:r>
              <w:rPr>
                <w:rFonts w:cs="Arial" w:ascii="Arial" w:hAnsi="Arial"/>
                <w:sz w:val="20"/>
                <w:szCs w:val="20"/>
              </w:rPr>
            </w:r>
          </w:p>
        </w:tc>
        <w:tc>
          <w:tcPr>
            <w:tcW w:w="1092" w:type="dxa"/>
            <w:tcBorders/>
            <w:vAlign w:val="bottom"/>
          </w:tcPr>
          <w:p>
            <w:pPr>
              <w:pStyle w:val="Normal"/>
              <w:numPr>
                <w:ilvl w:val="0"/>
                <w:numId w:val="0"/>
              </w:numPr>
              <w:outlineLvl w:val="3"/>
              <w:rPr>
                <w:rFonts w:ascii="Arial" w:hAnsi="Arial" w:cs="Arial"/>
                <w:b/>
                <w:bCs/>
                <w:sz w:val="20"/>
                <w:szCs w:val="20"/>
              </w:rPr>
            </w:pPr>
            <w:r>
              <w:rPr>
                <w:rFonts w:cs="Arial" w:ascii="Arial" w:hAnsi="Arial"/>
                <w:b/>
                <w:bCs/>
                <w:sz w:val="20"/>
                <w:szCs w:val="20"/>
              </w:rPr>
              <w:t>ENA</w:t>
            </w:r>
          </w:p>
        </w:tc>
        <w:tc>
          <w:tcPr>
            <w:tcW w:w="972" w:type="dxa"/>
            <w:tcBorders/>
            <w:vAlign w:val="bottom"/>
          </w:tcPr>
          <w:p>
            <w:pPr>
              <w:pStyle w:val="Normal"/>
              <w:numPr>
                <w:ilvl w:val="0"/>
                <w:numId w:val="0"/>
              </w:numPr>
              <w:snapToGrid w:val="false"/>
              <w:outlineLvl w:val="3"/>
              <w:rPr>
                <w:rFonts w:ascii="Arial" w:hAnsi="Arial" w:cs="Arial"/>
                <w:b/>
                <w:bCs/>
                <w:sz w:val="20"/>
                <w:szCs w:val="20"/>
              </w:rPr>
            </w:pPr>
            <w:r>
              <w:rPr>
                <w:rFonts w:cs="Arial" w:ascii="Arial" w:hAnsi="Arial"/>
                <w:b/>
                <w:bCs/>
                <w:sz w:val="20"/>
                <w:szCs w:val="20"/>
              </w:rPr>
            </w:r>
          </w:p>
        </w:tc>
        <w:tc>
          <w:tcPr>
            <w:tcW w:w="1168" w:type="dxa"/>
            <w:tcBorders/>
            <w:vAlign w:val="bottom"/>
          </w:tcPr>
          <w:p>
            <w:pPr>
              <w:pStyle w:val="Normal"/>
              <w:numPr>
                <w:ilvl w:val="0"/>
                <w:numId w:val="0"/>
              </w:numPr>
              <w:snapToGrid w:val="false"/>
              <w:outlineLvl w:val="3"/>
              <w:rPr>
                <w:rFonts w:ascii="Arial" w:hAnsi="Arial" w:cs="Arial"/>
                <w:sz w:val="20"/>
                <w:szCs w:val="20"/>
              </w:rPr>
            </w:pPr>
            <w:r>
              <w:rPr>
                <w:rFonts w:cs="Arial" w:ascii="Arial" w:hAnsi="Arial"/>
                <w:sz w:val="20"/>
                <w:szCs w:val="20"/>
              </w:rPr>
            </w:r>
          </w:p>
        </w:tc>
      </w:tr>
      <w:tr>
        <w:trPr>
          <w:trHeight w:val="264" w:hRule="atLeast"/>
        </w:trPr>
        <w:tc>
          <w:tcPr>
            <w:tcW w:w="1296" w:type="dxa"/>
            <w:tcBorders/>
            <w:vAlign w:val="bottom"/>
          </w:tcPr>
          <w:p>
            <w:pPr>
              <w:pStyle w:val="Normal"/>
              <w:rPr>
                <w:rFonts w:ascii="Arial" w:hAnsi="Arial" w:cs="Arial"/>
                <w:sz w:val="20"/>
                <w:szCs w:val="20"/>
              </w:rPr>
            </w:pPr>
            <w:r>
              <w:rPr>
                <w:rFonts w:cs="Arial" w:ascii="Arial" w:hAnsi="Arial"/>
                <w:sz w:val="20"/>
                <w:szCs w:val="20"/>
              </w:rPr>
              <w:t>Weissman</w:t>
            </w:r>
          </w:p>
        </w:tc>
        <w:tc>
          <w:tcPr>
            <w:tcW w:w="1252" w:type="dxa"/>
            <w:tcBorders/>
            <w:vAlign w:val="bottom"/>
          </w:tcPr>
          <w:p>
            <w:pPr>
              <w:pStyle w:val="Normal"/>
              <w:rPr>
                <w:rFonts w:ascii="Arial" w:hAnsi="Arial" w:cs="Arial"/>
                <w:sz w:val="20"/>
                <w:szCs w:val="20"/>
              </w:rPr>
            </w:pPr>
            <w:r>
              <w:rPr>
                <w:rFonts w:cs="Arial" w:ascii="Arial" w:hAnsi="Arial"/>
                <w:sz w:val="20"/>
                <w:szCs w:val="20"/>
              </w:rPr>
              <w:t>George</w:t>
            </w:r>
          </w:p>
        </w:tc>
        <w:tc>
          <w:tcPr>
            <w:tcW w:w="1092" w:type="dxa"/>
            <w:tcBorders/>
            <w:vAlign w:val="bottom"/>
          </w:tcPr>
          <w:p>
            <w:pPr>
              <w:pStyle w:val="Normal"/>
              <w:rPr>
                <w:rFonts w:ascii="Arial" w:hAnsi="Arial" w:cs="Arial"/>
                <w:sz w:val="20"/>
                <w:szCs w:val="20"/>
              </w:rPr>
            </w:pPr>
            <w:r>
              <w:rPr>
                <w:rFonts w:cs="Arial" w:ascii="Arial" w:hAnsi="Arial"/>
                <w:sz w:val="20"/>
                <w:szCs w:val="20"/>
              </w:rPr>
              <w:t>Supply</w:t>
            </w:r>
          </w:p>
        </w:tc>
        <w:tc>
          <w:tcPr>
            <w:tcW w:w="972" w:type="dxa"/>
            <w:tcBorders/>
            <w:vAlign w:val="bottom"/>
          </w:tcPr>
          <w:p>
            <w:pPr>
              <w:pStyle w:val="Normal"/>
              <w:rPr>
                <w:rFonts w:ascii="Arial" w:hAnsi="Arial" w:cs="Arial"/>
                <w:sz w:val="20"/>
                <w:szCs w:val="20"/>
              </w:rPr>
            </w:pPr>
            <w:r>
              <w:rPr>
                <w:rFonts w:cs="Arial" w:ascii="Arial" w:hAnsi="Arial"/>
                <w:sz w:val="20"/>
                <w:szCs w:val="20"/>
              </w:rPr>
              <w:t>HPL</w:t>
            </w:r>
          </w:p>
        </w:tc>
        <w:tc>
          <w:tcPr>
            <w:tcW w:w="1168" w:type="dxa"/>
            <w:tcBorders/>
            <w:vAlign w:val="bottom"/>
          </w:tcPr>
          <w:p>
            <w:pPr>
              <w:pStyle w:val="Normal"/>
              <w:snapToGrid w:val="false"/>
              <w:rPr>
                <w:rFonts w:ascii="Arial" w:hAnsi="Arial" w:cs="Arial"/>
                <w:sz w:val="20"/>
                <w:szCs w:val="20"/>
              </w:rPr>
            </w:pPr>
            <w:r>
              <w:rPr>
                <w:rFonts w:cs="Arial" w:ascii="Arial" w:hAnsi="Arial"/>
                <w:sz w:val="20"/>
                <w:szCs w:val="20"/>
              </w:rPr>
            </w:r>
          </w:p>
        </w:tc>
      </w:tr>
      <w:tr>
        <w:trPr>
          <w:trHeight w:val="264" w:hRule="atLeast"/>
        </w:trPr>
        <w:tc>
          <w:tcPr>
            <w:tcW w:w="1296" w:type="dxa"/>
            <w:tcBorders/>
            <w:vAlign w:val="bottom"/>
          </w:tcPr>
          <w:p>
            <w:pPr>
              <w:pStyle w:val="Normal"/>
              <w:rPr>
                <w:rFonts w:ascii="Arial" w:hAnsi="Arial" w:cs="Arial"/>
                <w:sz w:val="20"/>
                <w:szCs w:val="20"/>
              </w:rPr>
            </w:pPr>
            <w:r>
              <w:rPr>
                <w:rFonts w:cs="Arial" w:ascii="Arial" w:hAnsi="Arial"/>
                <w:sz w:val="20"/>
                <w:szCs w:val="20"/>
              </w:rPr>
              <w:t>Graves</w:t>
            </w:r>
          </w:p>
        </w:tc>
        <w:tc>
          <w:tcPr>
            <w:tcW w:w="1252" w:type="dxa"/>
            <w:tcBorders/>
            <w:vAlign w:val="bottom"/>
          </w:tcPr>
          <w:p>
            <w:pPr>
              <w:pStyle w:val="Normal"/>
              <w:rPr>
                <w:rFonts w:ascii="Arial" w:hAnsi="Arial" w:cs="Arial"/>
                <w:sz w:val="20"/>
                <w:szCs w:val="20"/>
              </w:rPr>
            </w:pPr>
            <w:r>
              <w:rPr>
                <w:rFonts w:cs="Arial" w:ascii="Arial" w:hAnsi="Arial"/>
                <w:sz w:val="20"/>
                <w:szCs w:val="20"/>
              </w:rPr>
              <w:t>Melissa</w:t>
            </w:r>
          </w:p>
        </w:tc>
        <w:tc>
          <w:tcPr>
            <w:tcW w:w="1092" w:type="dxa"/>
            <w:tcBorders/>
            <w:vAlign w:val="bottom"/>
          </w:tcPr>
          <w:p>
            <w:pPr>
              <w:pStyle w:val="Normal"/>
              <w:rPr>
                <w:rFonts w:ascii="Arial" w:hAnsi="Arial" w:cs="Arial"/>
                <w:sz w:val="20"/>
                <w:szCs w:val="20"/>
              </w:rPr>
            </w:pPr>
            <w:r>
              <w:rPr>
                <w:rFonts w:cs="Arial" w:ascii="Arial" w:hAnsi="Arial"/>
                <w:sz w:val="20"/>
                <w:szCs w:val="20"/>
              </w:rPr>
              <w:t>Accounting</w:t>
            </w:r>
          </w:p>
        </w:tc>
        <w:tc>
          <w:tcPr>
            <w:tcW w:w="972" w:type="dxa"/>
            <w:tcBorders/>
            <w:vAlign w:val="bottom"/>
          </w:tcPr>
          <w:p>
            <w:pPr>
              <w:pStyle w:val="Normal"/>
              <w:rPr>
                <w:rFonts w:ascii="Arial" w:hAnsi="Arial" w:cs="Arial"/>
                <w:sz w:val="20"/>
                <w:szCs w:val="20"/>
              </w:rPr>
            </w:pPr>
            <w:r>
              <w:rPr>
                <w:rFonts w:cs="Arial" w:ascii="Arial" w:hAnsi="Arial"/>
                <w:sz w:val="20"/>
                <w:szCs w:val="20"/>
              </w:rPr>
              <w:t>ENA</w:t>
            </w:r>
          </w:p>
        </w:tc>
        <w:tc>
          <w:tcPr>
            <w:tcW w:w="1168" w:type="dxa"/>
            <w:tcBorders/>
            <w:vAlign w:val="bottom"/>
          </w:tcPr>
          <w:p>
            <w:pPr>
              <w:pStyle w:val="Normal"/>
              <w:snapToGrid w:val="false"/>
              <w:rPr>
                <w:rFonts w:ascii="Arial" w:hAnsi="Arial" w:cs="Arial"/>
                <w:sz w:val="20"/>
                <w:szCs w:val="20"/>
              </w:rPr>
            </w:pPr>
            <w:r>
              <w:rPr>
                <w:rFonts w:cs="Arial" w:ascii="Arial" w:hAnsi="Arial"/>
                <w:sz w:val="20"/>
                <w:szCs w:val="20"/>
              </w:rPr>
            </w:r>
          </w:p>
        </w:tc>
      </w:tr>
      <w:tr>
        <w:trPr>
          <w:trHeight w:val="264" w:hRule="atLeast"/>
        </w:trPr>
        <w:tc>
          <w:tcPr>
            <w:tcW w:w="1296" w:type="dxa"/>
            <w:tcBorders/>
            <w:vAlign w:val="bottom"/>
          </w:tcPr>
          <w:p>
            <w:pPr>
              <w:pStyle w:val="Normal"/>
              <w:rPr>
                <w:rFonts w:ascii="Arial" w:hAnsi="Arial" w:cs="Arial"/>
                <w:sz w:val="20"/>
                <w:szCs w:val="20"/>
              </w:rPr>
            </w:pPr>
            <w:r>
              <w:rPr>
                <w:rFonts w:cs="Arial" w:ascii="Arial" w:hAnsi="Arial"/>
                <w:sz w:val="20"/>
                <w:szCs w:val="20"/>
              </w:rPr>
              <w:t>Cocavessis</w:t>
            </w:r>
          </w:p>
        </w:tc>
        <w:tc>
          <w:tcPr>
            <w:tcW w:w="1252" w:type="dxa"/>
            <w:tcBorders/>
            <w:vAlign w:val="bottom"/>
          </w:tcPr>
          <w:p>
            <w:pPr>
              <w:pStyle w:val="Normal"/>
              <w:rPr>
                <w:rFonts w:ascii="Arial" w:hAnsi="Arial" w:cs="Arial"/>
                <w:sz w:val="20"/>
                <w:szCs w:val="20"/>
              </w:rPr>
            </w:pPr>
            <w:r>
              <w:rPr>
                <w:rFonts w:cs="Arial" w:ascii="Arial" w:hAnsi="Arial"/>
                <w:sz w:val="20"/>
                <w:szCs w:val="20"/>
              </w:rPr>
              <w:t>Nick</w:t>
            </w:r>
          </w:p>
        </w:tc>
        <w:tc>
          <w:tcPr>
            <w:tcW w:w="1092" w:type="dxa"/>
            <w:tcBorders/>
            <w:vAlign w:val="bottom"/>
          </w:tcPr>
          <w:p>
            <w:pPr>
              <w:pStyle w:val="Normal"/>
              <w:rPr>
                <w:rFonts w:ascii="Arial" w:hAnsi="Arial" w:cs="Arial"/>
                <w:sz w:val="20"/>
                <w:szCs w:val="20"/>
              </w:rPr>
            </w:pPr>
            <w:r>
              <w:rPr>
                <w:rFonts w:cs="Arial" w:ascii="Arial" w:hAnsi="Arial"/>
                <w:sz w:val="20"/>
                <w:szCs w:val="20"/>
              </w:rPr>
              <w:t>Engineering</w:t>
            </w:r>
          </w:p>
        </w:tc>
        <w:tc>
          <w:tcPr>
            <w:tcW w:w="972" w:type="dxa"/>
            <w:tcBorders/>
            <w:vAlign w:val="bottom"/>
          </w:tcPr>
          <w:p>
            <w:pPr>
              <w:pStyle w:val="Normal"/>
              <w:rPr>
                <w:rFonts w:ascii="Arial" w:hAnsi="Arial" w:cs="Arial"/>
                <w:sz w:val="20"/>
                <w:szCs w:val="20"/>
              </w:rPr>
            </w:pPr>
            <w:r>
              <w:rPr>
                <w:rFonts w:cs="Arial" w:ascii="Arial" w:hAnsi="Arial"/>
                <w:sz w:val="20"/>
                <w:szCs w:val="20"/>
              </w:rPr>
              <w:t>HPL</w:t>
            </w:r>
          </w:p>
        </w:tc>
        <w:tc>
          <w:tcPr>
            <w:tcW w:w="1168" w:type="dxa"/>
            <w:tcBorders/>
            <w:vAlign w:val="bottom"/>
          </w:tcPr>
          <w:p>
            <w:pPr>
              <w:pStyle w:val="Normal"/>
              <w:snapToGrid w:val="false"/>
              <w:rPr>
                <w:rFonts w:ascii="Arial" w:hAnsi="Arial" w:cs="Arial"/>
                <w:sz w:val="20"/>
                <w:szCs w:val="20"/>
              </w:rPr>
            </w:pPr>
            <w:r>
              <w:rPr>
                <w:rFonts w:cs="Arial" w:ascii="Arial" w:hAnsi="Arial"/>
                <w:sz w:val="20"/>
                <w:szCs w:val="20"/>
              </w:rPr>
            </w:r>
          </w:p>
        </w:tc>
      </w:tr>
      <w:tr>
        <w:trPr>
          <w:trHeight w:val="264" w:hRule="atLeast"/>
        </w:trPr>
        <w:tc>
          <w:tcPr>
            <w:tcW w:w="1296" w:type="dxa"/>
            <w:tcBorders/>
            <w:vAlign w:val="bottom"/>
          </w:tcPr>
          <w:p>
            <w:pPr>
              <w:pStyle w:val="Normal"/>
              <w:rPr>
                <w:rFonts w:ascii="Arial" w:hAnsi="Arial" w:cs="Arial"/>
                <w:sz w:val="20"/>
                <w:szCs w:val="20"/>
              </w:rPr>
            </w:pPr>
            <w:r>
              <w:rPr>
                <w:rFonts w:cs="Arial" w:ascii="Arial" w:hAnsi="Arial"/>
                <w:sz w:val="20"/>
                <w:szCs w:val="20"/>
              </w:rPr>
              <w:t>Ducote</w:t>
            </w:r>
          </w:p>
        </w:tc>
        <w:tc>
          <w:tcPr>
            <w:tcW w:w="1252" w:type="dxa"/>
            <w:tcBorders/>
            <w:vAlign w:val="bottom"/>
          </w:tcPr>
          <w:p>
            <w:pPr>
              <w:pStyle w:val="Normal"/>
              <w:rPr>
                <w:rFonts w:ascii="Arial" w:hAnsi="Arial" w:cs="Arial"/>
                <w:sz w:val="20"/>
                <w:szCs w:val="20"/>
              </w:rPr>
            </w:pPr>
            <w:r>
              <w:rPr>
                <w:rFonts w:cs="Arial" w:ascii="Arial" w:hAnsi="Arial"/>
                <w:sz w:val="20"/>
                <w:szCs w:val="20"/>
              </w:rPr>
              <w:t>Jim</w:t>
            </w:r>
          </w:p>
        </w:tc>
        <w:tc>
          <w:tcPr>
            <w:tcW w:w="1092" w:type="dxa"/>
            <w:tcBorders/>
            <w:vAlign w:val="bottom"/>
          </w:tcPr>
          <w:p>
            <w:pPr>
              <w:pStyle w:val="Normal"/>
              <w:rPr>
                <w:rFonts w:ascii="Arial" w:hAnsi="Arial" w:cs="Arial"/>
                <w:sz w:val="20"/>
                <w:szCs w:val="20"/>
              </w:rPr>
            </w:pPr>
            <w:r>
              <w:rPr>
                <w:rFonts w:cs="Arial" w:ascii="Arial" w:hAnsi="Arial"/>
                <w:sz w:val="20"/>
                <w:szCs w:val="20"/>
              </w:rPr>
              <w:t>Marketing</w:t>
            </w:r>
          </w:p>
        </w:tc>
        <w:tc>
          <w:tcPr>
            <w:tcW w:w="972" w:type="dxa"/>
            <w:tcBorders/>
            <w:vAlign w:val="bottom"/>
          </w:tcPr>
          <w:p>
            <w:pPr>
              <w:pStyle w:val="Normal"/>
              <w:rPr>
                <w:rFonts w:ascii="Arial" w:hAnsi="Arial" w:cs="Arial"/>
                <w:sz w:val="20"/>
                <w:szCs w:val="20"/>
              </w:rPr>
            </w:pPr>
            <w:r>
              <w:rPr>
                <w:rFonts w:cs="Arial" w:ascii="Arial" w:hAnsi="Arial"/>
                <w:sz w:val="20"/>
                <w:szCs w:val="20"/>
              </w:rPr>
              <w:t>ENA</w:t>
            </w:r>
          </w:p>
        </w:tc>
        <w:tc>
          <w:tcPr>
            <w:tcW w:w="1168" w:type="dxa"/>
            <w:tcBorders/>
            <w:vAlign w:val="bottom"/>
          </w:tcPr>
          <w:p>
            <w:pPr>
              <w:pStyle w:val="Normal"/>
              <w:snapToGrid w:val="false"/>
              <w:rPr>
                <w:rFonts w:ascii="Arial" w:hAnsi="Arial" w:cs="Arial"/>
                <w:sz w:val="20"/>
                <w:szCs w:val="20"/>
              </w:rPr>
            </w:pPr>
            <w:r>
              <w:rPr>
                <w:rFonts w:cs="Arial" w:ascii="Arial" w:hAnsi="Arial"/>
                <w:sz w:val="20"/>
                <w:szCs w:val="20"/>
              </w:rPr>
            </w:r>
          </w:p>
        </w:tc>
      </w:tr>
      <w:tr>
        <w:trPr>
          <w:trHeight w:val="264" w:hRule="atLeast"/>
        </w:trPr>
        <w:tc>
          <w:tcPr>
            <w:tcW w:w="1296" w:type="dxa"/>
            <w:tcBorders/>
            <w:vAlign w:val="bottom"/>
          </w:tcPr>
          <w:p>
            <w:pPr>
              <w:pStyle w:val="Normal"/>
              <w:rPr>
                <w:rFonts w:ascii="Arial" w:hAnsi="Arial" w:cs="Arial"/>
                <w:sz w:val="20"/>
                <w:szCs w:val="20"/>
              </w:rPr>
            </w:pPr>
            <w:r>
              <w:rPr>
                <w:rFonts w:cs="Arial" w:ascii="Arial" w:hAnsi="Arial"/>
                <w:sz w:val="20"/>
                <w:szCs w:val="20"/>
              </w:rPr>
              <w:t>Gottlob</w:t>
            </w:r>
          </w:p>
        </w:tc>
        <w:tc>
          <w:tcPr>
            <w:tcW w:w="1252" w:type="dxa"/>
            <w:tcBorders/>
            <w:vAlign w:val="bottom"/>
          </w:tcPr>
          <w:p>
            <w:pPr>
              <w:pStyle w:val="Normal"/>
              <w:rPr>
                <w:rFonts w:ascii="Arial" w:hAnsi="Arial" w:cs="Arial"/>
                <w:sz w:val="20"/>
                <w:szCs w:val="20"/>
              </w:rPr>
            </w:pPr>
            <w:r>
              <w:rPr>
                <w:rFonts w:cs="Arial" w:ascii="Arial" w:hAnsi="Arial"/>
                <w:sz w:val="20"/>
                <w:szCs w:val="20"/>
              </w:rPr>
              <w:t>Ed</w:t>
            </w:r>
          </w:p>
        </w:tc>
        <w:tc>
          <w:tcPr>
            <w:tcW w:w="1092" w:type="dxa"/>
            <w:tcBorders/>
            <w:vAlign w:val="bottom"/>
          </w:tcPr>
          <w:p>
            <w:pPr>
              <w:pStyle w:val="Normal"/>
              <w:rPr>
                <w:rFonts w:ascii="Arial" w:hAnsi="Arial" w:cs="Arial"/>
                <w:sz w:val="20"/>
                <w:szCs w:val="20"/>
              </w:rPr>
            </w:pPr>
            <w:r>
              <w:rPr>
                <w:rFonts w:cs="Arial" w:ascii="Arial" w:hAnsi="Arial"/>
                <w:sz w:val="20"/>
                <w:szCs w:val="20"/>
              </w:rPr>
              <w:t>Trading</w:t>
            </w:r>
          </w:p>
        </w:tc>
        <w:tc>
          <w:tcPr>
            <w:tcW w:w="972" w:type="dxa"/>
            <w:tcBorders/>
            <w:vAlign w:val="bottom"/>
          </w:tcPr>
          <w:p>
            <w:pPr>
              <w:pStyle w:val="Normal"/>
              <w:rPr>
                <w:rFonts w:ascii="Arial" w:hAnsi="Arial" w:cs="Arial"/>
                <w:sz w:val="20"/>
                <w:szCs w:val="20"/>
              </w:rPr>
            </w:pPr>
            <w:r>
              <w:rPr>
                <w:rFonts w:cs="Arial" w:ascii="Arial" w:hAnsi="Arial"/>
                <w:sz w:val="20"/>
                <w:szCs w:val="20"/>
              </w:rPr>
              <w:t>HPL</w:t>
            </w:r>
          </w:p>
        </w:tc>
        <w:tc>
          <w:tcPr>
            <w:tcW w:w="1168" w:type="dxa"/>
            <w:tcBorders/>
            <w:vAlign w:val="bottom"/>
          </w:tcPr>
          <w:p>
            <w:pPr>
              <w:pStyle w:val="Normal"/>
              <w:snapToGrid w:val="false"/>
              <w:rPr>
                <w:rFonts w:ascii="Arial" w:hAnsi="Arial" w:cs="Arial"/>
                <w:sz w:val="20"/>
                <w:szCs w:val="20"/>
              </w:rPr>
            </w:pPr>
            <w:r>
              <w:rPr>
                <w:rFonts w:cs="Arial" w:ascii="Arial" w:hAnsi="Arial"/>
                <w:sz w:val="20"/>
                <w:szCs w:val="20"/>
              </w:rPr>
            </w:r>
          </w:p>
        </w:tc>
      </w:tr>
      <w:tr>
        <w:trPr>
          <w:trHeight w:val="264" w:hRule="atLeast"/>
        </w:trPr>
        <w:tc>
          <w:tcPr>
            <w:tcW w:w="1296" w:type="dxa"/>
            <w:tcBorders/>
            <w:vAlign w:val="bottom"/>
          </w:tcPr>
          <w:p>
            <w:pPr>
              <w:pStyle w:val="Normal"/>
              <w:rPr>
                <w:rFonts w:ascii="Arial" w:hAnsi="Arial" w:cs="Arial"/>
                <w:sz w:val="20"/>
                <w:szCs w:val="20"/>
              </w:rPr>
            </w:pPr>
            <w:r>
              <w:rPr>
                <w:rFonts w:cs="Arial" w:ascii="Arial" w:hAnsi="Arial"/>
                <w:sz w:val="20"/>
                <w:szCs w:val="20"/>
              </w:rPr>
              <w:t>Sweeney</w:t>
            </w:r>
          </w:p>
        </w:tc>
        <w:tc>
          <w:tcPr>
            <w:tcW w:w="1252" w:type="dxa"/>
            <w:tcBorders/>
            <w:vAlign w:val="bottom"/>
          </w:tcPr>
          <w:p>
            <w:pPr>
              <w:pStyle w:val="Normal"/>
              <w:rPr>
                <w:rFonts w:ascii="Arial" w:hAnsi="Arial" w:cs="Arial"/>
                <w:sz w:val="20"/>
                <w:szCs w:val="20"/>
              </w:rPr>
            </w:pPr>
            <w:r>
              <w:rPr>
                <w:rFonts w:cs="Arial" w:ascii="Arial" w:hAnsi="Arial"/>
                <w:sz w:val="20"/>
                <w:szCs w:val="20"/>
              </w:rPr>
              <w:t>Christy</w:t>
            </w:r>
          </w:p>
        </w:tc>
        <w:tc>
          <w:tcPr>
            <w:tcW w:w="1092" w:type="dxa"/>
            <w:tcBorders/>
            <w:vAlign w:val="bottom"/>
          </w:tcPr>
          <w:p>
            <w:pPr>
              <w:pStyle w:val="Normal"/>
              <w:rPr>
                <w:rFonts w:ascii="Arial" w:hAnsi="Arial" w:cs="Arial"/>
                <w:sz w:val="20"/>
                <w:szCs w:val="20"/>
              </w:rPr>
            </w:pPr>
            <w:r>
              <w:rPr>
                <w:rFonts w:cs="Arial" w:ascii="Arial" w:hAnsi="Arial"/>
                <w:sz w:val="20"/>
                <w:szCs w:val="20"/>
              </w:rPr>
              <w:t>Supply</w:t>
            </w:r>
          </w:p>
        </w:tc>
        <w:tc>
          <w:tcPr>
            <w:tcW w:w="972" w:type="dxa"/>
            <w:tcBorders/>
            <w:vAlign w:val="bottom"/>
          </w:tcPr>
          <w:p>
            <w:pPr>
              <w:pStyle w:val="Normal"/>
              <w:rPr>
                <w:rFonts w:ascii="Arial" w:hAnsi="Arial" w:cs="Arial"/>
                <w:sz w:val="20"/>
                <w:szCs w:val="20"/>
              </w:rPr>
            </w:pPr>
            <w:r>
              <w:rPr>
                <w:rFonts w:cs="Arial" w:ascii="Arial" w:hAnsi="Arial"/>
                <w:sz w:val="20"/>
                <w:szCs w:val="20"/>
              </w:rPr>
              <w:t>HPL</w:t>
            </w:r>
          </w:p>
        </w:tc>
        <w:tc>
          <w:tcPr>
            <w:tcW w:w="1168" w:type="dxa"/>
            <w:tcBorders/>
            <w:vAlign w:val="bottom"/>
          </w:tcPr>
          <w:p>
            <w:pPr>
              <w:pStyle w:val="Normal"/>
              <w:snapToGrid w:val="false"/>
              <w:rPr>
                <w:rFonts w:ascii="Arial" w:hAnsi="Arial" w:cs="Arial"/>
                <w:sz w:val="20"/>
                <w:szCs w:val="20"/>
              </w:rPr>
            </w:pPr>
            <w:r>
              <w:rPr>
                <w:rFonts w:cs="Arial" w:ascii="Arial" w:hAnsi="Arial"/>
                <w:sz w:val="20"/>
                <w:szCs w:val="20"/>
              </w:rPr>
            </w:r>
          </w:p>
        </w:tc>
      </w:tr>
      <w:tr>
        <w:trPr>
          <w:trHeight w:val="264" w:hRule="atLeast"/>
        </w:trPr>
        <w:tc>
          <w:tcPr>
            <w:tcW w:w="1296" w:type="dxa"/>
            <w:tcBorders/>
            <w:vAlign w:val="bottom"/>
          </w:tcPr>
          <w:p>
            <w:pPr>
              <w:pStyle w:val="Normal"/>
              <w:rPr>
                <w:rFonts w:ascii="Arial" w:hAnsi="Arial" w:cs="Arial"/>
                <w:sz w:val="20"/>
                <w:szCs w:val="20"/>
              </w:rPr>
            </w:pPr>
            <w:r>
              <w:rPr>
                <w:rFonts w:cs="Arial" w:ascii="Arial" w:hAnsi="Arial"/>
                <w:sz w:val="20"/>
                <w:szCs w:val="20"/>
              </w:rPr>
              <w:t>Eiben</w:t>
            </w:r>
          </w:p>
        </w:tc>
        <w:tc>
          <w:tcPr>
            <w:tcW w:w="1252" w:type="dxa"/>
            <w:tcBorders/>
            <w:vAlign w:val="bottom"/>
          </w:tcPr>
          <w:p>
            <w:pPr>
              <w:pStyle w:val="Normal"/>
              <w:rPr>
                <w:rFonts w:ascii="Arial" w:hAnsi="Arial" w:cs="Arial"/>
                <w:sz w:val="20"/>
                <w:szCs w:val="20"/>
              </w:rPr>
            </w:pPr>
            <w:r>
              <w:rPr>
                <w:rFonts w:cs="Arial" w:ascii="Arial" w:hAnsi="Arial"/>
                <w:sz w:val="20"/>
                <w:szCs w:val="20"/>
              </w:rPr>
              <w:t>Mike</w:t>
            </w:r>
          </w:p>
        </w:tc>
        <w:tc>
          <w:tcPr>
            <w:tcW w:w="1092" w:type="dxa"/>
            <w:tcBorders/>
            <w:vAlign w:val="bottom"/>
          </w:tcPr>
          <w:p>
            <w:pPr>
              <w:pStyle w:val="Normal"/>
              <w:rPr>
                <w:rFonts w:ascii="Arial" w:hAnsi="Arial" w:cs="Arial"/>
                <w:sz w:val="20"/>
                <w:szCs w:val="20"/>
              </w:rPr>
            </w:pPr>
            <w:r>
              <w:rPr>
                <w:rFonts w:cs="Arial" w:ascii="Arial" w:hAnsi="Arial"/>
                <w:sz w:val="20"/>
                <w:szCs w:val="20"/>
              </w:rPr>
              <w:t>Accounting</w:t>
            </w:r>
          </w:p>
        </w:tc>
        <w:tc>
          <w:tcPr>
            <w:tcW w:w="972" w:type="dxa"/>
            <w:tcBorders/>
            <w:vAlign w:val="bottom"/>
          </w:tcPr>
          <w:p>
            <w:pPr>
              <w:pStyle w:val="Normal"/>
              <w:rPr>
                <w:rFonts w:ascii="Arial" w:hAnsi="Arial" w:cs="Arial"/>
                <w:sz w:val="20"/>
                <w:szCs w:val="20"/>
              </w:rPr>
            </w:pPr>
            <w:r>
              <w:rPr>
                <w:rFonts w:cs="Arial" w:ascii="Arial" w:hAnsi="Arial"/>
                <w:sz w:val="20"/>
                <w:szCs w:val="20"/>
              </w:rPr>
              <w:t>ENA</w:t>
            </w:r>
          </w:p>
        </w:tc>
        <w:tc>
          <w:tcPr>
            <w:tcW w:w="1168" w:type="dxa"/>
            <w:tcBorders/>
            <w:vAlign w:val="bottom"/>
          </w:tcPr>
          <w:p>
            <w:pPr>
              <w:pStyle w:val="Normal"/>
              <w:snapToGrid w:val="false"/>
              <w:rPr>
                <w:rFonts w:ascii="Arial" w:hAnsi="Arial" w:cs="Arial"/>
                <w:sz w:val="20"/>
                <w:szCs w:val="20"/>
              </w:rPr>
            </w:pPr>
            <w:r>
              <w:rPr>
                <w:rFonts w:cs="Arial" w:ascii="Arial" w:hAnsi="Arial"/>
                <w:sz w:val="20"/>
                <w:szCs w:val="20"/>
              </w:rPr>
            </w:r>
          </w:p>
        </w:tc>
      </w:tr>
      <w:tr>
        <w:trPr>
          <w:trHeight w:val="264" w:hRule="atLeast"/>
        </w:trPr>
        <w:tc>
          <w:tcPr>
            <w:tcW w:w="1296" w:type="dxa"/>
            <w:tcBorders/>
            <w:vAlign w:val="bottom"/>
          </w:tcPr>
          <w:p>
            <w:pPr>
              <w:pStyle w:val="Normal"/>
              <w:rPr>
                <w:rFonts w:ascii="Arial" w:hAnsi="Arial" w:cs="Arial"/>
                <w:sz w:val="20"/>
                <w:szCs w:val="20"/>
              </w:rPr>
            </w:pPr>
            <w:r>
              <w:rPr>
                <w:rFonts w:cs="Arial" w:ascii="Arial" w:hAnsi="Arial"/>
                <w:sz w:val="20"/>
                <w:szCs w:val="20"/>
              </w:rPr>
              <w:t>Johnson</w:t>
            </w:r>
          </w:p>
        </w:tc>
        <w:tc>
          <w:tcPr>
            <w:tcW w:w="1252" w:type="dxa"/>
            <w:tcBorders/>
            <w:vAlign w:val="bottom"/>
          </w:tcPr>
          <w:p>
            <w:pPr>
              <w:pStyle w:val="Normal"/>
              <w:rPr>
                <w:rFonts w:ascii="Arial" w:hAnsi="Arial" w:cs="Arial"/>
                <w:sz w:val="20"/>
                <w:szCs w:val="20"/>
              </w:rPr>
            </w:pPr>
            <w:r>
              <w:rPr>
                <w:rFonts w:cs="Arial" w:ascii="Arial" w:hAnsi="Arial"/>
                <w:sz w:val="20"/>
                <w:szCs w:val="20"/>
              </w:rPr>
              <w:t>MaryJo</w:t>
            </w:r>
          </w:p>
        </w:tc>
        <w:tc>
          <w:tcPr>
            <w:tcW w:w="1092" w:type="dxa"/>
            <w:tcBorders/>
            <w:vAlign w:val="bottom"/>
          </w:tcPr>
          <w:p>
            <w:pPr>
              <w:pStyle w:val="Normal"/>
              <w:rPr>
                <w:rFonts w:ascii="Arial" w:hAnsi="Arial" w:cs="Arial"/>
                <w:sz w:val="20"/>
                <w:szCs w:val="20"/>
              </w:rPr>
            </w:pPr>
            <w:r>
              <w:rPr>
                <w:rFonts w:cs="Arial" w:ascii="Arial" w:hAnsi="Arial"/>
                <w:sz w:val="20"/>
                <w:szCs w:val="20"/>
              </w:rPr>
              <w:t>Supply</w:t>
            </w:r>
          </w:p>
        </w:tc>
        <w:tc>
          <w:tcPr>
            <w:tcW w:w="972" w:type="dxa"/>
            <w:tcBorders/>
            <w:vAlign w:val="bottom"/>
          </w:tcPr>
          <w:p>
            <w:pPr>
              <w:pStyle w:val="Normal"/>
              <w:rPr>
                <w:rFonts w:ascii="Arial" w:hAnsi="Arial" w:cs="Arial"/>
                <w:sz w:val="20"/>
                <w:szCs w:val="20"/>
              </w:rPr>
            </w:pPr>
            <w:r>
              <w:rPr>
                <w:rFonts w:cs="Arial" w:ascii="Arial" w:hAnsi="Arial"/>
                <w:sz w:val="20"/>
                <w:szCs w:val="20"/>
              </w:rPr>
              <w:t>EES</w:t>
            </w:r>
          </w:p>
        </w:tc>
        <w:tc>
          <w:tcPr>
            <w:tcW w:w="1168" w:type="dxa"/>
            <w:tcBorders/>
            <w:vAlign w:val="bottom"/>
          </w:tcPr>
          <w:p>
            <w:pPr>
              <w:pStyle w:val="Normal"/>
              <w:snapToGrid w:val="false"/>
              <w:rPr>
                <w:rFonts w:ascii="Arial" w:hAnsi="Arial" w:cs="Arial"/>
                <w:sz w:val="20"/>
                <w:szCs w:val="20"/>
              </w:rPr>
            </w:pPr>
            <w:r>
              <w:rPr>
                <w:rFonts w:cs="Arial" w:ascii="Arial" w:hAnsi="Arial"/>
                <w:sz w:val="20"/>
                <w:szCs w:val="20"/>
              </w:rPr>
            </w:r>
          </w:p>
        </w:tc>
      </w:tr>
      <w:tr>
        <w:trPr>
          <w:trHeight w:val="264" w:hRule="atLeast"/>
        </w:trPr>
        <w:tc>
          <w:tcPr>
            <w:tcW w:w="1296" w:type="dxa"/>
            <w:tcBorders/>
            <w:vAlign w:val="bottom"/>
          </w:tcPr>
          <w:p>
            <w:pPr>
              <w:pStyle w:val="Normal"/>
              <w:rPr>
                <w:rFonts w:ascii="Arial" w:hAnsi="Arial" w:cs="Arial"/>
                <w:sz w:val="20"/>
                <w:szCs w:val="20"/>
              </w:rPr>
            </w:pPr>
            <w:r>
              <w:rPr>
                <w:rFonts w:cs="Arial" w:ascii="Arial" w:hAnsi="Arial"/>
                <w:sz w:val="20"/>
                <w:szCs w:val="20"/>
              </w:rPr>
              <w:t>Austin</w:t>
            </w:r>
          </w:p>
        </w:tc>
        <w:tc>
          <w:tcPr>
            <w:tcW w:w="1252" w:type="dxa"/>
            <w:tcBorders/>
            <w:vAlign w:val="bottom"/>
          </w:tcPr>
          <w:p>
            <w:pPr>
              <w:pStyle w:val="Normal"/>
              <w:rPr>
                <w:rFonts w:ascii="Arial" w:hAnsi="Arial" w:cs="Arial"/>
                <w:sz w:val="20"/>
                <w:szCs w:val="20"/>
              </w:rPr>
            </w:pPr>
            <w:r>
              <w:rPr>
                <w:rFonts w:cs="Arial" w:ascii="Arial" w:hAnsi="Arial"/>
                <w:sz w:val="20"/>
                <w:szCs w:val="20"/>
              </w:rPr>
              <w:t>Jeff</w:t>
            </w:r>
          </w:p>
        </w:tc>
        <w:tc>
          <w:tcPr>
            <w:tcW w:w="1092" w:type="dxa"/>
            <w:tcBorders/>
            <w:vAlign w:val="bottom"/>
          </w:tcPr>
          <w:p>
            <w:pPr>
              <w:pStyle w:val="Normal"/>
              <w:rPr>
                <w:rFonts w:ascii="Arial" w:hAnsi="Arial" w:cs="Arial"/>
                <w:sz w:val="20"/>
                <w:szCs w:val="20"/>
              </w:rPr>
            </w:pPr>
            <w:r>
              <w:rPr>
                <w:rFonts w:cs="Arial" w:ascii="Arial" w:hAnsi="Arial"/>
                <w:sz w:val="20"/>
                <w:szCs w:val="20"/>
              </w:rPr>
              <w:t>Supply</w:t>
            </w:r>
          </w:p>
        </w:tc>
        <w:tc>
          <w:tcPr>
            <w:tcW w:w="972" w:type="dxa"/>
            <w:tcBorders/>
            <w:vAlign w:val="bottom"/>
          </w:tcPr>
          <w:p>
            <w:pPr>
              <w:pStyle w:val="Normal"/>
              <w:rPr>
                <w:rFonts w:ascii="Arial" w:hAnsi="Arial" w:cs="Arial"/>
                <w:sz w:val="20"/>
                <w:szCs w:val="20"/>
              </w:rPr>
            </w:pPr>
            <w:r>
              <w:rPr>
                <w:rFonts w:cs="Arial" w:ascii="Arial" w:hAnsi="Arial"/>
                <w:sz w:val="20"/>
                <w:szCs w:val="20"/>
              </w:rPr>
              <w:t>EES</w:t>
            </w:r>
          </w:p>
        </w:tc>
        <w:tc>
          <w:tcPr>
            <w:tcW w:w="1168" w:type="dxa"/>
            <w:tcBorders/>
            <w:vAlign w:val="bottom"/>
          </w:tcPr>
          <w:p>
            <w:pPr>
              <w:pStyle w:val="Normal"/>
              <w:snapToGrid w:val="false"/>
              <w:rPr>
                <w:rFonts w:ascii="Arial" w:hAnsi="Arial" w:cs="Arial"/>
                <w:sz w:val="20"/>
                <w:szCs w:val="20"/>
              </w:rPr>
            </w:pPr>
            <w:r>
              <w:rPr>
                <w:rFonts w:cs="Arial" w:ascii="Arial" w:hAnsi="Arial"/>
                <w:sz w:val="20"/>
                <w:szCs w:val="20"/>
              </w:rPr>
            </w:r>
          </w:p>
        </w:tc>
      </w:tr>
      <w:tr>
        <w:trPr>
          <w:trHeight w:val="264" w:hRule="atLeast"/>
        </w:trPr>
        <w:tc>
          <w:tcPr>
            <w:tcW w:w="1296" w:type="dxa"/>
            <w:tcBorders/>
            <w:vAlign w:val="bottom"/>
          </w:tcPr>
          <w:p>
            <w:pPr>
              <w:pStyle w:val="Normal"/>
              <w:snapToGrid w:val="false"/>
              <w:rPr>
                <w:rFonts w:ascii="Arial" w:hAnsi="Arial" w:cs="Arial"/>
                <w:sz w:val="20"/>
                <w:szCs w:val="20"/>
              </w:rPr>
            </w:pPr>
            <w:r>
              <w:rPr>
                <w:rFonts w:cs="Arial" w:ascii="Arial" w:hAnsi="Arial"/>
                <w:sz w:val="20"/>
                <w:szCs w:val="20"/>
              </w:rPr>
            </w:r>
          </w:p>
        </w:tc>
        <w:tc>
          <w:tcPr>
            <w:tcW w:w="1252" w:type="dxa"/>
            <w:tcBorders/>
            <w:vAlign w:val="bottom"/>
          </w:tcPr>
          <w:p>
            <w:pPr>
              <w:pStyle w:val="Normal"/>
              <w:snapToGrid w:val="false"/>
              <w:rPr>
                <w:rFonts w:ascii="Arial" w:hAnsi="Arial" w:cs="Arial"/>
                <w:sz w:val="20"/>
                <w:szCs w:val="20"/>
              </w:rPr>
            </w:pPr>
            <w:r>
              <w:rPr>
                <w:rFonts w:cs="Arial" w:ascii="Arial" w:hAnsi="Arial"/>
                <w:sz w:val="20"/>
                <w:szCs w:val="20"/>
              </w:rPr>
            </w:r>
          </w:p>
        </w:tc>
        <w:tc>
          <w:tcPr>
            <w:tcW w:w="1092" w:type="dxa"/>
            <w:tcBorders/>
            <w:vAlign w:val="bottom"/>
          </w:tcPr>
          <w:p>
            <w:pPr>
              <w:pStyle w:val="Normal"/>
              <w:snapToGrid w:val="false"/>
              <w:rPr>
                <w:rFonts w:ascii="Arial" w:hAnsi="Arial" w:cs="Arial"/>
                <w:sz w:val="20"/>
                <w:szCs w:val="20"/>
              </w:rPr>
            </w:pPr>
            <w:r>
              <w:rPr>
                <w:rFonts w:cs="Arial" w:ascii="Arial" w:hAnsi="Arial"/>
                <w:sz w:val="20"/>
                <w:szCs w:val="20"/>
              </w:rPr>
            </w:r>
          </w:p>
        </w:tc>
        <w:tc>
          <w:tcPr>
            <w:tcW w:w="972" w:type="dxa"/>
            <w:tcBorders/>
            <w:vAlign w:val="bottom"/>
          </w:tcPr>
          <w:p>
            <w:pPr>
              <w:pStyle w:val="Normal"/>
              <w:snapToGrid w:val="false"/>
              <w:rPr>
                <w:rFonts w:ascii="Arial" w:hAnsi="Arial" w:cs="Arial"/>
                <w:sz w:val="20"/>
                <w:szCs w:val="20"/>
              </w:rPr>
            </w:pPr>
            <w:r>
              <w:rPr>
                <w:rFonts w:cs="Arial" w:ascii="Arial" w:hAnsi="Arial"/>
                <w:sz w:val="20"/>
                <w:szCs w:val="20"/>
              </w:rPr>
            </w:r>
          </w:p>
        </w:tc>
        <w:tc>
          <w:tcPr>
            <w:tcW w:w="1168" w:type="dxa"/>
            <w:tcBorders/>
            <w:vAlign w:val="bottom"/>
          </w:tcPr>
          <w:p>
            <w:pPr>
              <w:pStyle w:val="Normal"/>
              <w:snapToGrid w:val="false"/>
              <w:rPr>
                <w:rFonts w:ascii="Arial" w:hAnsi="Arial" w:cs="Arial"/>
                <w:sz w:val="20"/>
                <w:szCs w:val="20"/>
              </w:rPr>
            </w:pPr>
            <w:r>
              <w:rPr>
                <w:rFonts w:cs="Arial" w:ascii="Arial" w:hAnsi="Arial"/>
                <w:sz w:val="20"/>
                <w:szCs w:val="20"/>
              </w:rPr>
            </w:r>
          </w:p>
        </w:tc>
      </w:tr>
      <w:tr>
        <w:trPr>
          <w:trHeight w:val="264" w:hRule="atLeast"/>
        </w:trPr>
        <w:tc>
          <w:tcPr>
            <w:tcW w:w="1296" w:type="dxa"/>
            <w:tcBorders/>
            <w:vAlign w:val="bottom"/>
          </w:tcPr>
          <w:p>
            <w:pPr>
              <w:pStyle w:val="Normal"/>
              <w:numPr>
                <w:ilvl w:val="0"/>
                <w:numId w:val="0"/>
              </w:numPr>
              <w:snapToGrid w:val="false"/>
              <w:outlineLvl w:val="3"/>
              <w:rPr>
                <w:rFonts w:ascii="Arial" w:hAnsi="Arial" w:cs="Arial"/>
                <w:sz w:val="20"/>
                <w:szCs w:val="20"/>
              </w:rPr>
            </w:pPr>
            <w:r>
              <w:rPr>
                <w:rFonts w:cs="Arial" w:ascii="Arial" w:hAnsi="Arial"/>
                <w:sz w:val="20"/>
                <w:szCs w:val="20"/>
              </w:rPr>
            </w:r>
          </w:p>
        </w:tc>
        <w:tc>
          <w:tcPr>
            <w:tcW w:w="1252" w:type="dxa"/>
            <w:tcBorders/>
            <w:vAlign w:val="bottom"/>
          </w:tcPr>
          <w:p>
            <w:pPr>
              <w:pStyle w:val="Normal"/>
              <w:numPr>
                <w:ilvl w:val="0"/>
                <w:numId w:val="0"/>
              </w:numPr>
              <w:snapToGrid w:val="false"/>
              <w:outlineLvl w:val="3"/>
              <w:rPr>
                <w:rFonts w:ascii="Arial" w:hAnsi="Arial" w:cs="Arial"/>
                <w:sz w:val="20"/>
                <w:szCs w:val="20"/>
              </w:rPr>
            </w:pPr>
            <w:r>
              <w:rPr>
                <w:rFonts w:cs="Arial" w:ascii="Arial" w:hAnsi="Arial"/>
                <w:sz w:val="20"/>
                <w:szCs w:val="20"/>
              </w:rPr>
            </w:r>
          </w:p>
        </w:tc>
        <w:tc>
          <w:tcPr>
            <w:tcW w:w="1092" w:type="dxa"/>
            <w:tcBorders/>
            <w:vAlign w:val="bottom"/>
          </w:tcPr>
          <w:p>
            <w:pPr>
              <w:pStyle w:val="Normal"/>
              <w:numPr>
                <w:ilvl w:val="0"/>
                <w:numId w:val="0"/>
              </w:numPr>
              <w:outlineLvl w:val="3"/>
              <w:rPr>
                <w:rFonts w:ascii="Arial" w:hAnsi="Arial" w:cs="Arial"/>
                <w:b/>
                <w:bCs/>
                <w:sz w:val="20"/>
                <w:szCs w:val="20"/>
              </w:rPr>
            </w:pPr>
            <w:r>
              <w:rPr>
                <w:rFonts w:cs="Arial" w:ascii="Arial" w:hAnsi="Arial"/>
                <w:b/>
                <w:bCs/>
                <w:sz w:val="20"/>
                <w:szCs w:val="20"/>
              </w:rPr>
              <w:t>GCO</w:t>
            </w:r>
          </w:p>
        </w:tc>
        <w:tc>
          <w:tcPr>
            <w:tcW w:w="972" w:type="dxa"/>
            <w:tcBorders/>
            <w:vAlign w:val="bottom"/>
          </w:tcPr>
          <w:p>
            <w:pPr>
              <w:pStyle w:val="Normal"/>
              <w:numPr>
                <w:ilvl w:val="0"/>
                <w:numId w:val="0"/>
              </w:numPr>
              <w:snapToGrid w:val="false"/>
              <w:outlineLvl w:val="3"/>
              <w:rPr>
                <w:rFonts w:ascii="Arial" w:hAnsi="Arial" w:cs="Arial"/>
                <w:b/>
                <w:bCs/>
                <w:sz w:val="20"/>
                <w:szCs w:val="20"/>
              </w:rPr>
            </w:pPr>
            <w:r>
              <w:rPr>
                <w:rFonts w:cs="Arial" w:ascii="Arial" w:hAnsi="Arial"/>
                <w:b/>
                <w:bCs/>
                <w:sz w:val="20"/>
                <w:szCs w:val="20"/>
              </w:rPr>
            </w:r>
          </w:p>
        </w:tc>
        <w:tc>
          <w:tcPr>
            <w:tcW w:w="1168" w:type="dxa"/>
            <w:tcBorders/>
            <w:vAlign w:val="bottom"/>
          </w:tcPr>
          <w:p>
            <w:pPr>
              <w:pStyle w:val="Normal"/>
              <w:numPr>
                <w:ilvl w:val="0"/>
                <w:numId w:val="0"/>
              </w:numPr>
              <w:snapToGrid w:val="false"/>
              <w:outlineLvl w:val="3"/>
              <w:rPr>
                <w:rFonts w:ascii="Arial" w:hAnsi="Arial" w:cs="Arial"/>
                <w:sz w:val="20"/>
                <w:szCs w:val="20"/>
              </w:rPr>
            </w:pPr>
            <w:r>
              <w:rPr>
                <w:rFonts w:cs="Arial" w:ascii="Arial" w:hAnsi="Arial"/>
                <w:sz w:val="20"/>
                <w:szCs w:val="20"/>
              </w:rPr>
            </w:r>
          </w:p>
        </w:tc>
      </w:tr>
      <w:tr>
        <w:trPr>
          <w:trHeight w:val="264" w:hRule="atLeast"/>
        </w:trPr>
        <w:tc>
          <w:tcPr>
            <w:tcW w:w="1296" w:type="dxa"/>
            <w:tcBorders/>
            <w:vAlign w:val="bottom"/>
          </w:tcPr>
          <w:p>
            <w:pPr>
              <w:pStyle w:val="Normal"/>
              <w:rPr>
                <w:rFonts w:ascii="Arial" w:hAnsi="Arial" w:cs="Arial"/>
                <w:sz w:val="20"/>
                <w:szCs w:val="20"/>
              </w:rPr>
            </w:pPr>
            <w:r>
              <w:rPr>
                <w:rFonts w:cs="Arial" w:ascii="Arial" w:hAnsi="Arial"/>
                <w:sz w:val="20"/>
                <w:szCs w:val="20"/>
              </w:rPr>
              <w:t>Alexander</w:t>
            </w:r>
          </w:p>
        </w:tc>
        <w:tc>
          <w:tcPr>
            <w:tcW w:w="1252" w:type="dxa"/>
            <w:tcBorders/>
            <w:vAlign w:val="bottom"/>
          </w:tcPr>
          <w:p>
            <w:pPr>
              <w:pStyle w:val="Normal"/>
              <w:rPr>
                <w:rFonts w:ascii="Arial" w:hAnsi="Arial" w:cs="Arial"/>
                <w:sz w:val="20"/>
                <w:szCs w:val="20"/>
              </w:rPr>
            </w:pPr>
            <w:r>
              <w:rPr>
                <w:rFonts w:cs="Arial" w:ascii="Arial" w:hAnsi="Arial"/>
                <w:sz w:val="20"/>
                <w:szCs w:val="20"/>
              </w:rPr>
              <w:t>Dale</w:t>
            </w:r>
          </w:p>
        </w:tc>
        <w:tc>
          <w:tcPr>
            <w:tcW w:w="1092" w:type="dxa"/>
            <w:tcBorders/>
            <w:vAlign w:val="bottom"/>
          </w:tcPr>
          <w:p>
            <w:pPr>
              <w:pStyle w:val="Normal"/>
              <w:rPr>
                <w:rFonts w:ascii="Arial" w:hAnsi="Arial" w:cs="Arial"/>
                <w:sz w:val="20"/>
                <w:szCs w:val="20"/>
              </w:rPr>
            </w:pPr>
            <w:r>
              <w:rPr>
                <w:rFonts w:cs="Arial" w:ascii="Arial" w:hAnsi="Arial"/>
                <w:sz w:val="20"/>
                <w:szCs w:val="20"/>
              </w:rPr>
              <w:t>Field Ops</w:t>
            </w:r>
          </w:p>
        </w:tc>
        <w:tc>
          <w:tcPr>
            <w:tcW w:w="972" w:type="dxa"/>
            <w:tcBorders/>
            <w:vAlign w:val="bottom"/>
          </w:tcPr>
          <w:p>
            <w:pPr>
              <w:pStyle w:val="Normal"/>
              <w:rPr>
                <w:rFonts w:ascii="Arial" w:hAnsi="Arial" w:cs="Arial"/>
                <w:sz w:val="20"/>
                <w:szCs w:val="20"/>
              </w:rPr>
            </w:pPr>
            <w:r>
              <w:rPr>
                <w:rFonts w:cs="Arial" w:ascii="Arial" w:hAnsi="Arial"/>
                <w:sz w:val="20"/>
                <w:szCs w:val="20"/>
              </w:rPr>
              <w:t>FGT</w:t>
            </w:r>
          </w:p>
        </w:tc>
        <w:tc>
          <w:tcPr>
            <w:tcW w:w="1168" w:type="dxa"/>
            <w:tcBorders/>
            <w:vAlign w:val="bottom"/>
          </w:tcPr>
          <w:p>
            <w:pPr>
              <w:pStyle w:val="Normal"/>
              <w:snapToGrid w:val="false"/>
              <w:rPr>
                <w:rFonts w:ascii="Arial" w:hAnsi="Arial" w:cs="Arial"/>
                <w:sz w:val="20"/>
                <w:szCs w:val="20"/>
              </w:rPr>
            </w:pPr>
            <w:r>
              <w:rPr>
                <w:rFonts w:cs="Arial" w:ascii="Arial" w:hAnsi="Arial"/>
                <w:sz w:val="20"/>
                <w:szCs w:val="20"/>
              </w:rPr>
            </w:r>
          </w:p>
        </w:tc>
      </w:tr>
      <w:tr>
        <w:trPr>
          <w:trHeight w:val="264" w:hRule="atLeast"/>
        </w:trPr>
        <w:tc>
          <w:tcPr>
            <w:tcW w:w="1296" w:type="dxa"/>
            <w:tcBorders/>
            <w:vAlign w:val="bottom"/>
          </w:tcPr>
          <w:p>
            <w:pPr>
              <w:pStyle w:val="Normal"/>
              <w:rPr>
                <w:rFonts w:ascii="Arial" w:hAnsi="Arial" w:cs="Arial"/>
                <w:sz w:val="20"/>
                <w:szCs w:val="20"/>
              </w:rPr>
            </w:pPr>
            <w:r>
              <w:rPr>
                <w:rFonts w:cs="Arial" w:ascii="Arial" w:hAnsi="Arial"/>
                <w:sz w:val="20"/>
                <w:szCs w:val="20"/>
              </w:rPr>
              <w:t>Brewer</w:t>
            </w:r>
          </w:p>
        </w:tc>
        <w:tc>
          <w:tcPr>
            <w:tcW w:w="1252" w:type="dxa"/>
            <w:tcBorders/>
            <w:vAlign w:val="bottom"/>
          </w:tcPr>
          <w:p>
            <w:pPr>
              <w:pStyle w:val="Normal"/>
              <w:rPr>
                <w:rFonts w:ascii="Arial" w:hAnsi="Arial" w:cs="Arial"/>
                <w:sz w:val="20"/>
                <w:szCs w:val="20"/>
              </w:rPr>
            </w:pPr>
            <w:r>
              <w:rPr>
                <w:rFonts w:cs="Arial" w:ascii="Arial" w:hAnsi="Arial"/>
                <w:sz w:val="20"/>
                <w:szCs w:val="20"/>
              </w:rPr>
              <w:t>Robert</w:t>
            </w:r>
          </w:p>
        </w:tc>
        <w:tc>
          <w:tcPr>
            <w:tcW w:w="1092" w:type="dxa"/>
            <w:tcBorders/>
            <w:vAlign w:val="bottom"/>
          </w:tcPr>
          <w:p>
            <w:pPr>
              <w:pStyle w:val="Normal"/>
              <w:rPr>
                <w:rFonts w:ascii="Arial" w:hAnsi="Arial" w:cs="Arial"/>
                <w:sz w:val="20"/>
                <w:szCs w:val="20"/>
              </w:rPr>
            </w:pPr>
            <w:r>
              <w:rPr>
                <w:rFonts w:cs="Arial" w:ascii="Arial" w:hAnsi="Arial"/>
                <w:sz w:val="20"/>
                <w:szCs w:val="20"/>
              </w:rPr>
              <w:t>Field Ops</w:t>
            </w:r>
          </w:p>
        </w:tc>
        <w:tc>
          <w:tcPr>
            <w:tcW w:w="972" w:type="dxa"/>
            <w:tcBorders/>
            <w:vAlign w:val="bottom"/>
          </w:tcPr>
          <w:p>
            <w:pPr>
              <w:pStyle w:val="Normal"/>
              <w:rPr>
                <w:rFonts w:ascii="Arial" w:hAnsi="Arial" w:cs="Arial"/>
                <w:sz w:val="20"/>
                <w:szCs w:val="20"/>
              </w:rPr>
            </w:pPr>
            <w:r>
              <w:rPr>
                <w:rFonts w:cs="Arial" w:ascii="Arial" w:hAnsi="Arial"/>
                <w:sz w:val="20"/>
                <w:szCs w:val="20"/>
              </w:rPr>
              <w:t>FGT</w:t>
            </w:r>
          </w:p>
        </w:tc>
        <w:tc>
          <w:tcPr>
            <w:tcW w:w="1168" w:type="dxa"/>
            <w:tcBorders/>
            <w:vAlign w:val="bottom"/>
          </w:tcPr>
          <w:p>
            <w:pPr>
              <w:pStyle w:val="Normal"/>
              <w:snapToGrid w:val="false"/>
              <w:rPr>
                <w:rFonts w:ascii="Arial" w:hAnsi="Arial" w:cs="Arial"/>
                <w:sz w:val="20"/>
                <w:szCs w:val="20"/>
              </w:rPr>
            </w:pPr>
            <w:r>
              <w:rPr>
                <w:rFonts w:cs="Arial" w:ascii="Arial" w:hAnsi="Arial"/>
                <w:sz w:val="20"/>
                <w:szCs w:val="20"/>
              </w:rPr>
            </w:r>
          </w:p>
        </w:tc>
      </w:tr>
      <w:tr>
        <w:trPr>
          <w:trHeight w:val="264" w:hRule="atLeast"/>
        </w:trPr>
        <w:tc>
          <w:tcPr>
            <w:tcW w:w="1296" w:type="dxa"/>
            <w:tcBorders/>
            <w:vAlign w:val="bottom"/>
          </w:tcPr>
          <w:p>
            <w:pPr>
              <w:pStyle w:val="Normal"/>
              <w:rPr>
                <w:rFonts w:ascii="Arial" w:hAnsi="Arial" w:cs="Arial"/>
                <w:sz w:val="20"/>
                <w:szCs w:val="20"/>
              </w:rPr>
            </w:pPr>
            <w:r>
              <w:rPr>
                <w:rFonts w:cs="Arial" w:ascii="Arial" w:hAnsi="Arial"/>
                <w:sz w:val="20"/>
                <w:szCs w:val="20"/>
              </w:rPr>
              <w:t>Loring</w:t>
            </w:r>
          </w:p>
        </w:tc>
        <w:tc>
          <w:tcPr>
            <w:tcW w:w="1252" w:type="dxa"/>
            <w:tcBorders/>
            <w:vAlign w:val="bottom"/>
          </w:tcPr>
          <w:p>
            <w:pPr>
              <w:pStyle w:val="Normal"/>
              <w:rPr>
                <w:rFonts w:ascii="Arial" w:hAnsi="Arial" w:cs="Arial"/>
                <w:sz w:val="20"/>
                <w:szCs w:val="20"/>
              </w:rPr>
            </w:pPr>
            <w:r>
              <w:rPr>
                <w:rFonts w:cs="Arial" w:ascii="Arial" w:hAnsi="Arial"/>
                <w:sz w:val="20"/>
                <w:szCs w:val="20"/>
              </w:rPr>
              <w:t>Greg</w:t>
            </w:r>
          </w:p>
        </w:tc>
        <w:tc>
          <w:tcPr>
            <w:tcW w:w="1092" w:type="dxa"/>
            <w:tcBorders/>
            <w:vAlign w:val="bottom"/>
          </w:tcPr>
          <w:p>
            <w:pPr>
              <w:pStyle w:val="Normal"/>
              <w:rPr>
                <w:rFonts w:ascii="Arial" w:hAnsi="Arial" w:cs="Arial"/>
                <w:sz w:val="20"/>
                <w:szCs w:val="20"/>
              </w:rPr>
            </w:pPr>
            <w:r>
              <w:rPr>
                <w:rFonts w:cs="Arial" w:ascii="Arial" w:hAnsi="Arial"/>
                <w:sz w:val="20"/>
                <w:szCs w:val="20"/>
              </w:rPr>
              <w:t>Field Ops</w:t>
            </w:r>
          </w:p>
        </w:tc>
        <w:tc>
          <w:tcPr>
            <w:tcW w:w="972" w:type="dxa"/>
            <w:tcBorders/>
            <w:vAlign w:val="bottom"/>
          </w:tcPr>
          <w:p>
            <w:pPr>
              <w:pStyle w:val="Normal"/>
              <w:rPr>
                <w:rFonts w:ascii="Arial" w:hAnsi="Arial" w:cs="Arial"/>
                <w:sz w:val="20"/>
                <w:szCs w:val="20"/>
              </w:rPr>
            </w:pPr>
            <w:r>
              <w:rPr>
                <w:rFonts w:cs="Arial" w:ascii="Arial" w:hAnsi="Arial"/>
                <w:sz w:val="20"/>
                <w:szCs w:val="20"/>
              </w:rPr>
              <w:t>FGT</w:t>
            </w:r>
          </w:p>
        </w:tc>
        <w:tc>
          <w:tcPr>
            <w:tcW w:w="1168" w:type="dxa"/>
            <w:tcBorders/>
            <w:vAlign w:val="bottom"/>
          </w:tcPr>
          <w:p>
            <w:pPr>
              <w:pStyle w:val="Normal"/>
              <w:snapToGrid w:val="false"/>
              <w:rPr>
                <w:rFonts w:ascii="Arial" w:hAnsi="Arial" w:cs="Arial"/>
                <w:sz w:val="20"/>
                <w:szCs w:val="20"/>
              </w:rPr>
            </w:pPr>
            <w:r>
              <w:rPr>
                <w:rFonts w:cs="Arial" w:ascii="Arial" w:hAnsi="Arial"/>
                <w:sz w:val="20"/>
                <w:szCs w:val="20"/>
              </w:rPr>
            </w:r>
          </w:p>
        </w:tc>
      </w:tr>
      <w:tr>
        <w:trPr>
          <w:trHeight w:val="264" w:hRule="atLeast"/>
        </w:trPr>
        <w:tc>
          <w:tcPr>
            <w:tcW w:w="1296" w:type="dxa"/>
            <w:tcBorders/>
            <w:vAlign w:val="bottom"/>
          </w:tcPr>
          <w:p>
            <w:pPr>
              <w:pStyle w:val="Normal"/>
              <w:rPr>
                <w:rFonts w:ascii="Arial" w:hAnsi="Arial" w:cs="Arial"/>
                <w:sz w:val="20"/>
                <w:szCs w:val="20"/>
              </w:rPr>
            </w:pPr>
            <w:r>
              <w:rPr>
                <w:rFonts w:cs="Arial" w:ascii="Arial" w:hAnsi="Arial"/>
                <w:sz w:val="20"/>
                <w:szCs w:val="20"/>
              </w:rPr>
              <w:t>Mullen</w:t>
            </w:r>
          </w:p>
        </w:tc>
        <w:tc>
          <w:tcPr>
            <w:tcW w:w="1252" w:type="dxa"/>
            <w:tcBorders/>
            <w:vAlign w:val="bottom"/>
          </w:tcPr>
          <w:p>
            <w:pPr>
              <w:pStyle w:val="Normal"/>
              <w:rPr>
                <w:rFonts w:ascii="Arial" w:hAnsi="Arial" w:cs="Arial"/>
                <w:sz w:val="20"/>
                <w:szCs w:val="20"/>
              </w:rPr>
            </w:pPr>
            <w:r>
              <w:rPr>
                <w:rFonts w:cs="Arial" w:ascii="Arial" w:hAnsi="Arial"/>
                <w:sz w:val="20"/>
                <w:szCs w:val="20"/>
              </w:rPr>
              <w:t>Ronnie</w:t>
            </w:r>
          </w:p>
        </w:tc>
        <w:tc>
          <w:tcPr>
            <w:tcW w:w="1092" w:type="dxa"/>
            <w:tcBorders/>
            <w:vAlign w:val="bottom"/>
          </w:tcPr>
          <w:p>
            <w:pPr>
              <w:pStyle w:val="Normal"/>
              <w:rPr>
                <w:rFonts w:ascii="Arial" w:hAnsi="Arial" w:cs="Arial"/>
                <w:sz w:val="20"/>
                <w:szCs w:val="20"/>
              </w:rPr>
            </w:pPr>
            <w:r>
              <w:rPr>
                <w:rFonts w:cs="Arial" w:ascii="Arial" w:hAnsi="Arial"/>
                <w:sz w:val="20"/>
                <w:szCs w:val="20"/>
              </w:rPr>
              <w:t>Field Ops</w:t>
            </w:r>
          </w:p>
        </w:tc>
        <w:tc>
          <w:tcPr>
            <w:tcW w:w="972" w:type="dxa"/>
            <w:tcBorders/>
            <w:vAlign w:val="bottom"/>
          </w:tcPr>
          <w:p>
            <w:pPr>
              <w:pStyle w:val="Normal"/>
              <w:rPr>
                <w:rFonts w:ascii="Arial" w:hAnsi="Arial" w:cs="Arial"/>
                <w:sz w:val="20"/>
                <w:szCs w:val="20"/>
              </w:rPr>
            </w:pPr>
            <w:r>
              <w:rPr>
                <w:rFonts w:cs="Arial" w:ascii="Arial" w:hAnsi="Arial"/>
                <w:sz w:val="20"/>
                <w:szCs w:val="20"/>
              </w:rPr>
              <w:t>FGT</w:t>
            </w:r>
          </w:p>
        </w:tc>
        <w:tc>
          <w:tcPr>
            <w:tcW w:w="1168" w:type="dxa"/>
            <w:tcBorders/>
            <w:vAlign w:val="bottom"/>
          </w:tcPr>
          <w:p>
            <w:pPr>
              <w:pStyle w:val="Normal"/>
              <w:snapToGrid w:val="false"/>
              <w:rPr>
                <w:rFonts w:ascii="Arial" w:hAnsi="Arial" w:cs="Arial"/>
                <w:sz w:val="20"/>
                <w:szCs w:val="20"/>
              </w:rPr>
            </w:pPr>
            <w:r>
              <w:rPr>
                <w:rFonts w:cs="Arial" w:ascii="Arial" w:hAnsi="Arial"/>
                <w:sz w:val="20"/>
                <w:szCs w:val="20"/>
              </w:rPr>
            </w:r>
          </w:p>
        </w:tc>
      </w:tr>
      <w:tr>
        <w:trPr>
          <w:trHeight w:val="264" w:hRule="atLeast"/>
        </w:trPr>
        <w:tc>
          <w:tcPr>
            <w:tcW w:w="1296" w:type="dxa"/>
            <w:tcBorders/>
            <w:vAlign w:val="bottom"/>
          </w:tcPr>
          <w:p>
            <w:pPr>
              <w:pStyle w:val="Normal"/>
              <w:rPr>
                <w:rFonts w:ascii="Arial" w:hAnsi="Arial" w:cs="Arial"/>
                <w:sz w:val="20"/>
                <w:szCs w:val="20"/>
              </w:rPr>
            </w:pPr>
            <w:r>
              <w:rPr>
                <w:rFonts w:cs="Arial" w:ascii="Arial" w:hAnsi="Arial"/>
                <w:sz w:val="20"/>
                <w:szCs w:val="20"/>
              </w:rPr>
              <w:t>Putnam</w:t>
            </w:r>
          </w:p>
        </w:tc>
        <w:tc>
          <w:tcPr>
            <w:tcW w:w="1252" w:type="dxa"/>
            <w:tcBorders/>
            <w:vAlign w:val="bottom"/>
          </w:tcPr>
          <w:p>
            <w:pPr>
              <w:pStyle w:val="Normal"/>
              <w:rPr>
                <w:rFonts w:ascii="Arial" w:hAnsi="Arial" w:cs="Arial"/>
                <w:sz w:val="20"/>
                <w:szCs w:val="20"/>
              </w:rPr>
            </w:pPr>
            <w:r>
              <w:rPr>
                <w:rFonts w:cs="Arial" w:ascii="Arial" w:hAnsi="Arial"/>
                <w:sz w:val="20"/>
                <w:szCs w:val="20"/>
              </w:rPr>
              <w:t>Lee</w:t>
            </w:r>
          </w:p>
        </w:tc>
        <w:tc>
          <w:tcPr>
            <w:tcW w:w="1092" w:type="dxa"/>
            <w:tcBorders/>
            <w:vAlign w:val="bottom"/>
          </w:tcPr>
          <w:p>
            <w:pPr>
              <w:pStyle w:val="Normal"/>
              <w:rPr>
                <w:rFonts w:ascii="Arial" w:hAnsi="Arial" w:cs="Arial"/>
                <w:sz w:val="20"/>
                <w:szCs w:val="20"/>
              </w:rPr>
            </w:pPr>
            <w:r>
              <w:rPr>
                <w:rFonts w:cs="Arial" w:ascii="Arial" w:hAnsi="Arial"/>
                <w:sz w:val="20"/>
                <w:szCs w:val="20"/>
              </w:rPr>
              <w:t>Field Ops</w:t>
            </w:r>
          </w:p>
        </w:tc>
        <w:tc>
          <w:tcPr>
            <w:tcW w:w="972" w:type="dxa"/>
            <w:tcBorders/>
            <w:vAlign w:val="bottom"/>
          </w:tcPr>
          <w:p>
            <w:pPr>
              <w:pStyle w:val="Normal"/>
              <w:rPr>
                <w:rFonts w:ascii="Arial" w:hAnsi="Arial" w:cs="Arial"/>
                <w:sz w:val="20"/>
                <w:szCs w:val="20"/>
              </w:rPr>
            </w:pPr>
            <w:r>
              <w:rPr>
                <w:rFonts w:cs="Arial" w:ascii="Arial" w:hAnsi="Arial"/>
                <w:sz w:val="20"/>
                <w:szCs w:val="20"/>
              </w:rPr>
              <w:t>FGT</w:t>
            </w:r>
          </w:p>
        </w:tc>
        <w:tc>
          <w:tcPr>
            <w:tcW w:w="1168" w:type="dxa"/>
            <w:tcBorders/>
            <w:vAlign w:val="bottom"/>
          </w:tcPr>
          <w:p>
            <w:pPr>
              <w:pStyle w:val="Normal"/>
              <w:snapToGrid w:val="false"/>
              <w:rPr>
                <w:rFonts w:ascii="Arial" w:hAnsi="Arial" w:cs="Arial"/>
                <w:sz w:val="20"/>
                <w:szCs w:val="20"/>
              </w:rPr>
            </w:pPr>
            <w:r>
              <w:rPr>
                <w:rFonts w:cs="Arial" w:ascii="Arial" w:hAnsi="Arial"/>
                <w:sz w:val="20"/>
                <w:szCs w:val="20"/>
              </w:rPr>
            </w:r>
          </w:p>
        </w:tc>
      </w:tr>
      <w:tr>
        <w:trPr>
          <w:trHeight w:val="264" w:hRule="atLeast"/>
        </w:trPr>
        <w:tc>
          <w:tcPr>
            <w:tcW w:w="1296" w:type="dxa"/>
            <w:tcBorders/>
            <w:vAlign w:val="bottom"/>
          </w:tcPr>
          <w:p>
            <w:pPr>
              <w:pStyle w:val="Normal"/>
              <w:rPr>
                <w:rFonts w:ascii="Arial" w:hAnsi="Arial" w:cs="Arial"/>
                <w:sz w:val="20"/>
                <w:szCs w:val="20"/>
              </w:rPr>
            </w:pPr>
            <w:r>
              <w:rPr>
                <w:rFonts w:cs="Arial" w:ascii="Arial" w:hAnsi="Arial"/>
                <w:sz w:val="20"/>
                <w:szCs w:val="20"/>
              </w:rPr>
              <w:t>Parks</w:t>
            </w:r>
          </w:p>
        </w:tc>
        <w:tc>
          <w:tcPr>
            <w:tcW w:w="1252" w:type="dxa"/>
            <w:tcBorders/>
            <w:vAlign w:val="bottom"/>
          </w:tcPr>
          <w:p>
            <w:pPr>
              <w:pStyle w:val="Normal"/>
              <w:rPr>
                <w:rFonts w:ascii="Arial" w:hAnsi="Arial" w:cs="Arial"/>
                <w:sz w:val="20"/>
                <w:szCs w:val="20"/>
              </w:rPr>
            </w:pPr>
            <w:r>
              <w:rPr>
                <w:rFonts w:cs="Arial" w:ascii="Arial" w:hAnsi="Arial"/>
                <w:sz w:val="20"/>
                <w:szCs w:val="20"/>
              </w:rPr>
              <w:t>Roger</w:t>
            </w:r>
          </w:p>
        </w:tc>
        <w:tc>
          <w:tcPr>
            <w:tcW w:w="1092" w:type="dxa"/>
            <w:tcBorders/>
            <w:vAlign w:val="bottom"/>
          </w:tcPr>
          <w:p>
            <w:pPr>
              <w:pStyle w:val="Normal"/>
              <w:rPr>
                <w:rFonts w:ascii="Arial" w:hAnsi="Arial" w:cs="Arial"/>
                <w:sz w:val="20"/>
                <w:szCs w:val="20"/>
              </w:rPr>
            </w:pPr>
            <w:r>
              <w:rPr>
                <w:rFonts w:cs="Arial" w:ascii="Arial" w:hAnsi="Arial"/>
                <w:sz w:val="20"/>
                <w:szCs w:val="20"/>
              </w:rPr>
              <w:t>Field Ops</w:t>
            </w:r>
          </w:p>
        </w:tc>
        <w:tc>
          <w:tcPr>
            <w:tcW w:w="972" w:type="dxa"/>
            <w:tcBorders/>
            <w:vAlign w:val="bottom"/>
          </w:tcPr>
          <w:p>
            <w:pPr>
              <w:pStyle w:val="Normal"/>
              <w:rPr>
                <w:rFonts w:ascii="Arial" w:hAnsi="Arial" w:cs="Arial"/>
                <w:sz w:val="20"/>
                <w:szCs w:val="20"/>
              </w:rPr>
            </w:pPr>
            <w:r>
              <w:rPr>
                <w:rFonts w:cs="Arial" w:ascii="Arial" w:hAnsi="Arial"/>
                <w:sz w:val="20"/>
                <w:szCs w:val="20"/>
              </w:rPr>
              <w:t>FGT</w:t>
            </w:r>
          </w:p>
        </w:tc>
        <w:tc>
          <w:tcPr>
            <w:tcW w:w="1168" w:type="dxa"/>
            <w:tcBorders/>
            <w:vAlign w:val="bottom"/>
          </w:tcPr>
          <w:p>
            <w:pPr>
              <w:pStyle w:val="Normal"/>
              <w:snapToGrid w:val="false"/>
              <w:rPr>
                <w:rFonts w:ascii="Arial" w:hAnsi="Arial" w:cs="Arial"/>
                <w:sz w:val="20"/>
                <w:szCs w:val="20"/>
              </w:rPr>
            </w:pPr>
            <w:r>
              <w:rPr>
                <w:rFonts w:cs="Arial" w:ascii="Arial" w:hAnsi="Arial"/>
                <w:sz w:val="20"/>
                <w:szCs w:val="20"/>
              </w:rPr>
            </w:r>
          </w:p>
        </w:tc>
      </w:tr>
      <w:tr>
        <w:trPr>
          <w:trHeight w:val="264" w:hRule="atLeast"/>
        </w:trPr>
        <w:tc>
          <w:tcPr>
            <w:tcW w:w="1296" w:type="dxa"/>
            <w:tcBorders/>
            <w:vAlign w:val="bottom"/>
          </w:tcPr>
          <w:p>
            <w:pPr>
              <w:pStyle w:val="Normal"/>
              <w:rPr>
                <w:rFonts w:ascii="Arial" w:hAnsi="Arial" w:cs="Arial"/>
                <w:sz w:val="20"/>
                <w:szCs w:val="20"/>
              </w:rPr>
            </w:pPr>
            <w:r>
              <w:rPr>
                <w:rFonts w:cs="Arial" w:ascii="Arial" w:hAnsi="Arial"/>
                <w:sz w:val="20"/>
                <w:szCs w:val="20"/>
              </w:rPr>
              <w:t>Scull</w:t>
            </w:r>
          </w:p>
        </w:tc>
        <w:tc>
          <w:tcPr>
            <w:tcW w:w="1252" w:type="dxa"/>
            <w:tcBorders/>
            <w:vAlign w:val="bottom"/>
          </w:tcPr>
          <w:p>
            <w:pPr>
              <w:pStyle w:val="Normal"/>
              <w:rPr>
                <w:rFonts w:ascii="Arial" w:hAnsi="Arial" w:cs="Arial"/>
                <w:sz w:val="20"/>
                <w:szCs w:val="20"/>
              </w:rPr>
            </w:pPr>
            <w:r>
              <w:rPr>
                <w:rFonts w:cs="Arial" w:ascii="Arial" w:hAnsi="Arial"/>
                <w:sz w:val="20"/>
                <w:szCs w:val="20"/>
              </w:rPr>
              <w:t>Hal</w:t>
            </w:r>
          </w:p>
        </w:tc>
        <w:tc>
          <w:tcPr>
            <w:tcW w:w="1092" w:type="dxa"/>
            <w:tcBorders/>
            <w:vAlign w:val="bottom"/>
          </w:tcPr>
          <w:p>
            <w:pPr>
              <w:pStyle w:val="Normal"/>
              <w:rPr>
                <w:rFonts w:ascii="Arial" w:hAnsi="Arial" w:cs="Arial"/>
                <w:sz w:val="20"/>
                <w:szCs w:val="20"/>
              </w:rPr>
            </w:pPr>
            <w:r>
              <w:rPr>
                <w:rFonts w:cs="Arial" w:ascii="Arial" w:hAnsi="Arial"/>
                <w:sz w:val="20"/>
                <w:szCs w:val="20"/>
              </w:rPr>
              <w:t>Field Ops</w:t>
            </w:r>
          </w:p>
        </w:tc>
        <w:tc>
          <w:tcPr>
            <w:tcW w:w="972" w:type="dxa"/>
            <w:tcBorders/>
            <w:vAlign w:val="bottom"/>
          </w:tcPr>
          <w:p>
            <w:pPr>
              <w:pStyle w:val="Normal"/>
              <w:rPr>
                <w:rFonts w:ascii="Arial" w:hAnsi="Arial" w:cs="Arial"/>
                <w:sz w:val="20"/>
                <w:szCs w:val="20"/>
              </w:rPr>
            </w:pPr>
            <w:r>
              <w:rPr>
                <w:rFonts w:cs="Arial" w:ascii="Arial" w:hAnsi="Arial"/>
                <w:sz w:val="20"/>
                <w:szCs w:val="20"/>
              </w:rPr>
              <w:t>FGT</w:t>
            </w:r>
          </w:p>
        </w:tc>
        <w:tc>
          <w:tcPr>
            <w:tcW w:w="1168" w:type="dxa"/>
            <w:tcBorders/>
            <w:vAlign w:val="bottom"/>
          </w:tcPr>
          <w:p>
            <w:pPr>
              <w:pStyle w:val="Normal"/>
              <w:snapToGrid w:val="false"/>
              <w:rPr>
                <w:rFonts w:ascii="Arial" w:hAnsi="Arial" w:cs="Arial"/>
                <w:sz w:val="20"/>
                <w:szCs w:val="20"/>
              </w:rPr>
            </w:pPr>
            <w:r>
              <w:rPr>
                <w:rFonts w:cs="Arial" w:ascii="Arial" w:hAnsi="Arial"/>
                <w:sz w:val="20"/>
                <w:szCs w:val="20"/>
              </w:rPr>
            </w:r>
          </w:p>
        </w:tc>
      </w:tr>
      <w:tr>
        <w:trPr>
          <w:trHeight w:val="264" w:hRule="atLeast"/>
        </w:trPr>
        <w:tc>
          <w:tcPr>
            <w:tcW w:w="1296" w:type="dxa"/>
            <w:tcBorders/>
            <w:vAlign w:val="bottom"/>
          </w:tcPr>
          <w:p>
            <w:pPr>
              <w:pStyle w:val="Normal"/>
              <w:rPr>
                <w:rFonts w:ascii="Arial" w:hAnsi="Arial" w:cs="Arial"/>
                <w:sz w:val="20"/>
                <w:szCs w:val="20"/>
              </w:rPr>
            </w:pPr>
            <w:r>
              <w:rPr>
                <w:rFonts w:cs="Arial" w:ascii="Arial" w:hAnsi="Arial"/>
                <w:sz w:val="20"/>
                <w:szCs w:val="20"/>
              </w:rPr>
              <w:t>Morgan</w:t>
            </w:r>
          </w:p>
        </w:tc>
        <w:tc>
          <w:tcPr>
            <w:tcW w:w="1252" w:type="dxa"/>
            <w:tcBorders/>
            <w:vAlign w:val="bottom"/>
          </w:tcPr>
          <w:p>
            <w:pPr>
              <w:pStyle w:val="Normal"/>
              <w:rPr>
                <w:rFonts w:ascii="Arial" w:hAnsi="Arial" w:cs="Arial"/>
                <w:sz w:val="20"/>
                <w:szCs w:val="20"/>
              </w:rPr>
            </w:pPr>
            <w:r>
              <w:rPr>
                <w:rFonts w:cs="Arial" w:ascii="Arial" w:hAnsi="Arial"/>
                <w:sz w:val="20"/>
                <w:szCs w:val="20"/>
              </w:rPr>
              <w:t>Robert</w:t>
            </w:r>
          </w:p>
        </w:tc>
        <w:tc>
          <w:tcPr>
            <w:tcW w:w="1092" w:type="dxa"/>
            <w:tcBorders/>
            <w:vAlign w:val="bottom"/>
          </w:tcPr>
          <w:p>
            <w:pPr>
              <w:pStyle w:val="Normal"/>
              <w:rPr>
                <w:rFonts w:ascii="Arial" w:hAnsi="Arial" w:cs="Arial"/>
                <w:sz w:val="20"/>
                <w:szCs w:val="20"/>
              </w:rPr>
            </w:pPr>
            <w:r>
              <w:rPr>
                <w:rFonts w:cs="Arial" w:ascii="Arial" w:hAnsi="Arial"/>
                <w:sz w:val="20"/>
                <w:szCs w:val="20"/>
              </w:rPr>
              <w:t>Field Ops</w:t>
            </w:r>
          </w:p>
        </w:tc>
        <w:tc>
          <w:tcPr>
            <w:tcW w:w="972" w:type="dxa"/>
            <w:tcBorders/>
            <w:vAlign w:val="bottom"/>
          </w:tcPr>
          <w:p>
            <w:pPr>
              <w:pStyle w:val="Normal"/>
              <w:rPr>
                <w:rFonts w:ascii="Arial" w:hAnsi="Arial" w:cs="Arial"/>
                <w:sz w:val="20"/>
                <w:szCs w:val="20"/>
              </w:rPr>
            </w:pPr>
            <w:r>
              <w:rPr>
                <w:rFonts w:cs="Arial" w:ascii="Arial" w:hAnsi="Arial"/>
                <w:sz w:val="20"/>
                <w:szCs w:val="20"/>
              </w:rPr>
              <w:t>FGT</w:t>
            </w:r>
          </w:p>
        </w:tc>
        <w:tc>
          <w:tcPr>
            <w:tcW w:w="1168" w:type="dxa"/>
            <w:tcBorders/>
            <w:vAlign w:val="bottom"/>
          </w:tcPr>
          <w:p>
            <w:pPr>
              <w:pStyle w:val="Normal"/>
              <w:snapToGrid w:val="false"/>
              <w:rPr>
                <w:rFonts w:ascii="Arial" w:hAnsi="Arial" w:cs="Arial"/>
                <w:sz w:val="20"/>
                <w:szCs w:val="20"/>
              </w:rPr>
            </w:pPr>
            <w:r>
              <w:rPr>
                <w:rFonts w:cs="Arial" w:ascii="Arial" w:hAnsi="Arial"/>
                <w:sz w:val="20"/>
                <w:szCs w:val="20"/>
              </w:rPr>
            </w:r>
          </w:p>
        </w:tc>
      </w:tr>
      <w:tr>
        <w:trPr>
          <w:trHeight w:val="264" w:hRule="atLeast"/>
        </w:trPr>
        <w:tc>
          <w:tcPr>
            <w:tcW w:w="1296" w:type="dxa"/>
            <w:tcBorders/>
            <w:vAlign w:val="bottom"/>
          </w:tcPr>
          <w:p>
            <w:pPr>
              <w:pStyle w:val="Normal"/>
              <w:rPr>
                <w:rFonts w:ascii="Arial" w:hAnsi="Arial" w:cs="Arial"/>
                <w:sz w:val="20"/>
                <w:szCs w:val="20"/>
              </w:rPr>
            </w:pPr>
            <w:r>
              <w:rPr>
                <w:rFonts w:cs="Arial" w:ascii="Arial" w:hAnsi="Arial"/>
                <w:sz w:val="20"/>
                <w:szCs w:val="20"/>
              </w:rPr>
              <w:t>Duncan</w:t>
            </w:r>
          </w:p>
        </w:tc>
        <w:tc>
          <w:tcPr>
            <w:tcW w:w="1252" w:type="dxa"/>
            <w:tcBorders/>
            <w:vAlign w:val="bottom"/>
          </w:tcPr>
          <w:p>
            <w:pPr>
              <w:pStyle w:val="Normal"/>
              <w:rPr>
                <w:rFonts w:ascii="Arial" w:hAnsi="Arial" w:cs="Arial"/>
                <w:sz w:val="20"/>
                <w:szCs w:val="20"/>
              </w:rPr>
            </w:pPr>
            <w:r>
              <w:rPr>
                <w:rFonts w:cs="Arial" w:ascii="Arial" w:hAnsi="Arial"/>
                <w:sz w:val="20"/>
                <w:szCs w:val="20"/>
              </w:rPr>
              <w:t>Roy</w:t>
            </w:r>
          </w:p>
        </w:tc>
        <w:tc>
          <w:tcPr>
            <w:tcW w:w="1092" w:type="dxa"/>
            <w:tcBorders/>
            <w:vAlign w:val="bottom"/>
          </w:tcPr>
          <w:p>
            <w:pPr>
              <w:pStyle w:val="Normal"/>
              <w:rPr>
                <w:rFonts w:ascii="Arial" w:hAnsi="Arial" w:cs="Arial"/>
                <w:sz w:val="20"/>
                <w:szCs w:val="20"/>
              </w:rPr>
            </w:pPr>
            <w:r>
              <w:rPr>
                <w:rFonts w:cs="Arial" w:ascii="Arial" w:hAnsi="Arial"/>
                <w:sz w:val="20"/>
                <w:szCs w:val="20"/>
              </w:rPr>
              <w:t>Field Ops</w:t>
            </w:r>
          </w:p>
        </w:tc>
        <w:tc>
          <w:tcPr>
            <w:tcW w:w="972" w:type="dxa"/>
            <w:tcBorders/>
            <w:vAlign w:val="bottom"/>
          </w:tcPr>
          <w:p>
            <w:pPr>
              <w:pStyle w:val="Normal"/>
              <w:rPr>
                <w:rFonts w:ascii="Arial" w:hAnsi="Arial" w:cs="Arial"/>
                <w:sz w:val="20"/>
                <w:szCs w:val="20"/>
              </w:rPr>
            </w:pPr>
            <w:r>
              <w:rPr>
                <w:rFonts w:cs="Arial" w:ascii="Arial" w:hAnsi="Arial"/>
                <w:sz w:val="20"/>
                <w:szCs w:val="20"/>
              </w:rPr>
              <w:t>FGT</w:t>
            </w:r>
          </w:p>
        </w:tc>
        <w:tc>
          <w:tcPr>
            <w:tcW w:w="1168" w:type="dxa"/>
            <w:tcBorders/>
            <w:vAlign w:val="bottom"/>
          </w:tcPr>
          <w:p>
            <w:pPr>
              <w:pStyle w:val="Normal"/>
              <w:snapToGrid w:val="false"/>
              <w:rPr>
                <w:rFonts w:ascii="Arial" w:hAnsi="Arial" w:cs="Arial"/>
                <w:sz w:val="20"/>
                <w:szCs w:val="20"/>
              </w:rPr>
            </w:pPr>
            <w:r>
              <w:rPr>
                <w:rFonts w:cs="Arial" w:ascii="Arial" w:hAnsi="Arial"/>
                <w:sz w:val="20"/>
                <w:szCs w:val="20"/>
              </w:rPr>
            </w:r>
          </w:p>
        </w:tc>
      </w:tr>
    </w:tbl>
    <w:p>
      <w:pPr>
        <w:pStyle w:val="Normal"/>
        <w:rPr/>
      </w:pPr>
      <w:r>
        <w:rPr/>
      </w:r>
    </w:p>
    <w:p>
      <w:pPr>
        <w:pStyle w:val="Normal"/>
        <w:jc w:val="center"/>
        <w:rPr/>
      </w:pPr>
      <w:r>
        <w:rPr/>
        <w:t>PURCHASE AND SALE AGREEMENT</w:t>
      </w:r>
    </w:p>
    <w:p>
      <w:pPr>
        <w:pStyle w:val="Normal"/>
        <w:jc w:val="center"/>
        <w:rPr/>
      </w:pPr>
      <w:r>
        <w:rPr/>
      </w:r>
    </w:p>
    <w:p>
      <w:pPr>
        <w:pStyle w:val="Normal"/>
        <w:jc w:val="center"/>
        <w:rPr/>
      </w:pPr>
      <w:r>
        <w:rPr/>
        <w:t>Schedule 7.8(a)</w:t>
      </w:r>
    </w:p>
    <w:p>
      <w:pPr>
        <w:pStyle w:val="Normal"/>
        <w:jc w:val="center"/>
        <w:rPr/>
      </w:pPr>
      <w:r>
        <w:rPr/>
        <w:t>Excluded Assets</w:t>
      </w:r>
    </w:p>
    <w:p>
      <w:pPr>
        <w:pStyle w:val="Normal"/>
        <w:jc w:val="center"/>
        <w:rPr/>
      </w:pPr>
      <w:r>
        <w:rPr/>
      </w:r>
    </w:p>
    <w:p>
      <w:pPr>
        <w:pStyle w:val="Normal"/>
        <w:ind w:start="360" w:end="0"/>
        <w:jc w:val="both"/>
        <w:rPr/>
      </w:pPr>
      <w:r>
        <w:rPr/>
        <w:t>(i)</w:t>
        <w:tab/>
        <w:t>The following equity interests in the following entities:</w:t>
      </w:r>
    </w:p>
    <w:p>
      <w:pPr>
        <w:pStyle w:val="Normal"/>
        <w:jc w:val="both"/>
        <w:rPr/>
      </w:pPr>
      <w:r>
        <w:rPr/>
      </w:r>
    </w:p>
    <w:p>
      <w:pPr>
        <w:pStyle w:val="Normal"/>
        <w:numPr>
          <w:ilvl w:val="0"/>
          <w:numId w:val="10"/>
        </w:numPr>
        <w:jc w:val="both"/>
        <w:rPr/>
      </w:pPr>
      <w:r>
        <w:rPr>
          <w:u w:val="single"/>
        </w:rPr>
        <w:t>BAM Lease Company</w:t>
      </w:r>
      <w:r>
        <w:rPr/>
        <w:t xml:space="preserve"> (to be formed) </w:t>
      </w:r>
    </w:p>
    <w:p>
      <w:pPr>
        <w:pStyle w:val="Normal"/>
        <w:jc w:val="both"/>
        <w:rPr/>
      </w:pPr>
      <w:r>
        <w:rPr/>
      </w:r>
    </w:p>
    <w:p>
      <w:pPr>
        <w:pStyle w:val="Normal"/>
        <w:numPr>
          <w:ilvl w:val="0"/>
          <w:numId w:val="10"/>
        </w:numPr>
        <w:jc w:val="both"/>
        <w:rPr/>
      </w:pPr>
      <w:r>
        <w:rPr>
          <w:u w:val="single"/>
        </w:rPr>
        <w:t>Coal Properties Corporation</w:t>
      </w:r>
      <w:r>
        <w:rPr/>
        <w:t xml:space="preserve"> (100%) -- Common Stock (1,000 shares)</w:t>
      </w:r>
    </w:p>
    <w:p>
      <w:pPr>
        <w:pStyle w:val="Normal"/>
        <w:jc w:val="both"/>
        <w:rPr/>
      </w:pPr>
      <w:r>
        <w:rPr/>
      </w:r>
    </w:p>
    <w:p>
      <w:pPr>
        <w:pStyle w:val="Normal"/>
        <w:numPr>
          <w:ilvl w:val="0"/>
          <w:numId w:val="10"/>
        </w:numPr>
        <w:jc w:val="both"/>
        <w:rPr/>
      </w:pPr>
      <w:r>
        <w:rPr>
          <w:u w:val="single"/>
        </w:rPr>
        <w:t>Enron Engineering &amp; Construction Company</w:t>
      </w:r>
      <w:r>
        <w:rPr/>
        <w:t xml:space="preserve"> (100%) – Common Stock (1,000 Shares)</w:t>
      </w:r>
    </w:p>
    <w:p>
      <w:pPr>
        <w:pStyle w:val="Normal"/>
        <w:ind w:start="1440" w:end="0"/>
        <w:jc w:val="both"/>
        <w:rPr/>
      </w:pPr>
      <w:r>
        <w:rPr/>
        <w:t>[Subsidiaries (direct and indirect) :</w:t>
        <w:tab/>
        <w:t>Enron Advisory Services, Inc., Enron Consolidated Construction Company, National Energy Production Corporation,  Nepco Services International, Inc., Thai Nepco., Ltd., Operational Energy Corp., OEC Holding Ltd., Enron Gaza Operations Ltd., OEC Nigeria Limited, Pakistan Construction Servicess, Inc.]</w:t>
      </w:r>
    </w:p>
    <w:p>
      <w:pPr>
        <w:pStyle w:val="Normal"/>
        <w:jc w:val="both"/>
        <w:rPr/>
      </w:pPr>
      <w:r>
        <w:rPr/>
        <w:tab/>
      </w:r>
    </w:p>
    <w:p>
      <w:pPr>
        <w:pStyle w:val="Normal"/>
        <w:numPr>
          <w:ilvl w:val="0"/>
          <w:numId w:val="14"/>
        </w:numPr>
        <w:jc w:val="both"/>
        <w:rPr/>
      </w:pPr>
      <w:r>
        <w:rPr>
          <w:u w:val="single"/>
        </w:rPr>
        <w:t>Enron Industrial Natural Gas Company</w:t>
      </w:r>
      <w:r>
        <w:rPr/>
        <w:t xml:space="preserve"> (100%) – Common Stock (1,000 shares) </w:t>
      </w:r>
    </w:p>
    <w:p>
      <w:pPr>
        <w:pStyle w:val="Normal"/>
        <w:ind w:start="360" w:end="0"/>
        <w:jc w:val="both"/>
        <w:rPr/>
      </w:pPr>
      <w:r>
        <w:rPr/>
      </w:r>
    </w:p>
    <w:p>
      <w:pPr>
        <w:pStyle w:val="Normal"/>
        <w:numPr>
          <w:ilvl w:val="0"/>
          <w:numId w:val="14"/>
        </w:numPr>
        <w:jc w:val="both"/>
        <w:rPr/>
      </w:pPr>
      <w:r>
        <w:rPr>
          <w:u w:val="single"/>
        </w:rPr>
        <w:t>Enron Texoma Gas Company</w:t>
      </w:r>
      <w:r>
        <w:rPr/>
        <w:t xml:space="preserve"> (100%) – Common Stock (1,000 shares) (will dissolve or rename the Company)</w:t>
      </w:r>
    </w:p>
    <w:p>
      <w:pPr>
        <w:pStyle w:val="Normal"/>
        <w:jc w:val="both"/>
        <w:rPr/>
      </w:pPr>
      <w:r>
        <w:rPr/>
      </w:r>
    </w:p>
    <w:p>
      <w:pPr>
        <w:pStyle w:val="Normal"/>
        <w:numPr>
          <w:ilvl w:val="0"/>
          <w:numId w:val="14"/>
        </w:numPr>
        <w:jc w:val="both"/>
        <w:rPr/>
      </w:pPr>
      <w:r>
        <w:rPr>
          <w:u w:val="single"/>
        </w:rPr>
        <w:t>HPL Compression Company L.P.</w:t>
      </w:r>
      <w:r>
        <w:rPr/>
        <w:t xml:space="preserve"> (0.001%) – General Partner Interest(will dissolve or rename the Company)</w:t>
      </w:r>
    </w:p>
    <w:p>
      <w:pPr>
        <w:pStyle w:val="Normal"/>
        <w:jc w:val="both"/>
        <w:rPr/>
      </w:pPr>
      <w:r>
        <w:rPr/>
      </w:r>
    </w:p>
    <w:p>
      <w:pPr>
        <w:pStyle w:val="Normal"/>
        <w:numPr>
          <w:ilvl w:val="0"/>
          <w:numId w:val="14"/>
        </w:numPr>
        <w:jc w:val="both"/>
        <w:rPr/>
      </w:pPr>
      <w:r>
        <w:rPr>
          <w:u w:val="single"/>
        </w:rPr>
        <w:t>Hanover Measurement Services Company L.P.</w:t>
      </w:r>
      <w:r>
        <w:rPr/>
        <w:t xml:space="preserve"> (47.500%) – Limited Partner Interest</w:t>
      </w:r>
    </w:p>
    <w:p>
      <w:pPr>
        <w:pStyle w:val="Normal"/>
        <w:jc w:val="both"/>
        <w:rPr/>
      </w:pPr>
      <w:r>
        <w:rPr/>
      </w:r>
    </w:p>
    <w:p>
      <w:pPr>
        <w:pStyle w:val="Normal"/>
        <w:numPr>
          <w:ilvl w:val="0"/>
          <w:numId w:val="14"/>
        </w:numPr>
        <w:jc w:val="both"/>
        <w:rPr/>
      </w:pPr>
      <w:r>
        <w:rPr>
          <w:u w:val="single"/>
        </w:rPr>
        <w:t>Houston Pipe Line Marketing Company</w:t>
      </w:r>
      <w:r>
        <w:rPr/>
        <w:t xml:space="preserve"> (100%) – Common Stock (1,000 shares) (will dissolve or rename the Company)</w:t>
      </w:r>
    </w:p>
    <w:p>
      <w:pPr>
        <w:pStyle w:val="Normal"/>
        <w:jc w:val="both"/>
        <w:rPr/>
      </w:pPr>
      <w:r>
        <w:rPr/>
      </w:r>
    </w:p>
    <w:p>
      <w:pPr>
        <w:pStyle w:val="Normal"/>
        <w:numPr>
          <w:ilvl w:val="0"/>
          <w:numId w:val="14"/>
        </w:numPr>
        <w:jc w:val="both"/>
        <w:rPr/>
      </w:pPr>
      <w:r>
        <w:rPr>
          <w:u w:val="single"/>
        </w:rPr>
        <w:t>Intratex Gas Company</w:t>
      </w:r>
      <w:r>
        <w:rPr/>
        <w:t xml:space="preserve"> (100%) – Common Stock (1,000 shares)</w:t>
      </w:r>
    </w:p>
    <w:p>
      <w:pPr>
        <w:pStyle w:val="Normal"/>
        <w:jc w:val="both"/>
        <w:rPr/>
      </w:pPr>
      <w:r>
        <w:rPr/>
      </w:r>
    </w:p>
    <w:p>
      <w:pPr>
        <w:pStyle w:val="Normal"/>
        <w:numPr>
          <w:ilvl w:val="0"/>
          <w:numId w:val="14"/>
        </w:numPr>
        <w:jc w:val="both"/>
        <w:rPr/>
      </w:pPr>
      <w:r>
        <w:rPr>
          <w:u w:val="single"/>
        </w:rPr>
        <w:t>Kingfisher LLC</w:t>
      </w:r>
      <w:r>
        <w:rPr/>
        <w:t xml:space="preserve"> (100%) – Membership Interest</w:t>
      </w:r>
    </w:p>
    <w:p>
      <w:pPr>
        <w:pStyle w:val="Normal"/>
        <w:jc w:val="both"/>
        <w:rPr/>
      </w:pPr>
      <w:r>
        <w:rPr/>
      </w:r>
    </w:p>
    <w:p>
      <w:pPr>
        <w:pStyle w:val="Normal"/>
        <w:numPr>
          <w:ilvl w:val="0"/>
          <w:numId w:val="14"/>
        </w:numPr>
        <w:jc w:val="both"/>
        <w:rPr/>
      </w:pPr>
      <w:r>
        <w:rPr>
          <w:u w:val="single"/>
        </w:rPr>
        <w:t>Little Looper LLC</w:t>
      </w:r>
      <w:r>
        <w:rPr/>
        <w:t xml:space="preserve"> (100%) – Membership Interest [Note: May be dissolved prior to Closing Date].</w:t>
      </w:r>
    </w:p>
    <w:p>
      <w:pPr>
        <w:pStyle w:val="Normal"/>
        <w:jc w:val="both"/>
        <w:rPr/>
      </w:pPr>
      <w:r>
        <w:rPr/>
      </w:r>
    </w:p>
    <w:p>
      <w:pPr>
        <w:pStyle w:val="Normal"/>
        <w:numPr>
          <w:ilvl w:val="0"/>
          <w:numId w:val="14"/>
        </w:numPr>
        <w:jc w:val="both"/>
        <w:rPr/>
      </w:pPr>
      <w:r>
        <w:rPr>
          <w:u w:val="single"/>
        </w:rPr>
        <w:t>Little Piper LLC</w:t>
      </w:r>
      <w:r>
        <w:rPr/>
        <w:t xml:space="preserve"> (100%) – Membership Interest [Note:  Will be dissolved prior to Closing Date]</w:t>
      </w:r>
    </w:p>
    <w:p>
      <w:pPr>
        <w:pStyle w:val="Normal"/>
        <w:jc w:val="both"/>
        <w:rPr/>
      </w:pPr>
      <w:r>
        <w:rPr/>
      </w:r>
    </w:p>
    <w:p>
      <w:pPr>
        <w:pStyle w:val="Normal"/>
        <w:numPr>
          <w:ilvl w:val="0"/>
          <w:numId w:val="14"/>
        </w:numPr>
        <w:jc w:val="both"/>
        <w:rPr/>
      </w:pPr>
      <w:r>
        <w:rPr>
          <w:u w:val="single"/>
        </w:rPr>
        <w:t>Main Piper L.P.</w:t>
      </w:r>
      <w:r>
        <w:rPr/>
        <w:t xml:space="preserve"> (.001%) – General Partner Interest [Note:  Will be dissolved prior to Closing Date]</w:t>
      </w:r>
    </w:p>
    <w:p>
      <w:pPr>
        <w:pStyle w:val="Normal"/>
        <w:ind w:start="720" w:end="0"/>
        <w:jc w:val="both"/>
        <w:rPr/>
      </w:pPr>
      <w:r>
        <w:rPr/>
      </w:r>
    </w:p>
    <w:p>
      <w:pPr>
        <w:pStyle w:val="Normal"/>
        <w:numPr>
          <w:ilvl w:val="0"/>
          <w:numId w:val="14"/>
        </w:numPr>
        <w:jc w:val="both"/>
        <w:rPr/>
      </w:pPr>
      <w:r>
        <w:rPr>
          <w:u w:val="single"/>
        </w:rPr>
        <w:t>Matagorda Terminal Ltd.</w:t>
      </w:r>
      <w:r>
        <w:rPr/>
        <w:t xml:space="preserve"> (50%) – Limited Partner Interest</w:t>
      </w:r>
    </w:p>
    <w:p>
      <w:pPr>
        <w:pStyle w:val="Normal"/>
        <w:jc w:val="both"/>
        <w:rPr/>
      </w:pPr>
      <w:r>
        <w:rPr/>
      </w:r>
    </w:p>
    <w:p>
      <w:pPr>
        <w:pStyle w:val="Normal"/>
        <w:numPr>
          <w:ilvl w:val="0"/>
          <w:numId w:val="14"/>
        </w:numPr>
        <w:jc w:val="both"/>
        <w:rPr/>
      </w:pPr>
      <w:r>
        <w:rPr>
          <w:u w:val="single"/>
        </w:rPr>
        <w:t>Meter Acquisition Company, LP, LLP</w:t>
      </w:r>
      <w:r>
        <w:rPr/>
        <w:t xml:space="preserve"> (80%) – General and Limited Partner Interest [Note:  Will be dissolved prior to Closing Date instead of transferred to Seller or an affiliate of Seller]</w:t>
      </w:r>
    </w:p>
    <w:p>
      <w:pPr>
        <w:pStyle w:val="Normal"/>
        <w:jc w:val="both"/>
        <w:rPr/>
      </w:pPr>
      <w:r>
        <w:rPr/>
      </w:r>
    </w:p>
    <w:p>
      <w:pPr>
        <w:pStyle w:val="Normal"/>
        <w:numPr>
          <w:ilvl w:val="0"/>
          <w:numId w:val="14"/>
        </w:numPr>
        <w:jc w:val="both"/>
        <w:rPr/>
      </w:pPr>
      <w:r>
        <w:rPr>
          <w:u w:val="single"/>
        </w:rPr>
        <w:t>Middle Looper LLC</w:t>
      </w:r>
      <w:r>
        <w:rPr/>
        <w:t xml:space="preserve"> (100%) – Membership Interest [Note: May be dissolved prior to Closing Date.]</w:t>
      </w:r>
    </w:p>
    <w:p>
      <w:pPr>
        <w:pStyle w:val="Normal"/>
        <w:jc w:val="both"/>
        <w:rPr/>
      </w:pPr>
      <w:r>
        <w:rPr/>
      </w:r>
    </w:p>
    <w:p>
      <w:pPr>
        <w:pStyle w:val="Normal"/>
        <w:numPr>
          <w:ilvl w:val="0"/>
          <w:numId w:val="14"/>
        </w:numPr>
        <w:jc w:val="both"/>
        <w:rPr/>
      </w:pPr>
      <w:r>
        <w:rPr>
          <w:u w:val="single"/>
        </w:rPr>
        <w:t>Middle Piper LLC</w:t>
      </w:r>
      <w:r>
        <w:rPr/>
        <w:t xml:space="preserve"> (100%) – Membership Interest [Note:  Will be dissolved prior to Closing Date]</w:t>
      </w:r>
    </w:p>
    <w:p>
      <w:pPr>
        <w:pStyle w:val="Normal"/>
        <w:ind w:start="720" w:end="0"/>
        <w:jc w:val="both"/>
        <w:rPr/>
      </w:pPr>
      <w:r>
        <w:rPr/>
      </w:r>
    </w:p>
    <w:p>
      <w:pPr>
        <w:pStyle w:val="Normal"/>
        <w:numPr>
          <w:ilvl w:val="0"/>
          <w:numId w:val="14"/>
        </w:numPr>
        <w:jc w:val="both"/>
        <w:rPr/>
      </w:pPr>
      <w:r>
        <w:rPr>
          <w:u w:val="single"/>
        </w:rPr>
        <w:t>Panhandle Gas Company</w:t>
      </w:r>
      <w:r>
        <w:rPr/>
        <w:t xml:space="preserve"> (100%) – Common Stock (1,000 shares)</w:t>
      </w:r>
    </w:p>
    <w:p>
      <w:pPr>
        <w:pStyle w:val="Normal"/>
        <w:ind w:start="720" w:end="0"/>
        <w:jc w:val="both"/>
        <w:rPr/>
      </w:pPr>
      <w:r>
        <w:rPr/>
      </w:r>
    </w:p>
    <w:p>
      <w:pPr>
        <w:pStyle w:val="Normal"/>
        <w:numPr>
          <w:ilvl w:val="0"/>
          <w:numId w:val="14"/>
        </w:numPr>
        <w:jc w:val="both"/>
        <w:rPr/>
      </w:pPr>
      <w:r>
        <w:rPr>
          <w:u w:val="single"/>
        </w:rPr>
        <w:t>Riverside Farms Company</w:t>
      </w:r>
      <w:r>
        <w:rPr/>
        <w:t xml:space="preserve"> (100%) – Common Stock (1,000 shares)</w:t>
      </w:r>
    </w:p>
    <w:p>
      <w:pPr>
        <w:pStyle w:val="Normal"/>
        <w:jc w:val="both"/>
        <w:rPr/>
      </w:pPr>
      <w:r>
        <w:rPr/>
      </w:r>
    </w:p>
    <w:p>
      <w:pPr>
        <w:pStyle w:val="Normal"/>
        <w:numPr>
          <w:ilvl w:val="0"/>
          <w:numId w:val="14"/>
        </w:numPr>
        <w:jc w:val="both"/>
        <w:rPr/>
      </w:pPr>
      <w:r>
        <w:rPr>
          <w:u w:val="single"/>
        </w:rPr>
        <w:t>San Marco Pipe Line Company</w:t>
      </w:r>
      <w:r>
        <w:rPr/>
        <w:t xml:space="preserve"> (50%) – Common Stock (1,000 shares)</w:t>
      </w:r>
    </w:p>
    <w:p>
      <w:pPr>
        <w:pStyle w:val="Normal"/>
        <w:jc w:val="both"/>
        <w:rPr/>
      </w:pPr>
      <w:r>
        <w:rPr/>
      </w:r>
    </w:p>
    <w:p>
      <w:pPr>
        <w:pStyle w:val="Normal"/>
        <w:numPr>
          <w:ilvl w:val="0"/>
          <w:numId w:val="14"/>
        </w:numPr>
        <w:jc w:val="both"/>
        <w:rPr/>
      </w:pPr>
      <w:r>
        <w:rPr>
          <w:u w:val="single"/>
        </w:rPr>
        <w:t>Transgulf Pipe Line Company</w:t>
      </w:r>
      <w:r>
        <w:rPr/>
        <w:t xml:space="preserve"> (100%) – Common Stock (1,000 shares)</w:t>
      </w:r>
    </w:p>
    <w:p>
      <w:pPr>
        <w:pStyle w:val="Normal"/>
        <w:jc w:val="center"/>
        <w:rPr/>
      </w:pPr>
      <w:r>
        <w:rPr/>
      </w:r>
    </w:p>
    <w:p>
      <w:pPr>
        <w:pStyle w:val="Normal"/>
        <w:ind w:start="360" w:end="0"/>
        <w:jc w:val="both"/>
        <w:rPr/>
      </w:pPr>
      <w:r>
        <w:rPr/>
        <w:t>(ii)</w:t>
        <w:tab/>
        <w:t xml:space="preserve">   Contracts and other assets:</w:t>
      </w:r>
    </w:p>
    <w:p>
      <w:pPr>
        <w:pStyle w:val="Normal"/>
        <w:jc w:val="both"/>
        <w:rPr/>
      </w:pPr>
      <w:r>
        <w:rPr/>
      </w:r>
    </w:p>
    <w:p>
      <w:pPr>
        <w:pStyle w:val="Normal"/>
        <w:numPr>
          <w:ilvl w:val="0"/>
          <w:numId w:val="14"/>
        </w:numPr>
        <w:jc w:val="both"/>
        <w:rPr>
          <w:u w:val="single"/>
        </w:rPr>
      </w:pPr>
      <w:r>
        <w:rPr/>
        <w:t>Lease Agreement dated as of November 10, 1999 between HPL and HPL Asset Holdings LP (the “Prime Lease”).</w:t>
      </w:r>
    </w:p>
    <w:p>
      <w:pPr>
        <w:pStyle w:val="Normal"/>
        <w:jc w:val="both"/>
        <w:rPr>
          <w:u w:val="single"/>
        </w:rPr>
      </w:pPr>
      <w:r>
        <w:rPr>
          <w:u w:val="single"/>
        </w:rPr>
      </w:r>
    </w:p>
    <w:p>
      <w:pPr>
        <w:pStyle w:val="Normal"/>
        <w:numPr>
          <w:ilvl w:val="0"/>
          <w:numId w:val="14"/>
        </w:numPr>
        <w:jc w:val="both"/>
        <w:rPr>
          <w:spacing w:val="-3"/>
        </w:rPr>
      </w:pPr>
      <w:r>
        <w:rPr/>
        <w:t>The contract rights and other intangible assets relating to the monetizations or other financings assets covered by the Sublease or the Right to Use Agreement.  See Schedules 4.6 and 4.13 for a description of certain contracts that will be assigned to Leaseco.</w:t>
      </w:r>
    </w:p>
    <w:p>
      <w:pPr>
        <w:pStyle w:val="Normal"/>
        <w:jc w:val="both"/>
        <w:rPr>
          <w:spacing w:val="-3"/>
        </w:rPr>
      </w:pPr>
      <w:r>
        <w:rPr>
          <w:spacing w:val="-3"/>
        </w:rPr>
      </w:r>
    </w:p>
    <w:p>
      <w:pPr>
        <w:pStyle w:val="Normal"/>
        <w:numPr>
          <w:ilvl w:val="0"/>
          <w:numId w:val="2"/>
        </w:numPr>
        <w:jc w:val="both"/>
        <w:rPr/>
      </w:pPr>
      <w:r>
        <w:rPr/>
        <w:t>Gas Management Systems</w:t>
      </w:r>
    </w:p>
    <w:p>
      <w:pPr>
        <w:pStyle w:val="Normal"/>
        <w:jc w:val="both"/>
        <w:rPr/>
      </w:pPr>
      <w:r>
        <w:rPr/>
      </w:r>
    </w:p>
    <w:tbl>
      <w:tblPr>
        <w:tblW w:w="7740" w:type="dxa"/>
        <w:jc w:val="start"/>
        <w:tblInd w:w="1188" w:type="dxa"/>
        <w:tblLayout w:type="fixed"/>
        <w:tblCellMar>
          <w:top w:w="0" w:type="dxa"/>
          <w:start w:w="108" w:type="dxa"/>
          <w:bottom w:w="0" w:type="dxa"/>
          <w:end w:w="108" w:type="dxa"/>
        </w:tblCellMar>
      </w:tblPr>
      <w:tblGrid>
        <w:gridCol w:w="4410"/>
        <w:gridCol w:w="3330"/>
      </w:tblGrid>
      <w:tr>
        <w:trPr/>
        <w:tc>
          <w:tcPr>
            <w:tcW w:w="4410" w:type="dxa"/>
            <w:tcBorders/>
          </w:tcPr>
          <w:p>
            <w:pPr>
              <w:pStyle w:val="Normal"/>
              <w:jc w:val="both"/>
              <w:rPr>
                <w:b/>
                <w:bCs/>
                <w:u w:val="single"/>
              </w:rPr>
            </w:pPr>
            <w:r>
              <w:rPr>
                <w:b/>
                <w:bCs/>
                <w:u w:val="single"/>
              </w:rPr>
              <w:t>Application</w:t>
            </w:r>
          </w:p>
        </w:tc>
        <w:tc>
          <w:tcPr>
            <w:tcW w:w="3330" w:type="dxa"/>
            <w:tcBorders/>
          </w:tcPr>
          <w:p>
            <w:pPr>
              <w:pStyle w:val="Normal"/>
              <w:jc w:val="both"/>
              <w:rPr>
                <w:b/>
                <w:bCs/>
                <w:u w:val="single"/>
              </w:rPr>
            </w:pPr>
            <w:r>
              <w:rPr>
                <w:b/>
                <w:bCs/>
                <w:u w:val="single"/>
              </w:rPr>
              <w:t>Area Supported</w:t>
            </w:r>
          </w:p>
        </w:tc>
      </w:tr>
      <w:tr>
        <w:trPr/>
        <w:tc>
          <w:tcPr>
            <w:tcW w:w="4410" w:type="dxa"/>
            <w:tcBorders/>
          </w:tcPr>
          <w:p>
            <w:pPr>
              <w:pStyle w:val="Normal"/>
              <w:jc w:val="both"/>
              <w:rPr/>
            </w:pPr>
            <w:r>
              <w:rPr/>
              <w:t>Unify MOPS</w:t>
            </w:r>
          </w:p>
        </w:tc>
        <w:tc>
          <w:tcPr>
            <w:tcW w:w="3330" w:type="dxa"/>
            <w:tcBorders/>
          </w:tcPr>
          <w:p>
            <w:pPr>
              <w:pStyle w:val="Normal"/>
              <w:jc w:val="both"/>
              <w:rPr/>
            </w:pPr>
            <w:r>
              <w:rPr/>
              <w:t>Marketing Logistics</w:t>
            </w:r>
          </w:p>
        </w:tc>
      </w:tr>
      <w:tr>
        <w:trPr/>
        <w:tc>
          <w:tcPr>
            <w:tcW w:w="4410" w:type="dxa"/>
            <w:tcBorders/>
          </w:tcPr>
          <w:p>
            <w:pPr>
              <w:pStyle w:val="Normal"/>
              <w:jc w:val="both"/>
              <w:rPr/>
            </w:pPr>
            <w:r>
              <w:rPr/>
              <w:t>Unify POPS</w:t>
            </w:r>
          </w:p>
        </w:tc>
        <w:tc>
          <w:tcPr>
            <w:tcW w:w="3330" w:type="dxa"/>
            <w:tcBorders/>
          </w:tcPr>
          <w:p>
            <w:pPr>
              <w:pStyle w:val="Normal"/>
              <w:jc w:val="both"/>
              <w:rPr/>
            </w:pPr>
            <w:r>
              <w:rPr/>
              <w:t>Pipeline Logistics</w:t>
            </w:r>
          </w:p>
        </w:tc>
      </w:tr>
      <w:tr>
        <w:trPr/>
        <w:tc>
          <w:tcPr>
            <w:tcW w:w="4410" w:type="dxa"/>
            <w:tcBorders/>
          </w:tcPr>
          <w:p>
            <w:pPr>
              <w:pStyle w:val="Normal"/>
              <w:jc w:val="both"/>
              <w:rPr/>
            </w:pPr>
            <w:r>
              <w:rPr/>
              <w:t>Unify Volume Management</w:t>
            </w:r>
          </w:p>
        </w:tc>
        <w:tc>
          <w:tcPr>
            <w:tcW w:w="3330" w:type="dxa"/>
            <w:tcBorders/>
          </w:tcPr>
          <w:p>
            <w:pPr>
              <w:pStyle w:val="Normal"/>
              <w:jc w:val="both"/>
              <w:rPr/>
            </w:pPr>
            <w:r>
              <w:rPr/>
              <w:t>Volume Management</w:t>
            </w:r>
          </w:p>
        </w:tc>
      </w:tr>
      <w:tr>
        <w:trPr/>
        <w:tc>
          <w:tcPr>
            <w:tcW w:w="4410" w:type="dxa"/>
            <w:tcBorders/>
          </w:tcPr>
          <w:p>
            <w:pPr>
              <w:pStyle w:val="Normal"/>
              <w:jc w:val="both"/>
              <w:rPr/>
            </w:pPr>
            <w:r>
              <w:rPr/>
              <w:t>Unify Settlements</w:t>
            </w:r>
          </w:p>
        </w:tc>
        <w:tc>
          <w:tcPr>
            <w:tcW w:w="3330" w:type="dxa"/>
            <w:tcBorders/>
          </w:tcPr>
          <w:p>
            <w:pPr>
              <w:pStyle w:val="Normal"/>
              <w:jc w:val="both"/>
              <w:rPr/>
            </w:pPr>
            <w:r>
              <w:rPr/>
              <w:t>Gas Settlements</w:t>
            </w:r>
          </w:p>
        </w:tc>
      </w:tr>
      <w:tr>
        <w:trPr/>
        <w:tc>
          <w:tcPr>
            <w:tcW w:w="4410" w:type="dxa"/>
            <w:tcBorders/>
          </w:tcPr>
          <w:p>
            <w:pPr>
              <w:pStyle w:val="Normal"/>
              <w:jc w:val="both"/>
              <w:rPr/>
            </w:pPr>
            <w:r>
              <w:rPr/>
              <w:t>Unify Accounting</w:t>
            </w:r>
          </w:p>
        </w:tc>
        <w:tc>
          <w:tcPr>
            <w:tcW w:w="3330" w:type="dxa"/>
            <w:tcBorders/>
          </w:tcPr>
          <w:p>
            <w:pPr>
              <w:pStyle w:val="Normal"/>
              <w:jc w:val="both"/>
              <w:rPr/>
            </w:pPr>
            <w:r>
              <w:rPr/>
              <w:t>Gas Accounting</w:t>
            </w:r>
          </w:p>
        </w:tc>
      </w:tr>
      <w:tr>
        <w:trPr/>
        <w:tc>
          <w:tcPr>
            <w:tcW w:w="4410" w:type="dxa"/>
            <w:tcBorders/>
          </w:tcPr>
          <w:p>
            <w:pPr>
              <w:pStyle w:val="Normal"/>
              <w:jc w:val="both"/>
              <w:rPr/>
            </w:pPr>
            <w:r>
              <w:rPr/>
              <w:t>Global Contracts Database</w:t>
            </w:r>
          </w:p>
        </w:tc>
        <w:tc>
          <w:tcPr>
            <w:tcW w:w="3330" w:type="dxa"/>
            <w:tcBorders/>
          </w:tcPr>
          <w:p>
            <w:pPr>
              <w:pStyle w:val="Normal"/>
              <w:jc w:val="both"/>
              <w:rPr/>
            </w:pPr>
            <w:r>
              <w:rPr/>
              <w:t>Global Contracts</w:t>
            </w:r>
          </w:p>
        </w:tc>
      </w:tr>
      <w:tr>
        <w:trPr/>
        <w:tc>
          <w:tcPr>
            <w:tcW w:w="4410" w:type="dxa"/>
            <w:tcBorders/>
          </w:tcPr>
          <w:p>
            <w:pPr>
              <w:pStyle w:val="Normal"/>
              <w:jc w:val="both"/>
              <w:rPr/>
            </w:pPr>
            <w:r>
              <w:rPr/>
              <w:t>Global Facilities Database</w:t>
            </w:r>
          </w:p>
        </w:tc>
        <w:tc>
          <w:tcPr>
            <w:tcW w:w="3330" w:type="dxa"/>
            <w:tcBorders/>
          </w:tcPr>
          <w:p>
            <w:pPr>
              <w:pStyle w:val="Normal"/>
              <w:jc w:val="both"/>
              <w:rPr/>
            </w:pPr>
            <w:r>
              <w:rPr/>
              <w:t>Global Facilities</w:t>
            </w:r>
          </w:p>
        </w:tc>
      </w:tr>
      <w:tr>
        <w:trPr/>
        <w:tc>
          <w:tcPr>
            <w:tcW w:w="4410" w:type="dxa"/>
            <w:tcBorders/>
          </w:tcPr>
          <w:p>
            <w:pPr>
              <w:pStyle w:val="Normal"/>
              <w:jc w:val="both"/>
              <w:rPr/>
            </w:pPr>
            <w:r>
              <w:rPr/>
              <w:t>Global Counterparty Database</w:t>
            </w:r>
          </w:p>
        </w:tc>
        <w:tc>
          <w:tcPr>
            <w:tcW w:w="3330" w:type="dxa"/>
            <w:tcBorders/>
          </w:tcPr>
          <w:p>
            <w:pPr>
              <w:pStyle w:val="Normal"/>
              <w:jc w:val="both"/>
              <w:rPr/>
            </w:pPr>
            <w:r>
              <w:rPr/>
              <w:t>Global Counterparty</w:t>
            </w:r>
          </w:p>
        </w:tc>
      </w:tr>
      <w:tr>
        <w:trPr/>
        <w:tc>
          <w:tcPr>
            <w:tcW w:w="4410" w:type="dxa"/>
            <w:tcBorders/>
          </w:tcPr>
          <w:p>
            <w:pPr>
              <w:pStyle w:val="Normal"/>
              <w:jc w:val="both"/>
              <w:rPr/>
            </w:pPr>
            <w:r>
              <w:rPr/>
              <w:t>Global Common Codes Database</w:t>
            </w:r>
          </w:p>
        </w:tc>
        <w:tc>
          <w:tcPr>
            <w:tcW w:w="3330" w:type="dxa"/>
            <w:tcBorders/>
          </w:tcPr>
          <w:p>
            <w:pPr>
              <w:pStyle w:val="Normal"/>
              <w:jc w:val="both"/>
              <w:rPr/>
            </w:pPr>
            <w:r>
              <w:rPr/>
              <w:t>All</w:t>
            </w:r>
          </w:p>
        </w:tc>
      </w:tr>
    </w:tbl>
    <w:p>
      <w:pPr>
        <w:pStyle w:val="Normal"/>
        <w:jc w:val="both"/>
        <w:rPr/>
      </w:pPr>
      <w:r>
        <w:rPr/>
      </w:r>
    </w:p>
    <w:p>
      <w:pPr>
        <w:pStyle w:val="Normal"/>
        <w:numPr>
          <w:ilvl w:val="0"/>
          <w:numId w:val="2"/>
        </w:numPr>
        <w:jc w:val="both"/>
        <w:rPr/>
      </w:pPr>
      <w:r>
        <w:rPr/>
        <w:t>Gas Trading Systems</w:t>
      </w:r>
    </w:p>
    <w:p>
      <w:pPr>
        <w:pStyle w:val="Normal"/>
        <w:spacing w:lineRule="exact" w:line="200"/>
        <w:jc w:val="both"/>
        <w:rPr/>
      </w:pPr>
      <w:r>
        <w:rPr/>
      </w:r>
    </w:p>
    <w:tbl>
      <w:tblPr>
        <w:tblW w:w="8388" w:type="dxa"/>
        <w:jc w:val="start"/>
        <w:tblInd w:w="1188" w:type="dxa"/>
        <w:tblLayout w:type="fixed"/>
        <w:tblCellMar>
          <w:top w:w="0" w:type="dxa"/>
          <w:start w:w="108" w:type="dxa"/>
          <w:bottom w:w="0" w:type="dxa"/>
          <w:end w:w="108" w:type="dxa"/>
        </w:tblCellMar>
      </w:tblPr>
      <w:tblGrid>
        <w:gridCol w:w="4410"/>
        <w:gridCol w:w="3978"/>
      </w:tblGrid>
      <w:tr>
        <w:trPr>
          <w:tblHeader w:val="true"/>
        </w:trPr>
        <w:tc>
          <w:tcPr>
            <w:tcW w:w="4410" w:type="dxa"/>
            <w:tcBorders/>
          </w:tcPr>
          <w:p>
            <w:pPr>
              <w:pStyle w:val="Normal"/>
              <w:jc w:val="both"/>
              <w:rPr>
                <w:b/>
                <w:bCs/>
              </w:rPr>
            </w:pPr>
            <w:r>
              <w:rPr>
                <w:b/>
                <w:bCs/>
                <w:u w:val="single"/>
              </w:rPr>
              <w:t>Application</w:t>
            </w:r>
          </w:p>
        </w:tc>
        <w:tc>
          <w:tcPr>
            <w:tcW w:w="3978" w:type="dxa"/>
            <w:tcBorders/>
          </w:tcPr>
          <w:p>
            <w:pPr>
              <w:pStyle w:val="Normal"/>
              <w:jc w:val="both"/>
              <w:rPr>
                <w:b/>
                <w:bCs/>
                <w:u w:val="single"/>
              </w:rPr>
            </w:pPr>
            <w:r>
              <w:rPr>
                <w:b/>
                <w:bCs/>
                <w:u w:val="single"/>
              </w:rPr>
              <w:t>Area Supported</w:t>
            </w:r>
          </w:p>
        </w:tc>
      </w:tr>
      <w:tr>
        <w:trPr/>
        <w:tc>
          <w:tcPr>
            <w:tcW w:w="4410" w:type="dxa"/>
            <w:tcBorders/>
          </w:tcPr>
          <w:p>
            <w:pPr>
              <w:pStyle w:val="Normal"/>
              <w:jc w:val="both"/>
              <w:rPr/>
            </w:pPr>
            <w:r>
              <w:rPr/>
              <w:t>Sitara Trade Blotter</w:t>
            </w:r>
          </w:p>
        </w:tc>
        <w:tc>
          <w:tcPr>
            <w:tcW w:w="3978" w:type="dxa"/>
            <w:tcBorders/>
          </w:tcPr>
          <w:p>
            <w:pPr>
              <w:pStyle w:val="Normal"/>
              <w:jc w:val="both"/>
              <w:rPr/>
            </w:pPr>
            <w:r>
              <w:rPr/>
              <w:t>Gas Trading</w:t>
            </w:r>
          </w:p>
        </w:tc>
      </w:tr>
      <w:tr>
        <w:trPr/>
        <w:tc>
          <w:tcPr>
            <w:tcW w:w="4410" w:type="dxa"/>
            <w:tcBorders/>
          </w:tcPr>
          <w:p>
            <w:pPr>
              <w:pStyle w:val="Normal"/>
              <w:jc w:val="both"/>
              <w:rPr/>
            </w:pPr>
            <w:r>
              <w:rPr/>
              <w:t>Sitara Deal Manager</w:t>
            </w:r>
          </w:p>
        </w:tc>
        <w:tc>
          <w:tcPr>
            <w:tcW w:w="3978" w:type="dxa"/>
            <w:tcBorders/>
          </w:tcPr>
          <w:p>
            <w:pPr>
              <w:pStyle w:val="Normal"/>
              <w:jc w:val="both"/>
              <w:rPr/>
            </w:pPr>
            <w:r>
              <w:rPr/>
              <w:t>Gas Trading</w:t>
            </w:r>
          </w:p>
        </w:tc>
      </w:tr>
      <w:tr>
        <w:trPr/>
        <w:tc>
          <w:tcPr>
            <w:tcW w:w="4410" w:type="dxa"/>
            <w:tcBorders/>
          </w:tcPr>
          <w:p>
            <w:pPr>
              <w:pStyle w:val="Normal"/>
              <w:jc w:val="both"/>
              <w:rPr/>
            </w:pPr>
            <w:r>
              <w:rPr/>
              <w:t>Sitara Physical Position Manager</w:t>
            </w:r>
          </w:p>
        </w:tc>
        <w:tc>
          <w:tcPr>
            <w:tcW w:w="3978" w:type="dxa"/>
            <w:tcBorders/>
          </w:tcPr>
          <w:p>
            <w:pPr>
              <w:pStyle w:val="Normal"/>
              <w:jc w:val="both"/>
              <w:rPr/>
            </w:pPr>
            <w:r>
              <w:rPr/>
              <w:t>Gas Trading</w:t>
            </w:r>
          </w:p>
        </w:tc>
      </w:tr>
      <w:tr>
        <w:trPr/>
        <w:tc>
          <w:tcPr>
            <w:tcW w:w="4410" w:type="dxa"/>
            <w:tcBorders/>
          </w:tcPr>
          <w:p>
            <w:pPr>
              <w:pStyle w:val="Normal"/>
              <w:jc w:val="both"/>
              <w:rPr/>
            </w:pPr>
            <w:r>
              <w:rPr/>
              <w:t>Sitara Deal Ticker</w:t>
            </w:r>
          </w:p>
        </w:tc>
        <w:tc>
          <w:tcPr>
            <w:tcW w:w="3978" w:type="dxa"/>
            <w:tcBorders/>
          </w:tcPr>
          <w:p>
            <w:pPr>
              <w:pStyle w:val="Normal"/>
              <w:jc w:val="both"/>
              <w:rPr/>
            </w:pPr>
            <w:r>
              <w:rPr/>
              <w:t>Gas Trading</w:t>
            </w:r>
          </w:p>
        </w:tc>
      </w:tr>
      <w:tr>
        <w:trPr/>
        <w:tc>
          <w:tcPr>
            <w:tcW w:w="4410" w:type="dxa"/>
            <w:tcBorders/>
          </w:tcPr>
          <w:p>
            <w:pPr>
              <w:pStyle w:val="Normal"/>
              <w:jc w:val="both"/>
              <w:rPr/>
            </w:pPr>
            <w:r>
              <w:rPr/>
              <w:t>Sitara Portfolio Manager</w:t>
            </w:r>
          </w:p>
        </w:tc>
        <w:tc>
          <w:tcPr>
            <w:tcW w:w="3978" w:type="dxa"/>
            <w:tcBorders/>
          </w:tcPr>
          <w:p>
            <w:pPr>
              <w:pStyle w:val="Normal"/>
              <w:jc w:val="both"/>
              <w:rPr/>
            </w:pPr>
            <w:r>
              <w:rPr/>
              <w:t>Gas Trading</w:t>
            </w:r>
          </w:p>
        </w:tc>
      </w:tr>
      <w:tr>
        <w:trPr/>
        <w:tc>
          <w:tcPr>
            <w:tcW w:w="4410" w:type="dxa"/>
            <w:tcBorders/>
          </w:tcPr>
          <w:p>
            <w:pPr>
              <w:pStyle w:val="Normal"/>
              <w:jc w:val="both"/>
              <w:rPr/>
            </w:pPr>
            <w:r>
              <w:rPr/>
              <w:t>ERMS Valuation (Gas)</w:t>
            </w:r>
          </w:p>
        </w:tc>
        <w:tc>
          <w:tcPr>
            <w:tcW w:w="3978" w:type="dxa"/>
            <w:tcBorders/>
          </w:tcPr>
          <w:p>
            <w:pPr>
              <w:pStyle w:val="Normal"/>
              <w:jc w:val="both"/>
              <w:rPr/>
            </w:pPr>
            <w:r>
              <w:rPr/>
              <w:t>Risk Management</w:t>
            </w:r>
          </w:p>
        </w:tc>
      </w:tr>
      <w:tr>
        <w:trPr/>
        <w:tc>
          <w:tcPr>
            <w:tcW w:w="4410" w:type="dxa"/>
            <w:tcBorders/>
          </w:tcPr>
          <w:p>
            <w:pPr>
              <w:pStyle w:val="Normal"/>
              <w:jc w:val="both"/>
              <w:rPr/>
            </w:pPr>
            <w:r>
              <w:rPr/>
              <w:t>ERMS Reporting (Gas)</w:t>
            </w:r>
          </w:p>
        </w:tc>
        <w:tc>
          <w:tcPr>
            <w:tcW w:w="3978" w:type="dxa"/>
            <w:tcBorders/>
          </w:tcPr>
          <w:p>
            <w:pPr>
              <w:pStyle w:val="Normal"/>
              <w:jc w:val="both"/>
              <w:rPr/>
            </w:pPr>
            <w:r>
              <w:rPr/>
              <w:t>Risk Management</w:t>
            </w:r>
          </w:p>
        </w:tc>
      </w:tr>
      <w:tr>
        <w:trPr/>
        <w:tc>
          <w:tcPr>
            <w:tcW w:w="4410" w:type="dxa"/>
            <w:tcBorders/>
          </w:tcPr>
          <w:p>
            <w:pPr>
              <w:pStyle w:val="Normal"/>
              <w:jc w:val="both"/>
              <w:rPr/>
            </w:pPr>
            <w:r>
              <w:rPr/>
              <w:t>Credit Aggregation System</w:t>
            </w:r>
          </w:p>
        </w:tc>
        <w:tc>
          <w:tcPr>
            <w:tcW w:w="3978" w:type="dxa"/>
            <w:tcBorders/>
          </w:tcPr>
          <w:p>
            <w:pPr>
              <w:pStyle w:val="Normal"/>
              <w:jc w:val="both"/>
              <w:rPr/>
            </w:pPr>
            <w:r>
              <w:rPr/>
              <w:t>Trading/Risk Management</w:t>
            </w:r>
          </w:p>
        </w:tc>
      </w:tr>
    </w:tbl>
    <w:p>
      <w:pPr>
        <w:pStyle w:val="Normal"/>
        <w:jc w:val="both"/>
        <w:rPr/>
      </w:pPr>
      <w:r>
        <w:rPr/>
      </w:r>
    </w:p>
    <w:p>
      <w:pPr>
        <w:pStyle w:val="Normal"/>
        <w:numPr>
          <w:ilvl w:val="0"/>
          <w:numId w:val="2"/>
        </w:numPr>
        <w:jc w:val="both"/>
        <w:rPr/>
      </w:pPr>
      <w:r>
        <w:rPr/>
        <w:t>Real Property Management Database System  (right of way database)</w:t>
      </w:r>
    </w:p>
    <w:p>
      <w:pPr>
        <w:pStyle w:val="Normal"/>
        <w:numPr>
          <w:ilvl w:val="0"/>
          <w:numId w:val="2"/>
        </w:numPr>
        <w:jc w:val="both"/>
        <w:rPr/>
      </w:pPr>
      <w:r>
        <w:rPr/>
        <w:t>other systems of wide application used by Seller and its Affiliates, e.g. Microsoft, etc.</w:t>
      </w:r>
    </w:p>
    <w:p>
      <w:pPr>
        <w:pStyle w:val="Normal"/>
        <w:numPr>
          <w:ilvl w:val="0"/>
          <w:numId w:val="2"/>
        </w:numPr>
        <w:jc w:val="both"/>
        <w:rPr/>
      </w:pPr>
      <w:r>
        <w:rPr/>
        <w:t>CPR</w:t>
      </w:r>
    </w:p>
    <w:p>
      <w:pPr>
        <w:pStyle w:val="Normal"/>
        <w:numPr>
          <w:ilvl w:val="0"/>
          <w:numId w:val="2"/>
        </w:numPr>
        <w:jc w:val="both"/>
        <w:rPr/>
      </w:pPr>
      <w:r>
        <w:rPr/>
        <w:t>Phoenix</w:t>
      </w:r>
    </w:p>
    <w:p>
      <w:pPr>
        <w:pStyle w:val="Normal"/>
        <w:numPr>
          <w:ilvl w:val="0"/>
          <w:numId w:val="2"/>
        </w:numPr>
        <w:jc w:val="both"/>
        <w:rPr/>
      </w:pPr>
      <w:r>
        <w:rPr/>
        <w:t>PGAS system</w:t>
      </w:r>
    </w:p>
    <w:p>
      <w:pPr>
        <w:pStyle w:val="Normal"/>
        <w:numPr>
          <w:ilvl w:val="0"/>
          <w:numId w:val="2"/>
        </w:numPr>
        <w:jc w:val="both"/>
        <w:rPr/>
      </w:pPr>
      <w:r>
        <w:rPr/>
        <w:t>MIPS System</w:t>
      </w:r>
    </w:p>
    <w:p>
      <w:pPr>
        <w:pStyle w:val="Normal"/>
        <w:numPr>
          <w:ilvl w:val="0"/>
          <w:numId w:val="2"/>
        </w:numPr>
        <w:jc w:val="both"/>
        <w:rPr/>
      </w:pPr>
      <w:r>
        <w:rPr/>
        <w:t>DCAF</w:t>
      </w:r>
    </w:p>
    <w:p>
      <w:pPr>
        <w:pStyle w:val="Normal"/>
        <w:numPr>
          <w:ilvl w:val="0"/>
          <w:numId w:val="2"/>
        </w:numPr>
        <w:jc w:val="both"/>
        <w:rPr/>
      </w:pPr>
      <w:r>
        <w:rPr/>
        <w:t>EDI Hub</w:t>
      </w:r>
    </w:p>
    <w:p>
      <w:pPr>
        <w:pStyle w:val="Normal"/>
        <w:numPr>
          <w:ilvl w:val="0"/>
          <w:numId w:val="2"/>
        </w:numPr>
        <w:jc w:val="both"/>
        <w:rPr/>
      </w:pPr>
      <w:r>
        <w:rPr/>
        <w:t>IRIS</w:t>
      </w:r>
    </w:p>
    <w:p>
      <w:pPr>
        <w:pStyle w:val="Normal"/>
        <w:numPr>
          <w:ilvl w:val="0"/>
          <w:numId w:val="2"/>
        </w:numPr>
        <w:jc w:val="both"/>
        <w:rPr/>
      </w:pPr>
      <w:r>
        <w:rPr/>
        <w:t>TARPS</w:t>
      </w:r>
    </w:p>
    <w:p>
      <w:pPr>
        <w:pStyle w:val="Normal"/>
        <w:numPr>
          <w:ilvl w:val="0"/>
          <w:numId w:val="2"/>
        </w:numPr>
        <w:jc w:val="both"/>
        <w:rPr/>
      </w:pPr>
      <w:r>
        <w:rPr/>
        <w:t>Business Objects</w:t>
      </w:r>
    </w:p>
    <w:p>
      <w:pPr>
        <w:pStyle w:val="Normal"/>
        <w:jc w:val="both"/>
        <w:rPr/>
      </w:pPr>
      <w:r>
        <w:rPr/>
      </w:r>
    </w:p>
    <w:p>
      <w:pPr>
        <w:pStyle w:val="Normal"/>
        <w:jc w:val="both"/>
        <w:rPr/>
      </w:pPr>
      <w:r>
        <w:rPr/>
        <w:t>The following systems and information sources used by HPL’s reserve group but owned by Enron affiliates other than HPL.</w:t>
      </w:r>
    </w:p>
    <w:p>
      <w:pPr>
        <w:pStyle w:val="Normal"/>
        <w:jc w:val="both"/>
        <w:rPr/>
      </w:pPr>
      <w:r>
        <w:rPr/>
      </w:r>
    </w:p>
    <w:p>
      <w:pPr>
        <w:pStyle w:val="Normal"/>
        <w:jc w:val="both"/>
        <w:rPr>
          <w:b/>
          <w:bCs/>
        </w:rPr>
      </w:pPr>
      <w:r>
        <w:rPr>
          <w:b/>
          <w:bCs/>
        </w:rPr>
        <w:t>Software</w:t>
      </w:r>
    </w:p>
    <w:p>
      <w:pPr>
        <w:pStyle w:val="Normal"/>
        <w:jc w:val="both"/>
        <w:rPr/>
      </w:pPr>
      <w:r>
        <w:rPr/>
        <w:tab/>
        <w:t>Arcview/Arcinfo</w:t>
      </w:r>
    </w:p>
    <w:p>
      <w:pPr>
        <w:pStyle w:val="Normal"/>
        <w:jc w:val="both"/>
        <w:rPr/>
      </w:pPr>
      <w:r>
        <w:rPr/>
        <w:tab/>
        <w:t>Aries</w:t>
      </w:r>
    </w:p>
    <w:p>
      <w:pPr>
        <w:pStyle w:val="Normal"/>
        <w:jc w:val="both"/>
        <w:rPr/>
      </w:pPr>
      <w:r>
        <w:rPr/>
        <w:tab/>
        <w:t>Power Tools</w:t>
      </w:r>
    </w:p>
    <w:p>
      <w:pPr>
        <w:pStyle w:val="Normal"/>
        <w:jc w:val="both"/>
        <w:rPr/>
      </w:pPr>
      <w:r>
        <w:rPr/>
        <w:tab/>
        <w:t>Plan</w:t>
      </w:r>
    </w:p>
    <w:p>
      <w:pPr>
        <w:pStyle w:val="Normal"/>
        <w:jc w:val="both"/>
        <w:rPr/>
      </w:pPr>
      <w:r>
        <w:rPr/>
        <w:tab/>
        <w:t>GasRes</w:t>
      </w:r>
    </w:p>
    <w:p>
      <w:pPr>
        <w:pStyle w:val="Normal"/>
        <w:ind w:hanging="720" w:start="720" w:end="0"/>
        <w:jc w:val="both"/>
        <w:rPr/>
      </w:pPr>
      <w:r>
        <w:rPr/>
        <w:tab/>
        <w:t>Gregg Modeling Software (including, but not limited to all pipeline simulation models built and/or utilized with same, provided, however, the data and models relating solely to the HPL system shall be made available to Buyer via the Sublease Agreement)</w:t>
      </w:r>
    </w:p>
    <w:p>
      <w:pPr>
        <w:pStyle w:val="Normal"/>
        <w:jc w:val="both"/>
        <w:rPr/>
      </w:pPr>
      <w:r>
        <w:rPr/>
      </w:r>
    </w:p>
    <w:p>
      <w:pPr>
        <w:pStyle w:val="Normal"/>
        <w:jc w:val="both"/>
        <w:rPr>
          <w:b/>
          <w:bCs/>
        </w:rPr>
      </w:pPr>
      <w:r>
        <w:rPr>
          <w:b/>
          <w:bCs/>
        </w:rPr>
        <w:t>Data</w:t>
      </w:r>
    </w:p>
    <w:p>
      <w:pPr>
        <w:pStyle w:val="Normal"/>
        <w:jc w:val="both"/>
        <w:rPr/>
      </w:pPr>
      <w:r>
        <w:rPr/>
        <w:tab/>
        <w:t>Tobin</w:t>
      </w:r>
    </w:p>
    <w:p>
      <w:pPr>
        <w:pStyle w:val="Normal"/>
        <w:jc w:val="both"/>
        <w:rPr/>
      </w:pPr>
      <w:r>
        <w:rPr/>
        <w:tab/>
        <w:t>HIS</w:t>
      </w:r>
    </w:p>
    <w:p>
      <w:pPr>
        <w:pStyle w:val="Normal"/>
        <w:jc w:val="both"/>
        <w:rPr/>
      </w:pPr>
      <w:r>
        <w:rPr/>
        <w:tab/>
        <w:t>Mapsearch</w:t>
      </w:r>
    </w:p>
    <w:p>
      <w:pPr>
        <w:pStyle w:val="Normal"/>
        <w:jc w:val="both"/>
        <w:rPr/>
      </w:pPr>
      <w:r>
        <w:rPr/>
        <w:tab/>
        <w:t>LPG Almanac</w:t>
      </w:r>
    </w:p>
    <w:p>
      <w:pPr>
        <w:pStyle w:val="Normal"/>
        <w:jc w:val="both"/>
        <w:rPr/>
      </w:pPr>
      <w:r>
        <w:rPr/>
        <w:tab/>
        <w:t>Dewitt Maps</w:t>
      </w:r>
    </w:p>
    <w:p>
      <w:pPr>
        <w:pStyle w:val="Normal"/>
        <w:ind w:firstLine="720" w:end="0"/>
        <w:jc w:val="both"/>
        <w:rPr/>
      </w:pPr>
      <w:r>
        <w:rPr/>
        <w:t>Esri Street Map</w:t>
      </w:r>
    </w:p>
    <w:p>
      <w:pPr>
        <w:pStyle w:val="Normal"/>
        <w:jc w:val="both"/>
        <w:rPr/>
      </w:pPr>
      <w:r>
        <w:rPr/>
        <w:tab/>
        <w:t>SureMap Raster</w:t>
      </w:r>
    </w:p>
    <w:p>
      <w:pPr>
        <w:pStyle w:val="Normal"/>
        <w:jc w:val="both"/>
        <w:rPr/>
      </w:pPr>
      <w:r>
        <w:rPr/>
        <w:tab/>
        <w:t>Envision</w:t>
      </w:r>
    </w:p>
    <w:p>
      <w:pPr>
        <w:pStyle w:val="Normal"/>
        <w:jc w:val="both"/>
        <w:rPr/>
      </w:pPr>
      <w:r>
        <w:rPr/>
      </w:r>
    </w:p>
    <w:p>
      <w:pPr>
        <w:pStyle w:val="Normal"/>
        <w:jc w:val="both"/>
        <w:rPr/>
      </w:pPr>
      <w:r>
        <w:rPr/>
        <w:t xml:space="preserve">All accounts held by any government relating to statutes providing for escheatment and similar “lost owner statutes.”  </w:t>
      </w:r>
    </w:p>
    <w:p>
      <w:pPr>
        <w:pStyle w:val="Normal"/>
        <w:jc w:val="both"/>
        <w:rPr/>
      </w:pPr>
      <w:r>
        <w:rPr/>
      </w:r>
    </w:p>
    <w:p>
      <w:pPr>
        <w:pStyle w:val="Normal"/>
        <w:jc w:val="both"/>
        <w:rPr/>
      </w:pPr>
      <w:r>
        <w:rPr/>
        <w:t>Any payment by Diamond Shamrock Refining Company, L.P., its successors or assigns, relating to, or as a result of, the settlement of claims arising out of the Three Rivers Plant products, fractionation and purchase or delivery of fractionated liquids under that certain Product Sales and Fractionation Agreement dated effective April 1, 1995, the termination of which is anticipated pursuant to that certain Settlement Agreement dated effective September 20, 2000 currently under review by Diamond Shamrock.</w:t>
      </w:r>
    </w:p>
    <w:p>
      <w:pPr>
        <w:pStyle w:val="Normal"/>
        <w:jc w:val="both"/>
        <w:rPr/>
      </w:pPr>
      <w:r>
        <w:rPr/>
      </w:r>
    </w:p>
    <w:p>
      <w:pPr>
        <w:pStyle w:val="Normal"/>
        <w:ind w:start="360" w:end="0"/>
        <w:jc w:val="both"/>
        <w:rPr/>
      </w:pPr>
      <w:r>
        <w:rPr/>
        <w:t>(iii)  Insurance proceeds attributable to Victoria Flood &amp; Point Comfort Leak Claims, the repair of which damages has already occurred.</w:t>
      </w:r>
    </w:p>
    <w:p>
      <w:pPr>
        <w:pStyle w:val="Normal"/>
        <w:jc w:val="both"/>
        <w:rPr/>
      </w:pPr>
      <w:r>
        <w:rPr/>
      </w:r>
    </w:p>
    <w:p>
      <w:pPr>
        <w:pStyle w:val="Normal"/>
        <w:ind w:start="360" w:end="0"/>
        <w:jc w:val="both"/>
        <w:rPr/>
      </w:pPr>
      <w:r>
        <w:rPr/>
        <w:t>(iv)</w:t>
        <w:tab/>
        <w:t xml:space="preserve">  None</w:t>
      </w:r>
    </w:p>
    <w:p>
      <w:pPr>
        <w:pStyle w:val="Normal"/>
        <w:jc w:val="both"/>
        <w:rPr/>
      </w:pPr>
      <w:r>
        <w:rPr/>
      </w:r>
    </w:p>
    <w:p>
      <w:pPr>
        <w:pStyle w:val="Normal"/>
        <w:ind w:start="360" w:end="0"/>
        <w:jc w:val="both"/>
        <w:rPr/>
      </w:pPr>
      <w:r>
        <w:rPr/>
        <w:t>(viii)   The following sites:</w:t>
      </w:r>
    </w:p>
    <w:p>
      <w:pPr>
        <w:pStyle w:val="BodyTextIndent"/>
        <w:ind w:start="0" w:end="0"/>
        <w:rPr/>
      </w:pPr>
      <w:r>
        <w:rPr/>
      </w:r>
    </w:p>
    <w:p>
      <w:pPr>
        <w:pStyle w:val="Normal"/>
        <w:numPr>
          <w:ilvl w:val="0"/>
          <w:numId w:val="11"/>
        </w:numPr>
        <w:tabs>
          <w:tab w:val="clear" w:pos="720"/>
          <w:tab w:val="left" w:pos="-720" w:leader="none"/>
          <w:tab w:val="left" w:pos="1440" w:leader="none"/>
          <w:tab w:val="left" w:pos="2520" w:leader="none"/>
        </w:tabs>
        <w:suppressAutoHyphens w:val="true"/>
        <w:ind w:hanging="360" w:start="144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t>Tuleta Gas Plant</w:t>
      </w:r>
      <w:r>
        <w:rPr>
          <w:rFonts w:cs="CG Times (WN)" w:ascii="CG Times (WN)" w:hAnsi="CG Times (WN)"/>
          <w:spacing w:val="-3"/>
        </w:rPr>
        <w:tab/>
      </w:r>
    </w:p>
    <w:p>
      <w:pPr>
        <w:pStyle w:val="Normal"/>
        <w:tabs>
          <w:tab w:val="clear" w:pos="720"/>
          <w:tab w:val="left" w:pos="-720" w:leader="none"/>
          <w:tab w:val="left" w:pos="0" w:leader="none"/>
        </w:tabs>
        <w:suppressAutoHyphens w:val="true"/>
        <w:ind w:start="72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Normal"/>
        <w:numPr>
          <w:ilvl w:val="0"/>
          <w:numId w:val="11"/>
        </w:numPr>
        <w:tabs>
          <w:tab w:val="clear" w:pos="720"/>
          <w:tab w:val="left" w:pos="-720" w:leader="none"/>
          <w:tab w:val="left" w:pos="0" w:leader="none"/>
          <w:tab w:val="left" w:pos="1440" w:leader="none"/>
        </w:tabs>
        <w:suppressAutoHyphens w:val="true"/>
        <w:ind w:hanging="360" w:start="144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t>Magnolia City Gas Plant</w:t>
      </w:r>
    </w:p>
    <w:p>
      <w:pPr>
        <w:pStyle w:val="Normal"/>
        <w:tabs>
          <w:tab w:val="clear" w:pos="720"/>
          <w:tab w:val="left" w:pos="-720" w:leader="none"/>
          <w:tab w:val="left" w:pos="0" w:leader="none"/>
        </w:tabs>
        <w:suppressAutoHyphens w:val="true"/>
        <w:ind w:start="72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Normal"/>
        <w:numPr>
          <w:ilvl w:val="0"/>
          <w:numId w:val="11"/>
        </w:numPr>
        <w:tabs>
          <w:tab w:val="clear" w:pos="720"/>
          <w:tab w:val="left" w:pos="-720" w:leader="none"/>
          <w:tab w:val="left" w:pos="0" w:leader="none"/>
          <w:tab w:val="left" w:pos="1440" w:leader="none"/>
        </w:tabs>
        <w:suppressAutoHyphens w:val="true"/>
        <w:ind w:hanging="360" w:start="144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t>Robstown Gas Plant</w:t>
      </w:r>
    </w:p>
    <w:p>
      <w:pPr>
        <w:pStyle w:val="Normal"/>
        <w:ind w:start="72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EndnoteText"/>
        <w:numPr>
          <w:ilvl w:val="0"/>
          <w:numId w:val="11"/>
        </w:numPr>
        <w:tabs>
          <w:tab w:val="clear" w:pos="720"/>
          <w:tab w:val="left" w:pos="1440" w:leader="none"/>
        </w:tabs>
        <w:ind w:hanging="360" w:start="1440" w:end="0"/>
        <w:rPr>
          <w:rFonts w:ascii="Times New Roman" w:hAnsi="Times New Roman" w:cs="Times New Roman"/>
        </w:rPr>
      </w:pPr>
      <w:r>
        <w:rPr>
          <w:rFonts w:cs="Times New Roman" w:ascii="Times New Roman" w:hAnsi="Times New Roman"/>
        </w:rPr>
        <w:t>Daggs #2 Dehydrator Site (monitoring wells and related equipment only)</w:t>
      </w:r>
    </w:p>
    <w:p>
      <w:pPr>
        <w:pStyle w:val="Normal"/>
        <w:ind w:start="720" w:end="0"/>
        <w:rPr>
          <w:rFonts w:ascii="Times New Roman" w:hAnsi="Times New Roman" w:cs="Times New Roman"/>
        </w:rPr>
      </w:pPr>
      <w:r>
        <w:rPr>
          <w:rFonts w:cs="Times New Roman"/>
        </w:rPr>
      </w:r>
    </w:p>
    <w:p>
      <w:pPr>
        <w:pStyle w:val="Normal"/>
        <w:numPr>
          <w:ilvl w:val="0"/>
          <w:numId w:val="11"/>
        </w:numPr>
        <w:tabs>
          <w:tab w:val="clear" w:pos="720"/>
          <w:tab w:val="left" w:pos="-720" w:leader="none"/>
          <w:tab w:val="left" w:pos="0" w:leader="none"/>
          <w:tab w:val="left" w:pos="1440" w:leader="none"/>
        </w:tabs>
        <w:suppressAutoHyphens w:val="true"/>
        <w:ind w:hanging="360" w:start="1440" w:end="0"/>
        <w:jc w:val="both"/>
        <w:rPr/>
      </w:pPr>
      <w:r>
        <w:rPr/>
        <w:t>Smith Production (formerly Amoco) Dehydrator Site (monitoring wells and related equipment only)</w:t>
      </w:r>
    </w:p>
    <w:p>
      <w:pPr>
        <w:pStyle w:val="Normal"/>
        <w:rPr/>
      </w:pPr>
      <w:r>
        <w:rPr/>
      </w:r>
    </w:p>
    <w:p>
      <w:pPr>
        <w:pStyle w:val="Normal"/>
        <w:numPr>
          <w:ilvl w:val="0"/>
          <w:numId w:val="11"/>
        </w:numPr>
        <w:tabs>
          <w:tab w:val="clear" w:pos="720"/>
          <w:tab w:val="left" w:pos="-720" w:leader="none"/>
          <w:tab w:val="left" w:pos="0" w:leader="none"/>
          <w:tab w:val="left" w:pos="1440" w:leader="none"/>
        </w:tabs>
        <w:suppressAutoHyphens w:val="true"/>
        <w:ind w:hanging="360" w:start="1440" w:end="0"/>
        <w:jc w:val="both"/>
        <w:rPr/>
      </w:pPr>
      <w:r>
        <w:rPr/>
        <w:t>Conoco “Headquarters Field” Dehydrator Site (monitoring wells and related equipment only)</w:t>
      </w:r>
    </w:p>
    <w:p>
      <w:pPr>
        <w:pStyle w:val="Normal"/>
        <w:jc w:val="center"/>
        <w:rPr/>
      </w:pPr>
      <w:r>
        <w:rPr/>
        <w:t>PURCHASE AND SALE AGREEMENT</w:t>
      </w:r>
    </w:p>
    <w:p>
      <w:pPr>
        <w:pStyle w:val="Normal"/>
        <w:jc w:val="center"/>
        <w:rPr/>
      </w:pPr>
      <w:r>
        <w:rPr/>
      </w:r>
    </w:p>
    <w:p>
      <w:pPr>
        <w:pStyle w:val="Normal"/>
        <w:jc w:val="center"/>
        <w:rPr/>
      </w:pPr>
      <w:r>
        <w:rPr/>
        <w:t>Schedule 7.8(b)</w:t>
      </w:r>
    </w:p>
    <w:p>
      <w:pPr>
        <w:pStyle w:val="Normal"/>
        <w:jc w:val="center"/>
        <w:rPr/>
      </w:pPr>
      <w:r>
        <w:rPr>
          <w:b/>
          <w:bCs/>
          <w:u w:val="double"/>
        </w:rPr>
        <w:t>Revised</w:t>
      </w:r>
      <w:r>
        <w:rPr/>
        <w:t xml:space="preserve"> Retained Liabilities</w:t>
      </w:r>
    </w:p>
    <w:p>
      <w:pPr>
        <w:pStyle w:val="Normal"/>
        <w:jc w:val="center"/>
        <w:rPr/>
      </w:pPr>
      <w:r>
        <w:rPr/>
      </w:r>
    </w:p>
    <w:p>
      <w:pPr>
        <w:pStyle w:val="Normal"/>
        <w:rPr/>
      </w:pPr>
      <w:r>
        <w:rPr/>
        <w:tab/>
        <w:t>All the litigation matters listed on Schedule 4.11(A)</w:t>
      </w:r>
    </w:p>
    <w:p>
      <w:pPr>
        <w:pStyle w:val="Normal"/>
        <w:rPr/>
      </w:pPr>
      <w:r>
        <w:rPr/>
      </w:r>
    </w:p>
    <w:p>
      <w:pPr>
        <w:pStyle w:val="Normal"/>
        <w:ind w:start="720" w:end="0"/>
        <w:rPr/>
      </w:pPr>
      <w:r>
        <w:rPr/>
        <w:t>Liens on accounts receivables and certain related assets of HPL and HPL Resources Company related to accounts receivable financings and liabilities related to such financings</w:t>
      </w:r>
    </w:p>
    <w:p>
      <w:pPr>
        <w:pStyle w:val="Normal"/>
        <w:ind w:start="720" w:end="0"/>
        <w:rPr/>
      </w:pPr>
      <w:r>
        <w:rPr/>
      </w:r>
    </w:p>
    <w:p>
      <w:pPr>
        <w:pStyle w:val="Normal"/>
        <w:ind w:start="720" w:end="0"/>
        <w:rPr/>
      </w:pPr>
      <w:r>
        <w:rPr/>
        <w:t xml:space="preserve">Liens relating to, or arising from, the dispute with Coastline Resources, Inc. as referenced on Schedule 4.11(A) </w:t>
      </w:r>
    </w:p>
    <w:p>
      <w:pPr>
        <w:pStyle w:val="Normal"/>
        <w:ind w:start="720" w:end="0"/>
        <w:rPr/>
      </w:pPr>
      <w:r>
        <w:rPr/>
      </w:r>
    </w:p>
    <w:p>
      <w:pPr>
        <w:pStyle w:val="Normal"/>
        <w:ind w:start="720" w:end="0"/>
        <w:rPr/>
      </w:pPr>
      <w:r>
        <w:rPr/>
        <w:t xml:space="preserve">Fines or penalties assessed by any governmental agency in connection with </w:t>
      </w:r>
      <w:r>
        <w:rPr>
          <w:b/>
          <w:bCs/>
          <w:u w:val="double"/>
        </w:rPr>
        <w:t>non-compliance with air emission standards at</w:t>
      </w:r>
      <w:r>
        <w:rPr/>
        <w:t xml:space="preserve"> the Lehman Dehydrator site </w:t>
      </w:r>
      <w:r>
        <w:rPr>
          <w:b/>
          <w:bCs/>
          <w:u w:val="double"/>
        </w:rPr>
        <w:t>and costs associated with installing necessary control equipment to achieve compliance.</w:t>
      </w:r>
    </w:p>
    <w:p>
      <w:pPr>
        <w:pStyle w:val="Normal"/>
        <w:rPr/>
      </w:pPr>
      <w:r>
        <w:rPr/>
        <w:tab/>
      </w:r>
    </w:p>
    <w:p>
      <w:pPr>
        <w:pStyle w:val="Normal"/>
        <w:jc w:val="center"/>
        <w:rPr/>
      </w:pPr>
      <w:r>
        <w:rPr/>
        <w:t>PURCHASE AND SALE AGREEMENT</w:t>
      </w:r>
    </w:p>
    <w:p>
      <w:pPr>
        <w:pStyle w:val="Normal"/>
        <w:jc w:val="center"/>
        <w:rPr/>
      </w:pPr>
      <w:r>
        <w:rPr/>
      </w:r>
    </w:p>
    <w:p>
      <w:pPr>
        <w:pStyle w:val="Normal"/>
        <w:ind w:hanging="720" w:end="0"/>
        <w:jc w:val="center"/>
        <w:rPr/>
      </w:pPr>
      <w:r>
        <w:rPr/>
        <w:t>Schedule 7.13(a)</w:t>
      </w:r>
    </w:p>
    <w:p>
      <w:pPr>
        <w:pStyle w:val="Normal"/>
        <w:ind w:hanging="720" w:end="0"/>
        <w:jc w:val="center"/>
        <w:rPr/>
      </w:pPr>
      <w:r>
        <w:rPr/>
      </w:r>
    </w:p>
    <w:p>
      <w:pPr>
        <w:pStyle w:val="Normal"/>
        <w:jc w:val="both"/>
        <w:rPr/>
      </w:pPr>
      <w:r>
        <w:rPr/>
      </w:r>
    </w:p>
    <w:p>
      <w:pPr>
        <w:pStyle w:val="Normal"/>
        <w:jc w:val="center"/>
        <w:rPr>
          <w:b/>
          <w:bCs/>
          <w:u w:val="single"/>
        </w:rPr>
      </w:pPr>
      <w:r>
        <w:rPr>
          <w:b/>
          <w:bCs/>
          <w:u w:val="single"/>
        </w:rPr>
        <w:t>PROTOCOL FOR BUYER REPRESENTATIVES</w:t>
      </w:r>
    </w:p>
    <w:p>
      <w:pPr>
        <w:pStyle w:val="Normal"/>
        <w:jc w:val="both"/>
        <w:rPr>
          <w:b/>
          <w:bCs/>
          <w:u w:val="single"/>
        </w:rPr>
      </w:pPr>
      <w:r>
        <w:rPr>
          <w:b/>
          <w:bCs/>
          <w:u w:val="single"/>
        </w:rPr>
      </w:r>
    </w:p>
    <w:p>
      <w:pPr>
        <w:pStyle w:val="Normal"/>
        <w:jc w:val="both"/>
        <w:rPr/>
      </w:pPr>
      <w:r>
        <w:rPr/>
        <w:tab/>
        <w:tab/>
        <w:t xml:space="preserve">The following are the protocols referenced in Section 7.13 of the Purchase and Sale Agreement, which govern the activities of Buyer’s representatives which are provided access to Seller’s properties, sites, personnel and/or records during the Observation Periods referenced in said Section 7.13. </w:t>
      </w:r>
    </w:p>
    <w:p>
      <w:pPr>
        <w:pStyle w:val="Normal"/>
        <w:jc w:val="both"/>
        <w:rPr/>
      </w:pPr>
      <w:r>
        <w:rPr/>
      </w:r>
    </w:p>
    <w:p>
      <w:pPr>
        <w:pStyle w:val="Normal"/>
        <w:jc w:val="both"/>
        <w:rPr/>
      </w:pPr>
      <w:r>
        <w:rPr/>
        <w:tab/>
        <w:t>1)</w:t>
        <w:tab/>
        <w:t>During the Observation Periods, there shall be not more than five (5) representatives of Buyer at Seller’s offices at the Enron Building, 1400 Smith St., Houston, Texas (“Site Representatives”) and not more than five (5) representatives (in the aggregate) of Buyer at any of the other properties or sites of the Acquired Companies (the “Field Representatives”, which along with the Site Representatives are collectively referred to as the “Buyer Representatives”).  For purposes of these protocols, the above-referenced Houston, Texas office building and all other properties and sites of the Acquired Companies shall be referred to collectively as the “Premises”.</w:t>
      </w:r>
    </w:p>
    <w:p>
      <w:pPr>
        <w:pStyle w:val="Normal"/>
        <w:jc w:val="both"/>
        <w:rPr/>
      </w:pPr>
      <w:r>
        <w:rPr/>
      </w:r>
    </w:p>
    <w:p>
      <w:pPr>
        <w:pStyle w:val="Normal"/>
        <w:jc w:val="both"/>
        <w:rPr/>
      </w:pPr>
      <w:r>
        <w:rPr/>
        <w:tab/>
        <w:t>2)</w:t>
        <w:tab/>
        <w:t>At least 3 days prior to the commencement of an Observation Period and then prior to 2:00 p.m. (Houston, Texas time) on each Thursday during an Observation Period, Buyer will inform Seller (in writing) of (i) the identity and number of Buyer Representatives to be present on each of the Premises over the next succeeding five (5) Business Days (ii) the employees of Seller or the Acquired Companies to which access is being requested, (iii) the activities which the Buyer Representatives desire to observe and (iv) the records which the Buyer Representative desires to access and review during such five day period.</w:t>
      </w:r>
    </w:p>
    <w:p>
      <w:pPr>
        <w:pStyle w:val="Normal"/>
        <w:jc w:val="both"/>
        <w:rPr/>
      </w:pPr>
      <w:r>
        <w:rPr/>
      </w:r>
    </w:p>
    <w:p>
      <w:pPr>
        <w:pStyle w:val="Normal"/>
        <w:jc w:val="both"/>
        <w:rPr/>
      </w:pPr>
      <w:r>
        <w:rPr/>
        <w:tab/>
        <w:t>3)</w:t>
        <w:tab/>
        <w:t>The scheduling requests and the activities of the Buyer Representatives will be conducted with due respect to the operation of the Acquired Companies’ business and in such manner as to not interfere with or disrupt the ongoing business activities of Seller and the Acquired Companies.  Buyer and the Buyer Representatives will use all reasonable efforts to accommodate the meetings and activities timetable prepared by Seller in response to Buyer’s request for access to Premises, personnel and records.</w:t>
      </w:r>
    </w:p>
    <w:p>
      <w:pPr>
        <w:pStyle w:val="Normal"/>
        <w:jc w:val="both"/>
        <w:rPr/>
      </w:pPr>
      <w:r>
        <w:rPr/>
      </w:r>
    </w:p>
    <w:p>
      <w:pPr>
        <w:pStyle w:val="Normal"/>
        <w:jc w:val="both"/>
        <w:rPr/>
      </w:pPr>
      <w:r>
        <w:rPr/>
        <w:tab/>
        <w:t>4)</w:t>
        <w:tab/>
        <w:t>The activities of the Buyer Representatives will be conducted in compliance with all applicable Laws, regulations and legal requirements applicable to the Acquired Companies, its Affiliates and employees, agents and representatives and the Buyer Representative, including health and safety laws.</w:t>
      </w:r>
    </w:p>
    <w:p>
      <w:pPr>
        <w:pStyle w:val="Normal"/>
        <w:jc w:val="both"/>
        <w:rPr/>
      </w:pPr>
      <w:r>
        <w:rPr/>
      </w:r>
    </w:p>
    <w:p>
      <w:pPr>
        <w:pStyle w:val="Normal"/>
        <w:jc w:val="both"/>
        <w:rPr/>
      </w:pPr>
      <w:r>
        <w:rPr/>
        <w:tab/>
        <w:t>5)</w:t>
        <w:tab/>
        <w:t>The activities of the Buyer Representatives will be conducted in accordance with and in compliance with such directives, guidelines, policies and procedures, which are disclosed by Seller to the Buyer Representatives prior to or during an Observation Period, including applicable security and ingress/egress procedures.</w:t>
      </w:r>
    </w:p>
    <w:p>
      <w:pPr>
        <w:pStyle w:val="Normal"/>
        <w:jc w:val="both"/>
        <w:rPr/>
      </w:pPr>
      <w:r>
        <w:rPr/>
      </w:r>
    </w:p>
    <w:p>
      <w:pPr>
        <w:pStyle w:val="Normal"/>
        <w:jc w:val="both"/>
        <w:rPr/>
      </w:pPr>
      <w:r>
        <w:rPr/>
        <w:tab/>
        <w:t>6)</w:t>
        <w:tab/>
        <w:t>Buyer Representatives will only be allowed access to the Premises during regular operating hours of the Acquired Companies.  The Buyer Representatives will not be allowed to entertain or receive guests or invitees at the Premises unless such persons have received the prior approval of the Seller to enter onto the Premises.</w:t>
      </w:r>
    </w:p>
    <w:p>
      <w:pPr>
        <w:pStyle w:val="Normal"/>
        <w:jc w:val="both"/>
        <w:rPr/>
      </w:pPr>
      <w:r>
        <w:rPr/>
      </w:r>
    </w:p>
    <w:p>
      <w:pPr>
        <w:pStyle w:val="Normal"/>
        <w:ind w:firstLine="720" w:end="0"/>
        <w:jc w:val="both"/>
        <w:rPr/>
      </w:pPr>
      <w:r>
        <w:rPr/>
        <w:t>7)</w:t>
        <w:tab/>
        <w:t>Access throughout the Premises will be provided  on “as-needed” basis provided Buyer Representatives will not be allowed to roam unaccompanied throughout the Premises.  While on the Premises, Buyer Representatives must be accompanied by an employee of the Seller or one of the Acquired Companies.  Furthermore, Buyer Representatives will not enter into or attempt to gain access to any areas which are designated as “restricted or unauthorized areas” by the Seller.</w:t>
      </w:r>
    </w:p>
    <w:p>
      <w:pPr>
        <w:pStyle w:val="Normal"/>
        <w:ind w:firstLine="720" w:end="0"/>
        <w:jc w:val="both"/>
        <w:rPr/>
      </w:pPr>
      <w:r>
        <w:rPr/>
      </w:r>
    </w:p>
    <w:p>
      <w:pPr>
        <w:pStyle w:val="Normal"/>
        <w:ind w:firstLine="720" w:end="0"/>
        <w:jc w:val="both"/>
        <w:rPr/>
      </w:pPr>
      <w:r>
        <w:rPr/>
        <w:t>8)</w:t>
        <w:tab/>
        <w:t>Buyer Representatives will be provided reasonable office space and telephone and copier access and computer hookup/connections, however, due to networking security concerns, Buyer Representatives will not be provided access to the Seller’s or any Acquired Companies computer network.  Buyer Representatives will be responsible for their own lodging, parking, meals, and transportation during the Observation Period.</w:t>
      </w:r>
    </w:p>
    <w:p>
      <w:pPr>
        <w:pStyle w:val="Normal"/>
        <w:ind w:firstLine="720" w:end="0"/>
        <w:jc w:val="both"/>
        <w:rPr/>
      </w:pPr>
      <w:r>
        <w:rPr/>
      </w:r>
    </w:p>
    <w:p>
      <w:pPr>
        <w:pStyle w:val="Normal"/>
        <w:ind w:firstLine="720" w:end="0"/>
        <w:jc w:val="both"/>
        <w:rPr/>
      </w:pPr>
      <w:r>
        <w:rPr/>
        <w:t>9)</w:t>
        <w:tab/>
        <w:t>Buyer Representatives will be responsible for and will reimburse Seller, on request, for all costs, expenses and charges incurred by Seller in providing copying, telecopier, facsimile, long distance telephone, courier and related services to the Buyer Representative during the Observation Period.  All such reimbursements will be paid by Buyer within five (5) days after the date of invoice from Seller.</w:t>
      </w:r>
    </w:p>
    <w:p>
      <w:pPr>
        <w:pStyle w:val="Normal"/>
        <w:ind w:firstLine="720" w:end="0"/>
        <w:jc w:val="both"/>
        <w:rPr/>
      </w:pPr>
      <w:r>
        <w:rPr/>
      </w:r>
    </w:p>
    <w:p>
      <w:pPr>
        <w:pStyle w:val="Normal"/>
        <w:ind w:firstLine="720" w:end="0"/>
        <w:jc w:val="both"/>
        <w:rPr/>
      </w:pPr>
      <w:r>
        <w:rPr/>
        <w:t>10)</w:t>
        <w:tab/>
        <w:t>Buyer shall indemnify, defend and hold Seller, its Affiliates and any directors, officers, partners, employees and agents of Seller (collectively, the “Indemnitees”) harmless from and against and will reimburse Indemnitees for, any and all claims, demands, causes of action, proceedings (including, without limitation, informal proceedings), judgments, settlements, losses, damages, penalties, fines, liabilities (including, but not limited to, death, personal injury or property damage), interests, costs and expenses (including, without limitation, reasonable attorney’s and expert’s fees and court costs), of any kind or character, known or unknown, fixed or contingent, liquidated or unliquidated, asserted against or incurred by Indemnitees, at any time or form time to time to the extent caused by:  (i) Buyer’s or any Buyer Representatives breach of the protocols; (ii) violation of any Law by Buyer or any Buyer Representative or (iii) the negligence of Buyer Representatives on the Premises.  Notwithstanding any other provision of this Agreement, this indemnification shall survive the termination or expiration of the Purchase and Sale Agreement until such time as all possible statutory limitation periods are no longer applicable.</w:t>
      </w:r>
    </w:p>
    <w:p>
      <w:pPr>
        <w:pStyle w:val="Normal"/>
        <w:ind w:firstLine="720" w:end="0"/>
        <w:jc w:val="both"/>
        <w:rPr/>
      </w:pPr>
      <w:r>
        <w:rPr/>
      </w:r>
    </w:p>
    <w:p>
      <w:pPr>
        <w:pStyle w:val="Header"/>
        <w:tabs>
          <w:tab w:val="clear" w:pos="4680"/>
          <w:tab w:val="clear" w:pos="9360"/>
        </w:tabs>
        <w:ind w:firstLine="720" w:end="0"/>
        <w:rPr/>
      </w:pPr>
      <w:r>
        <w:rPr/>
        <w:t>11)</w:t>
        <w:tab/>
        <w:t>If requested to vacate or not to enter onto the Premises during the Observation Period, Buyer Representatives shall immediately vacate or not enter onto the Premises, provided nothing herein negates the obligations of the Seller to provide access to the Buyer during the Observation Period as reflected in Section 7.13 of the Purchase and Sale Agreement.  Buyer Representatives acknowledge that they may be asked to vacate the premises and that their right to access afforded in Section 7.13 of the Purchase and Sale Agreement can be terminated upon notice from Seller of any breach or violation by the Buyer Representative of the foregoing protocols.</w:t>
      </w:r>
    </w:p>
    <w:p>
      <w:pPr>
        <w:pStyle w:val="Header"/>
        <w:tabs>
          <w:tab w:val="clear" w:pos="4680"/>
          <w:tab w:val="clear" w:pos="9360"/>
        </w:tabs>
        <w:ind w:firstLine="720" w:end="0"/>
        <w:rPr/>
      </w:pPr>
      <w:r>
        <w:rPr/>
      </w:r>
    </w:p>
    <w:p>
      <w:pPr>
        <w:pStyle w:val="Header"/>
        <w:tabs>
          <w:tab w:val="clear" w:pos="4680"/>
          <w:tab w:val="clear" w:pos="9360"/>
        </w:tabs>
        <w:ind w:firstLine="720" w:end="0"/>
        <w:rPr/>
      </w:pPr>
      <w:r>
        <w:rPr/>
        <w:t>------------------ COMPARISON OF HEADERS ------------------</w:t>
      </w:r>
    </w:p>
    <w:p>
      <w:pPr>
        <w:pStyle w:val="Header"/>
        <w:tabs>
          <w:tab w:val="clear" w:pos="4680"/>
          <w:tab w:val="clear" w:pos="9360"/>
        </w:tabs>
        <w:ind w:firstLine="720" w:end="0"/>
        <w:rPr/>
      </w:pPr>
      <w:r>
        <w:rPr/>
      </w:r>
    </w:p>
    <w:p>
      <w:pPr>
        <w:pStyle w:val="Header"/>
        <w:tabs>
          <w:tab w:val="clear" w:pos="4680"/>
          <w:tab w:val="clear" w:pos="9360"/>
        </w:tabs>
        <w:ind w:firstLine="720" w:end="0"/>
        <w:rPr/>
      </w:pPr>
      <w:r>
        <w:rPr/>
        <w:t>-HEADER 1-</w:t>
      </w:r>
    </w:p>
    <w:p>
      <w:pPr>
        <w:pStyle w:val="Header"/>
        <w:tabs>
          <w:tab w:val="clear" w:pos="4680"/>
          <w:tab w:val="clear" w:pos="9360"/>
        </w:tabs>
        <w:ind w:firstLine="720" w:end="0"/>
        <w:rPr/>
      </w:pPr>
      <w:r>
        <w:rPr/>
      </w:r>
    </w:p>
    <w:p>
      <w:pPr>
        <w:pStyle w:val="Header"/>
        <w:tabs>
          <w:tab w:val="clear" w:pos="4680"/>
          <w:tab w:val="clear" w:pos="9360"/>
        </w:tabs>
        <w:ind w:firstLine="720" w:end="0"/>
        <w:rPr/>
      </w:pPr>
      <w:r>
        <w:rPr/>
      </w:r>
    </w:p>
    <w:p>
      <w:pPr>
        <w:pStyle w:val="Header"/>
        <w:tabs>
          <w:tab w:val="clear" w:pos="4680"/>
          <w:tab w:val="clear" w:pos="9360"/>
        </w:tabs>
        <w:ind w:firstLine="720" w:end="0"/>
        <w:rPr/>
      </w:pPr>
      <w:r>
        <w:rPr/>
      </w:r>
    </w:p>
    <w:p>
      <w:pPr>
        <w:pStyle w:val="Header"/>
        <w:tabs>
          <w:tab w:val="clear" w:pos="4680"/>
          <w:tab w:val="clear" w:pos="9360"/>
        </w:tabs>
        <w:ind w:firstLine="720" w:end="0"/>
        <w:rPr/>
      </w:pPr>
      <w:r>
        <w:rPr/>
        <w:t>------------------ COMPARISON OF FOOTERS ------------------</w:t>
      </w:r>
    </w:p>
    <w:p>
      <w:pPr>
        <w:pStyle w:val="Header"/>
        <w:tabs>
          <w:tab w:val="clear" w:pos="4680"/>
          <w:tab w:val="clear" w:pos="9360"/>
        </w:tabs>
        <w:ind w:firstLine="720" w:end="0"/>
        <w:rPr/>
      </w:pPr>
      <w:r>
        <w:rPr/>
      </w:r>
    </w:p>
    <w:p>
      <w:pPr>
        <w:pStyle w:val="Header"/>
        <w:tabs>
          <w:tab w:val="clear" w:pos="4680"/>
          <w:tab w:val="clear" w:pos="9360"/>
        </w:tabs>
        <w:ind w:firstLine="720" w:end="0"/>
        <w:rPr/>
      </w:pPr>
      <w:r>
        <w:rPr/>
        <w:t>-FOOTER 1-</w:t>
      </w:r>
    </w:p>
    <w:p>
      <w:pPr>
        <w:pStyle w:val="Header"/>
        <w:tabs>
          <w:tab w:val="clear" w:pos="4680"/>
          <w:tab w:val="clear" w:pos="9360"/>
        </w:tabs>
        <w:ind w:firstLine="720" w:end="0"/>
        <w:rPr/>
      </w:pPr>
      <w:r>
        <w:rPr>
          <w:strike/>
        </w:rPr>
        <w:t>362488_21.DOC</w:t>
      </w:r>
      <w:r>
        <w:rPr/>
        <w:t xml:space="preserve"> </w:t>
      </w:r>
      <w:r>
        <w:rPr>
          <w:b/>
          <w:bCs/>
          <w:u w:val="double"/>
        </w:rPr>
        <w:t>362488_23.DOC</w:t>
      </w:r>
    </w:p>
    <w:p>
      <w:pPr>
        <w:pStyle w:val="Header"/>
        <w:tabs>
          <w:tab w:val="clear" w:pos="4680"/>
          <w:tab w:val="clear" w:pos="9360"/>
        </w:tabs>
        <w:ind w:firstLine="720" w:end="0"/>
        <w:rPr/>
      </w:pPr>
      <w:r>
        <w:rPr/>
      </w:r>
    </w:p>
    <w:sectPr>
      <w:headerReference w:type="default" r:id="rId28"/>
      <w:headerReference w:type="first" r:id="rId29"/>
      <w:footerReference w:type="default" r:id="rId30"/>
      <w:footerReference w:type="first" r:id="rId3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G Times 12pt">
    <w:altName w:val="Times New Roman"/>
    <w:charset w:val="00" w:characterSet="windows-1252"/>
    <w:family w:val="roman"/>
    <w:pitch w:val="default"/>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Compared_version_22_to_23_Schedules_to_PSA__5_29_01.DOC</w:t>
    </w:r>
    <w:r>
      <w:rPr>
        <w:rStyle w:val="VEDocumentInformation"/>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Compared_version_22_to_23_Schedules_to_PSA__5_29_01.DOC</w:t>
    </w:r>
    <w:r>
      <w:rPr>
        <w:rStyle w:val="VEDocumentInformation"/>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Compared_version_22_to_23_Schedules_to_PSA__5_29_01.DOC</w:t>
    </w:r>
    <w:r>
      <w:rPr>
        <w:rStyle w:val="VEDocumentInformation"/>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Compared_version_22_to_23_Schedules_to_PSA__5_29_01.DOC</w:t>
    </w:r>
    <w:r>
      <w:rPr>
        <w:rStyle w:val="VEDocumentInformation"/>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Compared_version_22_to_23_Schedules_to_PSA__5_29_01.DOC</w:t>
    </w:r>
    <w:r>
      <w:rPr>
        <w:rStyle w:val="VEDocumentInformation"/>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Compared_version_22_to_23_Schedules_to_PSA__5_29_01.DOC</w:t>
    </w:r>
    <w:r>
      <w:rPr>
        <w:rStyle w:val="VEDocumentInformation"/>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Compared_version_22_to_23_Schedules_to_PSA__5_29_01.DOC</w:t>
    </w:r>
    <w:r>
      <w:rPr>
        <w:rStyle w:val="VEDocumentInformatio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Compared_version_22_to_23_Schedules_to_PSA__5_29_01.DOC</w:t>
    </w:r>
    <w:r>
      <w:rPr>
        <w:rStyle w:val="VEDocumentInformatio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Compared_version_22_to_23_Schedules_to_PSA__5_29_01.DOC</w:t>
    </w:r>
    <w:r>
      <w:rPr>
        <w:rStyle w:val="VEDocumentInformatio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Compared_version_22_to_23_Schedules_to_PSA__5_29_01.DOC</w:t>
    </w:r>
    <w:r>
      <w:rPr>
        <w:rStyle w:val="VEDocumentInformatio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szCs w:val="20"/>
      </w:rPr>
    </w:pPr>
    <w:r>
      <w:rPr>
        <w:sz w:val="20"/>
        <w:szCs w:val="20"/>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szCs w:val="20"/>
      </w:rPr>
    </w:pPr>
    <w:r>
      <w:rPr>
        <w:sz w:val="20"/>
        <w:szCs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szCs w:val="20"/>
      </w:rPr>
    </w:pPr>
    <w:r>
      <w:rPr>
        <w:sz w:val="20"/>
        <w:szCs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szCs w:val="20"/>
      </w:rPr>
    </w:pPr>
    <w:r>
      <w:rPr>
        <w:sz w:val="20"/>
        <w:szCs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szCs w:val="20"/>
      </w:rPr>
    </w:pPr>
    <w:r>
      <w:rPr>
        <w:sz w:val="20"/>
        <w:szCs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1080"/>
        </w:tabs>
        <w:ind w:start="1080" w:hanging="720"/>
      </w:pPr>
      <w:rPr/>
    </w:lvl>
  </w:abstractNum>
  <w:abstractNum w:abstractNumId="4">
    <w:lvl w:ilvl="0">
      <w:start w:val="1"/>
      <w:numFmt w:val="bullet"/>
      <w:lvlText w:val=""/>
      <w:lvlJc w:val="start"/>
      <w:pPr>
        <w:tabs>
          <w:tab w:val="num" w:pos="1080"/>
        </w:tabs>
        <w:ind w:start="1080" w:hanging="360"/>
      </w:pPr>
      <w:rPr>
        <w:rFonts w:ascii="Symbol" w:hAnsi="Symbol" w:cs="Symbol" w:hint="default"/>
        <w:sz w:val="20"/>
        <w:szCs w:val="20"/>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decimal"/>
      <w:lvlText w:val="%1."/>
      <w:lvlJc w:val="start"/>
      <w:pPr>
        <w:tabs>
          <w:tab w:val="num" w:pos="1440"/>
        </w:tabs>
        <w:ind w:start="1440" w:hanging="720"/>
      </w:pPr>
      <w:rPr/>
    </w:lvl>
  </w:abstractNum>
  <w:abstractNum w:abstractNumId="7">
    <w:lvl w:ilvl="0">
      <w:start w:val="1"/>
      <w:numFmt w:val="decimal"/>
      <w:lvlText w:val="%1."/>
      <w:lvlJc w:val="start"/>
      <w:pPr>
        <w:tabs>
          <w:tab w:val="num" w:pos="360"/>
        </w:tabs>
        <w:ind w:start="0" w:hanging="0"/>
      </w:pPr>
      <w:rPr/>
    </w:lvl>
  </w:abstractNum>
  <w:abstractNum w:abstractNumId="8">
    <w:lvl w:ilvl="0">
      <w:start w:val="1"/>
      <w:numFmt w:val="upperLetter"/>
      <w:lvlText w:val="%1."/>
      <w:lvlJc w:val="start"/>
      <w:pPr>
        <w:tabs>
          <w:tab w:val="num" w:pos="360"/>
        </w:tabs>
        <w:ind w:start="0" w:hanging="0"/>
      </w:pPr>
      <w:rPr/>
    </w:lvl>
  </w:abstractNum>
  <w:abstractNum w:abstractNumId="9">
    <w:lvl w:ilvl="0">
      <w:start w:val="1"/>
      <w:numFmt w:val="bullet"/>
      <w:lvlText w:val=""/>
      <w:lvlJc w:val="start"/>
      <w:pPr>
        <w:tabs>
          <w:tab w:val="num" w:pos="1080"/>
        </w:tabs>
        <w:ind w:start="1080" w:hanging="360"/>
      </w:pPr>
      <w:rPr>
        <w:rFonts w:ascii="Symbol" w:hAnsi="Symbol" w:cs="Symbol" w:hint="default"/>
        <w:sz w:val="20"/>
        <w:szCs w:val="20"/>
      </w:rPr>
    </w:lvl>
  </w:abstractNum>
  <w:abstractNum w:abstractNumId="10">
    <w:lvl w:ilvl="0">
      <w:start w:val="1"/>
      <w:numFmt w:val="bullet"/>
      <w:lvlText w:val=""/>
      <w:lvlJc w:val="start"/>
      <w:pPr>
        <w:tabs>
          <w:tab w:val="num" w:pos="1080"/>
        </w:tabs>
        <w:ind w:start="108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upperLetter"/>
      <w:lvlText w:val="%1."/>
      <w:lvlJc w:val="start"/>
      <w:pPr>
        <w:tabs>
          <w:tab w:val="num" w:pos="1440"/>
        </w:tabs>
        <w:ind w:start="1440" w:hanging="720"/>
      </w:pPr>
      <w:rPr/>
    </w:lvl>
  </w:abstractNum>
  <w:abstractNum w:abstractNumId="13">
    <w:lvl w:ilvl="0">
      <w:start w:val="1"/>
      <w:numFmt w:val="decimal"/>
      <w:lvlText w:val="%1."/>
      <w:lvlJc w:val="start"/>
      <w:pPr>
        <w:tabs>
          <w:tab w:val="num" w:pos="1080"/>
        </w:tabs>
        <w:ind w:start="1080" w:hanging="720"/>
      </w:pPr>
      <w:rPr/>
    </w:lvl>
  </w:abstractNum>
  <w:abstractNum w:abstractNumId="14">
    <w:lvl w:ilvl="0">
      <w:start w:val="1"/>
      <w:numFmt w:val="bullet"/>
      <w:lvlText w:val=""/>
      <w:lvlJc w:val="start"/>
      <w:pPr>
        <w:tabs>
          <w:tab w:val="num" w:pos="1080"/>
        </w:tabs>
        <w:ind w:start="1080" w:hanging="360"/>
      </w:pPr>
      <w:rPr>
        <w:rFonts w:ascii="Symbol" w:hAnsi="Symbol" w:cs="Symbol" w:hint="default"/>
      </w:rPr>
    </w:lvl>
  </w:abstractNum>
  <w:abstractNum w:abstractNumId="15">
    <w:lvl w:ilvl="0">
      <w:start w:val="10"/>
      <w:numFmt w:val="decimal"/>
      <w:lvlText w:val="%1."/>
      <w:lvlJc w:val="start"/>
      <w:pPr>
        <w:tabs>
          <w:tab w:val="num" w:pos="1080"/>
        </w:tabs>
        <w:ind w:start="1080" w:hanging="720"/>
      </w:pPr>
      <w:rPr/>
    </w:lvl>
  </w:abstractNum>
  <w:abstractNum w:abstractNumId="16">
    <w:lvl w:ilvl="0">
      <w:start w:val="1"/>
      <w:numFmt w:val="decimal"/>
      <w:lvlText w:val="%1."/>
      <w:lvlJc w:val="start"/>
      <w:pPr>
        <w:tabs>
          <w:tab w:val="num" w:pos="360"/>
        </w:tabs>
        <w:ind w:start="360" w:hanging="360"/>
      </w:pPr>
    </w:lvl>
  </w:abstractNum>
  <w:abstractNum w:abstractNumId="17">
    <w:lvl w:ilvl="0">
      <w:start w:val="1"/>
      <w:numFmt w:val="decimal"/>
      <w:lvlText w:val="%1."/>
      <w:lvlJc w:val="start"/>
      <w:pPr>
        <w:tabs>
          <w:tab w:val="num" w:pos="720"/>
        </w:tabs>
        <w:ind w:start="720" w:hanging="360"/>
      </w:pPr>
      <w:rPr/>
    </w:lvl>
  </w:abstractNum>
  <w:abstractNum w:abstractNumId="18">
    <w:lvl w:ilvl="0">
      <w:start w:val="1"/>
      <w:numFmt w:val="bullet"/>
      <w:lvlText w:val=""/>
      <w:lvlJc w:val="start"/>
      <w:pPr>
        <w:tabs>
          <w:tab w:val="num" w:pos="1080"/>
        </w:tabs>
        <w:ind w:start="1080" w:hanging="360"/>
      </w:pPr>
      <w:rPr>
        <w:rFonts w:ascii="Symbol" w:hAnsi="Symbol" w:cs="Symbol" w:hint="default"/>
        <w:sz w:val="20"/>
        <w:szCs w:val="20"/>
      </w:rPr>
    </w:lvl>
  </w:abstractNum>
  <w:abstractNum w:abstractNumId="19">
    <w:lvl w:ilvl="0">
      <w:start w:val="1"/>
      <w:numFmt w:val="decimal"/>
      <w:lvlText w:val="%1."/>
      <w:lvlJc w:val="start"/>
      <w:pPr>
        <w:tabs>
          <w:tab w:val="num" w:pos="720"/>
        </w:tabs>
        <w:ind w:start="720" w:hanging="360"/>
      </w:pPr>
      <w:rPr>
        <w:color w:val="000000"/>
      </w:rPr>
    </w:lvl>
  </w:abstractNum>
  <w:abstractNum w:abstractNumId="20">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widowControl w:val="false"/>
      <w:numPr>
        <w:ilvl w:val="0"/>
        <w:numId w:val="1"/>
      </w:numPr>
      <w:autoSpaceDE w:val="false"/>
      <w:jc w:val="center"/>
      <w:outlineLvl w:val="0"/>
    </w:pPr>
    <w:rPr>
      <w:b/>
      <w:bCs/>
      <w:sz w:val="36"/>
      <w:szCs w:val="36"/>
    </w:rPr>
  </w:style>
  <w:style w:type="paragraph" w:styleId="Heading2">
    <w:name w:val="heading 2"/>
    <w:basedOn w:val="Normal"/>
    <w:next w:val="Normal"/>
    <w:qFormat/>
    <w:pPr>
      <w:keepNext w:val="true"/>
      <w:widowControl w:val="false"/>
      <w:numPr>
        <w:ilvl w:val="1"/>
        <w:numId w:val="1"/>
      </w:numPr>
      <w:autoSpaceDE w:val="false"/>
      <w:outlineLvl w:val="1"/>
    </w:pPr>
    <w:rPr>
      <w:b/>
      <w:bCs/>
    </w:rPr>
  </w:style>
  <w:style w:type="paragraph" w:styleId="Heading3">
    <w:name w:val="heading 3"/>
    <w:basedOn w:val="Normal"/>
    <w:next w:val="Normal"/>
    <w:qFormat/>
    <w:pPr>
      <w:keepNext w:val="true"/>
      <w:numPr>
        <w:ilvl w:val="2"/>
        <w:numId w:val="1"/>
      </w:numPr>
      <w:autoSpaceDE w:val="false"/>
      <w:outlineLvl w:val="2"/>
    </w:pPr>
    <w:rPr>
      <w:rFonts w:ascii="Arial" w:hAnsi="Arial" w:cs="Arial"/>
      <w:b/>
      <w:bCs/>
      <w:color w:val="000000"/>
      <w:sz w:val="36"/>
      <w:szCs w:val="36"/>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1z0">
    <w:name w:val="WW8Num11z0"/>
    <w:qFormat/>
    <w:rPr>
      <w:rFonts w:ascii="Symbol" w:hAnsi="Symbol" w:cs="Times New Roman"/>
    </w:rPr>
  </w:style>
  <w:style w:type="character" w:styleId="WW8Num13z0">
    <w:name w:val="WW8Num13z0"/>
    <w:qFormat/>
    <w:rPr/>
  </w:style>
  <w:style w:type="character" w:styleId="WW8Num14z0">
    <w:name w:val="WW8Num14z0"/>
    <w:qFormat/>
    <w:rPr>
      <w:rFonts w:ascii="Symbol" w:hAnsi="Symbol" w:cs="Times New Roman"/>
      <w:sz w:val="20"/>
      <w:szCs w:val="2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Times New Roman"/>
    </w:rPr>
  </w:style>
  <w:style w:type="character" w:styleId="WW8Num14z3">
    <w:name w:val="WW8Num14z3"/>
    <w:qFormat/>
    <w:rPr>
      <w:rFonts w:ascii="Symbol" w:hAnsi="Symbol" w:cs="Times New Roman"/>
    </w:rPr>
  </w:style>
  <w:style w:type="character" w:styleId="WW8Num15z0">
    <w:name w:val="WW8Num15z0"/>
    <w:qFormat/>
    <w:rPr/>
  </w:style>
  <w:style w:type="character" w:styleId="WW8Num16z0">
    <w:name w:val="WW8Num16z0"/>
    <w:qFormat/>
    <w:rPr>
      <w:rFonts w:ascii="Symbol" w:hAnsi="Symbol"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Times New Roman"/>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3z0">
    <w:name w:val="WW8Num23z0"/>
    <w:qFormat/>
    <w:rPr/>
  </w:style>
  <w:style w:type="character" w:styleId="WW8Num24z0">
    <w:name w:val="WW8Num24z0"/>
    <w:qFormat/>
    <w:rPr>
      <w:rFonts w:ascii="Symbol" w:hAnsi="Symbol" w:cs="Times New Roman"/>
      <w:sz w:val="20"/>
      <w:szCs w:val="2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Times New Roman"/>
    </w:rPr>
  </w:style>
  <w:style w:type="character" w:styleId="WW8Num24z3">
    <w:name w:val="WW8Num24z3"/>
    <w:qFormat/>
    <w:rPr>
      <w:rFonts w:ascii="Symbol" w:hAnsi="Symbol" w:cs="Times New Roman"/>
    </w:rPr>
  </w:style>
  <w:style w:type="character" w:styleId="WW8Num25z0">
    <w:name w:val="WW8Num25z0"/>
    <w:qFormat/>
    <w:rPr/>
  </w:style>
  <w:style w:type="character" w:styleId="WW8Num26z0">
    <w:name w:val="WW8Num26z0"/>
    <w:qFormat/>
    <w:rPr>
      <w:rFonts w:ascii="Symbol" w:hAnsi="Symbol" w:cs="Times New Roman"/>
    </w:rPr>
  </w:style>
  <w:style w:type="character" w:styleId="WW8Num26z1">
    <w:name w:val="WW8Num26z1"/>
    <w:qFormat/>
    <w:rPr>
      <w:rFonts w:ascii="Courier New" w:hAnsi="Courier New" w:cs="Courier New"/>
    </w:rPr>
  </w:style>
  <w:style w:type="character" w:styleId="WW8Num26z2">
    <w:name w:val="WW8Num26z2"/>
    <w:qFormat/>
    <w:rPr>
      <w:rFonts w:ascii="Wingdings" w:hAnsi="Wingdings" w:cs="Times New Roman"/>
    </w:rPr>
  </w:style>
  <w:style w:type="character" w:styleId="WW8Num27z0">
    <w:name w:val="WW8Num27z0"/>
    <w:qFormat/>
    <w:rPr>
      <w:rFonts w:ascii="Symbol" w:hAnsi="Symbol"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Times New Roman"/>
    </w:rPr>
  </w:style>
  <w:style w:type="character" w:styleId="WW8Num28z0">
    <w:name w:val="WW8Num28z0"/>
    <w:qFormat/>
    <w:rPr/>
  </w:style>
  <w:style w:type="character" w:styleId="WW8Num29z0">
    <w:name w:val="WW8Num29z0"/>
    <w:qFormat/>
    <w:rPr>
      <w:rFonts w:ascii="Symbol" w:hAnsi="Symbol" w:cs="Times New Roman"/>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rFonts w:ascii="Symbol" w:hAnsi="Symbol" w:cs="Times New Roman"/>
      <w:sz w:val="20"/>
      <w:szCs w:val="20"/>
    </w:rPr>
  </w:style>
  <w:style w:type="character" w:styleId="WW8Num34z1">
    <w:name w:val="WW8Num34z1"/>
    <w:qFormat/>
    <w:rPr>
      <w:rFonts w:ascii="Courier New" w:hAnsi="Courier New" w:cs="Courier New"/>
    </w:rPr>
  </w:style>
  <w:style w:type="character" w:styleId="WW8Num34z2">
    <w:name w:val="WW8Num34z2"/>
    <w:qFormat/>
    <w:rPr>
      <w:rFonts w:ascii="Wingdings" w:hAnsi="Wingdings" w:cs="Times New Roman"/>
    </w:rPr>
  </w:style>
  <w:style w:type="character" w:styleId="WW8Num34z3">
    <w:name w:val="WW8Num34z3"/>
    <w:qFormat/>
    <w:rPr>
      <w:rFonts w:ascii="Symbol" w:hAnsi="Symbol" w:cs="Times New Roman"/>
    </w:rPr>
  </w:style>
  <w:style w:type="character" w:styleId="WW8Num35z0">
    <w:name w:val="WW8Num35z0"/>
    <w:qFormat/>
    <w:rPr/>
  </w:style>
  <w:style w:type="character" w:styleId="WW8Num36z0">
    <w:name w:val="WW8Num36z0"/>
    <w:qFormat/>
    <w:rPr>
      <w:rFonts w:ascii="Symbol" w:hAnsi="Symbol" w:cs="Times New Roman"/>
      <w:sz w:val="20"/>
      <w:szCs w:val="20"/>
    </w:rPr>
  </w:style>
  <w:style w:type="character" w:styleId="WW8Num36z1">
    <w:name w:val="WW8Num36z1"/>
    <w:qFormat/>
    <w:rPr>
      <w:rFonts w:ascii="Courier New" w:hAnsi="Courier New" w:cs="Courier New"/>
    </w:rPr>
  </w:style>
  <w:style w:type="character" w:styleId="WW8Num36z2">
    <w:name w:val="WW8Num36z2"/>
    <w:qFormat/>
    <w:rPr>
      <w:rFonts w:ascii="Wingdings" w:hAnsi="Wingdings" w:cs="Times New Roman"/>
    </w:rPr>
  </w:style>
  <w:style w:type="character" w:styleId="WW8Num36z3">
    <w:name w:val="WW8Num36z3"/>
    <w:qFormat/>
    <w:rPr>
      <w:rFonts w:ascii="Symbol" w:hAnsi="Symbol" w:cs="Times New Roman"/>
    </w:rPr>
  </w:style>
  <w:style w:type="character" w:styleId="WW8Num38z0">
    <w:name w:val="WW8Num38z0"/>
    <w:qFormat/>
    <w:rPr/>
  </w:style>
  <w:style w:type="character" w:styleId="WW8Num38z1">
    <w:name w:val="WW8Num38z1"/>
    <w:qFormat/>
    <w:rPr>
      <w:rFonts w:ascii="Symbol" w:hAnsi="Symbol" w:cs="Times New Roman"/>
    </w:rPr>
  </w:style>
  <w:style w:type="character" w:styleId="WW8Num40z0">
    <w:name w:val="WW8Num40z0"/>
    <w:qFormat/>
    <w:rPr>
      <w:rFonts w:ascii="Symbol" w:hAnsi="Symbol" w:cs="Times New Roman"/>
    </w:rPr>
  </w:style>
  <w:style w:type="character" w:styleId="WW8Num40z1">
    <w:name w:val="WW8Num40z1"/>
    <w:qFormat/>
    <w:rPr>
      <w:rFonts w:ascii="Courier New" w:hAnsi="Courier New" w:cs="Courier New"/>
    </w:rPr>
  </w:style>
  <w:style w:type="character" w:styleId="WW8Num40z2">
    <w:name w:val="WW8Num40z2"/>
    <w:qFormat/>
    <w:rPr>
      <w:rFonts w:ascii="Wingdings" w:hAnsi="Wingdings" w:cs="Times New Roman"/>
    </w:rPr>
  </w:style>
  <w:style w:type="character" w:styleId="WW8Num41z0">
    <w:name w:val="WW8Num41z0"/>
    <w:qFormat/>
    <w:rPr>
      <w:rFonts w:ascii="Symbol" w:hAnsi="Symbol" w:cs="Times New Roman"/>
      <w:sz w:val="20"/>
      <w:szCs w:val="20"/>
    </w:rPr>
  </w:style>
  <w:style w:type="character" w:styleId="WW8Num41z1">
    <w:name w:val="WW8Num41z1"/>
    <w:qFormat/>
    <w:rPr>
      <w:rFonts w:ascii="Courier New" w:hAnsi="Courier New" w:cs="Courier New"/>
    </w:rPr>
  </w:style>
  <w:style w:type="character" w:styleId="WW8Num41z2">
    <w:name w:val="WW8Num41z2"/>
    <w:qFormat/>
    <w:rPr>
      <w:rFonts w:ascii="Wingdings" w:hAnsi="Wingdings" w:cs="Times New Roman"/>
    </w:rPr>
  </w:style>
  <w:style w:type="character" w:styleId="WW8Num41z3">
    <w:name w:val="WW8Num41z3"/>
    <w:qFormat/>
    <w:rPr>
      <w:rFonts w:ascii="Symbol" w:hAnsi="Symbol" w:cs="Times New Roman"/>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Times New Roman"/>
    </w:rPr>
  </w:style>
  <w:style w:type="character" w:styleId="WW8Num44z1">
    <w:name w:val="WW8Num44z1"/>
    <w:qFormat/>
    <w:rPr>
      <w:rFonts w:ascii="Courier New" w:hAnsi="Courier New" w:cs="Courier New"/>
    </w:rPr>
  </w:style>
  <w:style w:type="character" w:styleId="WW8Num44z2">
    <w:name w:val="WW8Num44z2"/>
    <w:qFormat/>
    <w:rPr>
      <w:rFonts w:ascii="Wingdings" w:hAnsi="Wingdings" w:cs="Times New Roman"/>
    </w:rPr>
  </w:style>
  <w:style w:type="character" w:styleId="WW8Num46z0">
    <w:name w:val="WW8Num46z0"/>
    <w:qFormat/>
    <w:rPr>
      <w:rFonts w:ascii="Symbol" w:hAnsi="Symbol" w:cs="Times New Roman"/>
      <w:sz w:val="20"/>
      <w:szCs w:val="20"/>
    </w:rPr>
  </w:style>
  <w:style w:type="character" w:styleId="WW8Num46z1">
    <w:name w:val="WW8Num46z1"/>
    <w:qFormat/>
    <w:rPr>
      <w:rFonts w:ascii="Courier New" w:hAnsi="Courier New" w:cs="Courier New"/>
    </w:rPr>
  </w:style>
  <w:style w:type="character" w:styleId="WW8Num46z2">
    <w:name w:val="WW8Num46z2"/>
    <w:qFormat/>
    <w:rPr>
      <w:rFonts w:ascii="Wingdings" w:hAnsi="Wingdings" w:cs="Times New Roman"/>
    </w:rPr>
  </w:style>
  <w:style w:type="character" w:styleId="WW8Num46z3">
    <w:name w:val="WW8Num46z3"/>
    <w:qFormat/>
    <w:rPr>
      <w:rFonts w:ascii="Symbol" w:hAnsi="Symbol" w:cs="Times New Roman"/>
    </w:rPr>
  </w:style>
  <w:style w:type="character" w:styleId="WW8Num48z0">
    <w:name w:val="WW8Num48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rFonts w:ascii="Symbol" w:hAnsi="Symbol" w:cs="Times New Roman"/>
    </w:rPr>
  </w:style>
  <w:style w:type="character" w:styleId="WW8Num53z1">
    <w:name w:val="WW8Num53z1"/>
    <w:qFormat/>
    <w:rPr>
      <w:rFonts w:ascii="Courier New" w:hAnsi="Courier New" w:cs="Courier New"/>
    </w:rPr>
  </w:style>
  <w:style w:type="character" w:styleId="WW8Num53z2">
    <w:name w:val="WW8Num53z2"/>
    <w:qFormat/>
    <w:rPr>
      <w:rFonts w:ascii="Wingdings" w:hAnsi="Wingdings" w:cs="Times New Roman"/>
    </w:rPr>
  </w:style>
  <w:style w:type="character" w:styleId="WW8Num54z0">
    <w:name w:val="WW8Num54z0"/>
    <w:qFormat/>
    <w:rPr>
      <w:rFonts w:ascii="Symbol" w:hAnsi="Symbol" w:cs="Times New Roman"/>
      <w:sz w:val="20"/>
      <w:szCs w:val="20"/>
    </w:rPr>
  </w:style>
  <w:style w:type="character" w:styleId="WW8Num54z1">
    <w:name w:val="WW8Num54z1"/>
    <w:qFormat/>
    <w:rPr>
      <w:rFonts w:ascii="Courier New" w:hAnsi="Courier New" w:cs="Courier New"/>
    </w:rPr>
  </w:style>
  <w:style w:type="character" w:styleId="WW8Num54z2">
    <w:name w:val="WW8Num54z2"/>
    <w:qFormat/>
    <w:rPr>
      <w:rFonts w:ascii="Wingdings" w:hAnsi="Wingdings" w:cs="Times New Roman"/>
    </w:rPr>
  </w:style>
  <w:style w:type="character" w:styleId="WW8Num54z3">
    <w:name w:val="WW8Num54z3"/>
    <w:qFormat/>
    <w:rPr>
      <w:rFonts w:ascii="Symbol" w:hAnsi="Symbol" w:cs="Times New Roman"/>
    </w:rPr>
  </w:style>
  <w:style w:type="character" w:styleId="WW8Num55z0">
    <w:name w:val="WW8Num55z0"/>
    <w:qFormat/>
    <w:rPr/>
  </w:style>
  <w:style w:type="character" w:styleId="WW8Num56z0">
    <w:name w:val="WW8Num56z0"/>
    <w:qFormat/>
    <w:rPr>
      <w:rFonts w:ascii="Symbol" w:hAnsi="Symbol" w:cs="Times New Roman"/>
      <w:sz w:val="20"/>
      <w:szCs w:val="20"/>
    </w:rPr>
  </w:style>
  <w:style w:type="character" w:styleId="WW8Num56z1">
    <w:name w:val="WW8Num56z1"/>
    <w:qFormat/>
    <w:rPr>
      <w:rFonts w:ascii="Courier New" w:hAnsi="Courier New" w:cs="Courier New"/>
    </w:rPr>
  </w:style>
  <w:style w:type="character" w:styleId="WW8Num56z2">
    <w:name w:val="WW8Num56z2"/>
    <w:qFormat/>
    <w:rPr>
      <w:rFonts w:ascii="Wingdings" w:hAnsi="Wingdings" w:cs="Times New Roman"/>
    </w:rPr>
  </w:style>
  <w:style w:type="character" w:styleId="WW8Num56z3">
    <w:name w:val="WW8Num56z3"/>
    <w:qFormat/>
    <w:rPr>
      <w:rFonts w:ascii="Symbol" w:hAnsi="Symbol" w:cs="Times New Roman"/>
    </w:rPr>
  </w:style>
  <w:style w:type="character" w:styleId="WW8Num57z0">
    <w:name w:val="WW8Num57z0"/>
    <w:qFormat/>
    <w:rPr>
      <w:color w:val="000000"/>
    </w:rPr>
  </w:style>
  <w:style w:type="character" w:styleId="WW8Num58z0">
    <w:name w:val="WW8Num58z0"/>
    <w:qFormat/>
    <w:rPr/>
  </w:style>
  <w:style w:type="character" w:styleId="WW8Num59z0">
    <w:name w:val="WW8Num59z0"/>
    <w:qFormat/>
    <w:rPr/>
  </w:style>
  <w:style w:type="character" w:styleId="WW8Num59z1">
    <w:name w:val="WW8Num59z1"/>
    <w:qFormat/>
    <w:rPr>
      <w:rFonts w:ascii="Symbol" w:hAnsi="Symbol" w:cs="Times New Roman"/>
    </w:rPr>
  </w:style>
  <w:style w:type="character" w:styleId="WW8Num60z0">
    <w:name w:val="WW8Num60z0"/>
    <w:qFormat/>
    <w:rPr>
      <w:rFonts w:ascii="Symbol" w:hAnsi="Symbol" w:cs="Times New Roman"/>
    </w:rPr>
  </w:style>
  <w:style w:type="character" w:styleId="WW8Num61z0">
    <w:name w:val="WW8Num6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VEBoldUnderline">
    <w:name w:val="VE Bold Underline"/>
    <w:basedOn w:val="DefaultParagraphFont"/>
    <w:qFormat/>
    <w:rPr>
      <w:b/>
      <w:bCs/>
      <w:u w:val="single"/>
    </w:rPr>
  </w:style>
  <w:style w:type="character" w:styleId="VEBold">
    <w:name w:val="VE Bold"/>
    <w:basedOn w:val="DefaultParagraphFont"/>
    <w:qFormat/>
    <w:rPr>
      <w:b/>
      <w:bCs/>
    </w:rPr>
  </w:style>
  <w:style w:type="character" w:styleId="VEUnderline">
    <w:name w:val="VE Underline"/>
    <w:basedOn w:val="DefaultParagraphFont"/>
    <w:qFormat/>
    <w:rPr>
      <w:u w:val="single"/>
    </w:rPr>
  </w:style>
  <w:style w:type="character" w:styleId="VEDocumentInformation">
    <w:name w:val="VE Document Information"/>
    <w:basedOn w:val="DefaultParagraphFont"/>
    <w:qFormat/>
    <w:rPr>
      <w:sz w:val="16"/>
      <w:szCs w:val="16"/>
    </w:rPr>
  </w:style>
  <w:style w:type="paragraph" w:styleId="Heading">
    <w:name w:val="Heading"/>
    <w:basedOn w:val="Normal"/>
    <w:next w:val="BodyText"/>
    <w:qFormat/>
    <w:pPr>
      <w:jc w:val="center"/>
    </w:pPr>
    <w:rPr>
      <w:b/>
      <w:bCs/>
      <w:u w:val="single"/>
    </w:rPr>
  </w:style>
  <w:style w:type="paragraph" w:styleId="BodyText">
    <w:name w:val="Body Text"/>
    <w:basedOn w:val="Normal"/>
    <w:pPr>
      <w:autoSpaceDE w:val="false"/>
      <w:spacing w:lineRule="atLeast" w:line="240"/>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
    <w:name w:val="Body Text Indent"/>
    <w:basedOn w:val="Normal"/>
    <w:pPr>
      <w:ind w:hanging="0" w:start="360" w:end="0"/>
      <w:jc w:val="both"/>
    </w:pPr>
    <w:rPr>
      <w:color w:val="000000"/>
    </w:rPr>
  </w:style>
  <w:style w:type="paragraph" w:styleId="BodyTextIndent2">
    <w:name w:val="Body Text Indent 2"/>
    <w:basedOn w:val="Normal"/>
    <w:qFormat/>
    <w:pPr>
      <w:tabs>
        <w:tab w:val="clear" w:pos="720"/>
        <w:tab w:val="left" w:pos="1080" w:leader="none"/>
      </w:tabs>
      <w:ind w:hanging="0" w:start="360" w:end="0"/>
    </w:pPr>
    <w:rPr/>
  </w:style>
  <w:style w:type="paragraph" w:styleId="EndnoteText">
    <w:name w:val="endnote text"/>
    <w:basedOn w:val="Normal"/>
    <w:pPr/>
    <w:rPr>
      <w:rFonts w:ascii="Courier New" w:hAnsi="Courier New" w:cs="Courier New"/>
    </w:rPr>
  </w:style>
  <w:style w:type="paragraph" w:styleId="VENormal">
    <w:name w:val="VE Normal"/>
    <w:basedOn w:val="Normal"/>
    <w:qFormat/>
    <w:pPr>
      <w:jc w:val="both"/>
    </w:pPr>
    <w:rPr/>
  </w:style>
  <w:style w:type="paragraph" w:styleId="VE123List">
    <w:name w:val="VE 123 List"/>
    <w:basedOn w:val="VENormal"/>
    <w:qFormat/>
    <w:pPr>
      <w:numPr>
        <w:ilvl w:val="0"/>
        <w:numId w:val="6"/>
      </w:numPr>
      <w:tabs>
        <w:tab w:val="clear" w:pos="720"/>
        <w:tab w:val="left" w:pos="1440" w:leader="none"/>
      </w:tabs>
      <w:spacing w:before="0" w:after="240"/>
      <w:ind w:hanging="720" w:start="1440" w:end="0"/>
    </w:pPr>
    <w:rPr/>
  </w:style>
  <w:style w:type="paragraph" w:styleId="VEABCList">
    <w:name w:val="VE ABC List"/>
    <w:basedOn w:val="VENormal"/>
    <w:qFormat/>
    <w:pPr>
      <w:numPr>
        <w:ilvl w:val="0"/>
        <w:numId w:val="12"/>
      </w:numPr>
      <w:tabs>
        <w:tab w:val="clear" w:pos="720"/>
      </w:tabs>
      <w:spacing w:before="0" w:after="240"/>
      <w:ind w:hanging="720" w:start="1440" w:end="0"/>
    </w:pPr>
    <w:rPr/>
  </w:style>
  <w:style w:type="paragraph" w:styleId="VETable123">
    <w:name w:val="VE Table 123"/>
    <w:basedOn w:val="VENormal"/>
    <w:qFormat/>
    <w:pPr>
      <w:numPr>
        <w:ilvl w:val="0"/>
        <w:numId w:val="7"/>
      </w:numPr>
      <w:tabs>
        <w:tab w:val="clear" w:pos="720"/>
      </w:tabs>
    </w:pPr>
    <w:rPr/>
  </w:style>
  <w:style w:type="paragraph" w:styleId="VETableABC">
    <w:name w:val="VE Table ABC"/>
    <w:basedOn w:val="VENormal"/>
    <w:qFormat/>
    <w:pPr>
      <w:numPr>
        <w:ilvl w:val="0"/>
        <w:numId w:val="8"/>
      </w:numPr>
      <w:tabs>
        <w:tab w:val="clear" w:pos="720"/>
      </w:tabs>
    </w:pPr>
    <w:rPr/>
  </w:style>
  <w:style w:type="paragraph" w:styleId="VEBodyText">
    <w:name w:val="VE Body Text"/>
    <w:basedOn w:val="VENormal"/>
    <w:qFormat/>
    <w:pPr>
      <w:spacing w:before="0" w:after="240"/>
    </w:pPr>
    <w:rPr/>
  </w:style>
  <w:style w:type="paragraph" w:styleId="FootnoteText">
    <w:name w:val="footnote text"/>
    <w:basedOn w:val="Normal"/>
    <w:pPr/>
    <w:rPr>
      <w:sz w:val="20"/>
      <w:szCs w:val="20"/>
    </w:rPr>
  </w:style>
  <w:style w:type="paragraph" w:styleId="xl24">
    <w:name w:val="xl24"/>
    <w:basedOn w:val="Normal"/>
    <w:qFormat/>
    <w:pPr>
      <w:spacing w:before="100" w:after="100"/>
      <w:jc w:val="center"/>
    </w:pPr>
    <w:rPr/>
  </w:style>
  <w:style w:type="paragraph" w:styleId="xl25">
    <w:name w:val="xl25"/>
    <w:basedOn w:val="Normal"/>
    <w:qFormat/>
    <w:pPr>
      <w:spacing w:before="100" w:after="100"/>
      <w:jc w:val="center"/>
    </w:pPr>
    <w:rPr>
      <w:rFonts w:ascii="Arial" w:hAnsi="Arial" w:cs="Arial"/>
      <w:b/>
      <w:bCs/>
    </w:rPr>
  </w:style>
  <w:style w:type="paragraph" w:styleId="xl26">
    <w:name w:val="xl26"/>
    <w:basedOn w:val="Normal"/>
    <w:qFormat/>
    <w:pPr>
      <w:spacing w:before="100" w:after="100"/>
      <w:jc w:val="center"/>
    </w:pPr>
    <w:rPr>
      <w:rFonts w:ascii="Arial" w:hAnsi="Arial" w:cs="Arial"/>
      <w:b/>
      <w:bCs/>
    </w:rPr>
  </w:style>
  <w:style w:type="paragraph" w:styleId="xl28">
    <w:name w:val="xl28"/>
    <w:basedOn w:val="Normal"/>
    <w:qFormat/>
    <w:pPr>
      <w:pBdr>
        <w:bottom w:val="single" w:sz="4" w:space="0" w:color="000000"/>
      </w:pBdr>
      <w:spacing w:before="100" w:after="100"/>
      <w:jc w:val="center"/>
    </w:pPr>
    <w:rPr>
      <w:rFonts w:ascii="Arial" w:hAnsi="Arial" w:cs="Arial"/>
      <w:b/>
      <w:bCs/>
    </w:rPr>
  </w:style>
  <w:style w:type="paragraph" w:styleId="xl30">
    <w:name w:val="xl30"/>
    <w:basedOn w:val="Normal"/>
    <w:qFormat/>
    <w:pPr>
      <w:spacing w:before="100" w:after="100"/>
      <w:jc w:val="center"/>
    </w:pPr>
    <w:rPr>
      <w:rFonts w:ascii="Arial" w:hAnsi="Arial" w:cs="Arial"/>
      <w:b/>
      <w:bCs/>
    </w:rPr>
  </w:style>
  <w:style w:type="paragraph" w:styleId="xl32">
    <w:name w:val="xl32"/>
    <w:basedOn w:val="Normal"/>
    <w:qFormat/>
    <w:pPr>
      <w:pBdr>
        <w:bottom w:val="single" w:sz="4" w:space="0" w:color="000000"/>
      </w:pBdr>
      <w:spacing w:before="100" w:after="100"/>
      <w:jc w:val="center"/>
    </w:pPr>
    <w:rPr>
      <w:rFonts w:ascii="Arial" w:hAnsi="Arial" w:cs="Arial"/>
      <w:b/>
      <w:bCs/>
    </w:rPr>
  </w:style>
  <w:style w:type="paragraph" w:styleId="xl33">
    <w:name w:val="xl33"/>
    <w:basedOn w:val="Normal"/>
    <w:qFormat/>
    <w:pPr>
      <w:spacing w:before="100" w:after="100"/>
    </w:pPr>
    <w:rPr>
      <w:rFonts w:ascii="Arial" w:hAnsi="Arial" w:cs="Arial"/>
      <w:b/>
      <w:bCs/>
      <w:i/>
      <w:iCs/>
    </w:rPr>
  </w:style>
  <w:style w:type="paragraph" w:styleId="xl34">
    <w:name w:val="xl34"/>
    <w:basedOn w:val="Normal"/>
    <w:qFormat/>
    <w:pPr>
      <w:spacing w:before="100" w:after="100"/>
    </w:pPr>
    <w:rPr>
      <w:rFonts w:ascii="Arial" w:hAnsi="Arial" w:cs="Arial"/>
      <w:b/>
      <w:bCs/>
    </w:rPr>
  </w:style>
  <w:style w:type="paragraph" w:styleId="xl35">
    <w:name w:val="xl35"/>
    <w:basedOn w:val="Normal"/>
    <w:qFormat/>
    <w:pPr>
      <w:spacing w:before="100" w:after="100"/>
    </w:pPr>
    <w:rPr>
      <w:rFonts w:ascii="Arial" w:hAnsi="Arial" w:cs="Arial"/>
      <w:b/>
      <w:bCs/>
    </w:rPr>
  </w:style>
  <w:style w:type="paragraph" w:styleId="xl36">
    <w:name w:val="xl36"/>
    <w:basedOn w:val="Normal"/>
    <w:qFormat/>
    <w:pPr>
      <w:spacing w:before="100" w:after="100"/>
    </w:pPr>
    <w:rPr>
      <w:rFonts w:ascii="Arial" w:hAnsi="Arial" w:cs="Arial"/>
      <w:b/>
      <w:bCs/>
    </w:rPr>
  </w:style>
  <w:style w:type="paragraph" w:styleId="xl37">
    <w:name w:val="xl37"/>
    <w:basedOn w:val="Normal"/>
    <w:qFormat/>
    <w:pPr>
      <w:spacing w:before="100" w:after="100"/>
    </w:pPr>
    <w:rPr>
      <w:rFonts w:ascii="Arial" w:hAnsi="Arial" w:cs="Arial"/>
    </w:rPr>
  </w:style>
  <w:style w:type="paragraph" w:styleId="xl38">
    <w:name w:val="xl38"/>
    <w:basedOn w:val="Normal"/>
    <w:qFormat/>
    <w:pPr>
      <w:spacing w:before="100" w:after="100"/>
    </w:pPr>
    <w:rPr>
      <w:rFonts w:ascii="Arial" w:hAnsi="Arial" w:cs="Arial"/>
    </w:rPr>
  </w:style>
  <w:style w:type="paragraph" w:styleId="xl39">
    <w:name w:val="xl39"/>
    <w:basedOn w:val="Normal"/>
    <w:qFormat/>
    <w:pPr>
      <w:spacing w:before="100" w:after="100"/>
    </w:pPr>
    <w:rPr>
      <w:rFonts w:ascii="Arial" w:hAnsi="Arial" w:cs="Arial"/>
    </w:rPr>
  </w:style>
  <w:style w:type="paragraph" w:styleId="xl40">
    <w:name w:val="xl40"/>
    <w:basedOn w:val="Normal"/>
    <w:qFormat/>
    <w:pPr>
      <w:spacing w:before="100" w:after="100"/>
    </w:pPr>
    <w:rPr>
      <w:rFonts w:ascii="Arial" w:hAnsi="Arial" w:cs="Arial"/>
    </w:rPr>
  </w:style>
  <w:style w:type="paragraph" w:styleId="xl41">
    <w:name w:val="xl41"/>
    <w:basedOn w:val="Normal"/>
    <w:qFormat/>
    <w:pPr>
      <w:spacing w:before="100" w:after="100"/>
      <w:jc w:val="center"/>
    </w:pPr>
    <w:rPr>
      <w:rFonts w:ascii="Arial" w:hAnsi="Arial" w:cs="Arial"/>
    </w:rPr>
  </w:style>
  <w:style w:type="paragraph" w:styleId="xl27">
    <w:name w:val="xl27"/>
    <w:basedOn w:val="Normal"/>
    <w:qFormat/>
    <w:pPr>
      <w:spacing w:before="100" w:after="100"/>
    </w:pPr>
    <w:rPr>
      <w:rFonts w:ascii="Arial" w:hAnsi="Arial" w:eastAsia="Arial Unicode MS;Tahoma" w:cs="Arial"/>
      <w:b/>
      <w:bCs/>
    </w:rPr>
  </w:style>
  <w:style w:type="paragraph" w:styleId="xl29">
    <w:name w:val="xl29"/>
    <w:basedOn w:val="Normal"/>
    <w:qFormat/>
    <w:pPr>
      <w:pBdr>
        <w:top w:val="single" w:sz="4" w:space="0" w:color="000000"/>
        <w:bottom w:val="double" w:sz="6" w:space="0" w:color="000000"/>
      </w:pBdr>
      <w:spacing w:before="100" w:after="100"/>
    </w:pPr>
    <w:rPr>
      <w:rFonts w:ascii="Arial" w:hAnsi="Arial" w:eastAsia="Arial Unicode MS;Tahoma" w:cs="Arial"/>
      <w:b/>
      <w:bCs/>
    </w:rPr>
  </w:style>
  <w:style w:type="paragraph" w:styleId="xl42">
    <w:name w:val="xl42"/>
    <w:basedOn w:val="Normal"/>
    <w:qFormat/>
    <w:pPr>
      <w:pBdr>
        <w:top w:val="single" w:sz="4" w:space="0" w:color="000000"/>
        <w:bottom w:val="single" w:sz="4" w:space="0" w:color="000000"/>
      </w:pBdr>
      <w:spacing w:before="100" w:after="100"/>
    </w:pPr>
    <w:rPr>
      <w:rFonts w:ascii="Arial" w:hAnsi="Arial" w:eastAsia="Arial Unicode MS;Tahoma" w:cs="Arial"/>
      <w:b/>
      <w:bCs/>
    </w:rPr>
  </w:style>
  <w:style w:type="paragraph" w:styleId="xl31">
    <w:name w:val="xl31"/>
    <w:basedOn w:val="Normal"/>
    <w:qFormat/>
    <w:pPr>
      <w:pBdr>
        <w:top w:val="single" w:sz="4" w:space="0" w:color="000000"/>
        <w:bottom w:val="double" w:sz="6" w:space="0" w:color="000000"/>
      </w:pBdr>
      <w:spacing w:before="100" w:after="100"/>
    </w:pPr>
    <w:rPr>
      <w:rFonts w:ascii="Arial" w:hAnsi="Arial" w:eastAsia="Arial Unicode MS;Tahoma" w:cs="Arial"/>
      <w:b/>
      <w:bCs/>
    </w:rPr>
  </w:style>
  <w:style w:type="paragraph" w:styleId="xl44">
    <w:name w:val="xl44"/>
    <w:basedOn w:val="Normal"/>
    <w:qFormat/>
    <w:pPr>
      <w:pBdr>
        <w:top w:val="single" w:sz="4" w:space="0" w:color="000000"/>
        <w:bottom w:val="single" w:sz="4" w:space="0" w:color="000000"/>
      </w:pBdr>
      <w:spacing w:before="100" w:after="100"/>
    </w:pPr>
    <w:rPr>
      <w:rFonts w:ascii="Arial" w:hAnsi="Arial" w:eastAsia="Arial Unicode MS;Tahoma" w:cs="Arial"/>
      <w:b/>
      <w:bCs/>
    </w:rPr>
  </w:style>
  <w:style w:type="paragraph" w:styleId="xl45">
    <w:name w:val="xl45"/>
    <w:basedOn w:val="Normal"/>
    <w:qFormat/>
    <w:pPr>
      <w:spacing w:before="100" w:after="100"/>
      <w:jc w:val="center"/>
    </w:pPr>
    <w:rPr>
      <w:rFonts w:ascii="Arial" w:hAnsi="Arial" w:eastAsia="Arial Unicode MS;Tahoma" w:cs="Arial"/>
      <w:b/>
      <w:bCs/>
    </w:rPr>
  </w:style>
  <w:style w:type="paragraph" w:styleId="VEBodyTextDoubleFLI">
    <w:name w:val="VE Body Text Double FLI"/>
    <w:basedOn w:val="VENormal"/>
    <w:qFormat/>
    <w:pPr>
      <w:spacing w:lineRule="auto" w:line="480" w:before="0" w:after="24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footer" Target="footer8.xml"/><Relationship Id="rId11" Type="http://schemas.openxmlformats.org/officeDocument/2006/relationships/footer" Target="footer9.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oter" Target="footer12.xml"/><Relationship Id="rId19" Type="http://schemas.openxmlformats.org/officeDocument/2006/relationships/footer" Target="footer13.xml"/><Relationship Id="rId20" Type="http://schemas.openxmlformats.org/officeDocument/2006/relationships/header" Target="header6.xml"/><Relationship Id="rId21" Type="http://schemas.openxmlformats.org/officeDocument/2006/relationships/header" Target="header7.xml"/><Relationship Id="rId22" Type="http://schemas.openxmlformats.org/officeDocument/2006/relationships/footer" Target="footer14.xml"/><Relationship Id="rId23" Type="http://schemas.openxmlformats.org/officeDocument/2006/relationships/footer" Target="footer15.xml"/><Relationship Id="rId24" Type="http://schemas.openxmlformats.org/officeDocument/2006/relationships/header" Target="header8.xml"/><Relationship Id="rId25" Type="http://schemas.openxmlformats.org/officeDocument/2006/relationships/header" Target="header9.xml"/><Relationship Id="rId26" Type="http://schemas.openxmlformats.org/officeDocument/2006/relationships/footer" Target="footer16.xml"/><Relationship Id="rId27" Type="http://schemas.openxmlformats.org/officeDocument/2006/relationships/footer" Target="footer17.xml"/><Relationship Id="rId28" Type="http://schemas.openxmlformats.org/officeDocument/2006/relationships/header" Target="header10.xml"/><Relationship Id="rId29" Type="http://schemas.openxmlformats.org/officeDocument/2006/relationships/header" Target="header11.xml"/><Relationship Id="rId30" Type="http://schemas.openxmlformats.org/officeDocument/2006/relationships/footer" Target="footer18.xml"/><Relationship Id="rId31" Type="http://schemas.openxmlformats.org/officeDocument/2006/relationships/footer" Target="footer19.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2001-05-29T18:08:00Z</dcterms:created>
  <dc:creator>Ken Fenelon</dc:creator>
  <dc:description/>
  <dc:language>en-CA</dc:language>
  <cp:lastModifiedBy>VE</cp:lastModifiedBy>
  <cp:lastPrinted>2001-05-29T15:19:00Z</cp:lastPrinted>
  <dcterms:modified xsi:type="dcterms:W3CDTF">2001-05-29T18:08:00Z</dcterms:modified>
  <cp:revision>2</cp:revision>
  <dc:subject/>
  <dc:title>PURCHASE AND SALE AGREEMENT</dc:title>
</cp:coreProperties>
</file>