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1106805</wp:posOffset>
                </wp:positionH>
                <wp:positionV relativeFrom="page">
                  <wp:posOffset>915035</wp:posOffset>
                </wp:positionV>
                <wp:extent cx="5440680" cy="3765550"/>
                <wp:effectExtent l="0" t="0" r="0" b="0"/>
                <wp:wrapTopAndBottom/>
                <wp:docPr id="1" name="Frame1"/>
                <a:graphic xmlns:a="http://schemas.openxmlformats.org/drawingml/2006/main">
                  <a:graphicData uri="http://schemas.microsoft.com/office/word/2010/wordprocessingShape">
                    <wps:wsp>
                      <wps:cNvSpPr txBox="1"/>
                      <wps:spPr>
                        <a:xfrm>
                          <a:off x="0" y="0"/>
                          <a:ext cx="5440680" cy="3765550"/>
                        </a:xfrm>
                        <a:prstGeom prst="rect"/>
                        <a:solidFill>
                          <a:srgbClr val="FFFFFF">
                            <a:alpha val="0"/>
                          </a:srgbClr>
                        </a:solidFill>
                      </wps:spPr>
                      <wps:txbx>
                        <w:txbxContent>
                          <w:p>
                            <w:pPr>
                              <w:pStyle w:val="Normal"/>
                              <w:widowControl/>
                              <w:jc w:val="center"/>
                              <w:rPr/>
                            </w:pPr>
                            <w:r>
                              <w:rPr/>
                              <w:drawing>
                                <wp:inline distT="0" distB="0" distL="0" distR="0">
                                  <wp:extent cx="1403350" cy="139255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6" t="-26" r="-26" b="-26"/>
                                          <a:stretch>
                                            <a:fillRect/>
                                          </a:stretch>
                                        </pic:blipFill>
                                        <pic:spPr bwMode="auto">
                                          <a:xfrm>
                                            <a:off x="0" y="0"/>
                                            <a:ext cx="1403350" cy="1392555"/>
                                          </a:xfrm>
                                          <a:prstGeom prst="rect">
                                            <a:avLst/>
                                          </a:prstGeom>
                                          <a:noFill/>
                                        </pic:spPr>
                                      </pic:pic>
                                    </a:graphicData>
                                  </a:graphic>
                                </wp:inline>
                              </w:drawing>
                            </w:r>
                          </w:p>
                          <w:p>
                            <w:pPr>
                              <w:pStyle w:val="Normal"/>
                              <w:widowControl/>
                              <w:jc w:val="center"/>
                              <w:rPr>
                                <w:sz w:val="22"/>
                              </w:rPr>
                            </w:pPr>
                            <w:r>
                              <w:rPr>
                                <w:sz w:val="22"/>
                              </w:rPr>
                            </w:r>
                          </w:p>
                          <w:p>
                            <w:pPr>
                              <w:pStyle w:val="Normal"/>
                              <w:widowControl/>
                              <w:jc w:val="center"/>
                              <w:rPr>
                                <w:sz w:val="22"/>
                              </w:rPr>
                            </w:pPr>
                            <w:r>
                              <w:rPr>
                                <w:sz w:val="22"/>
                              </w:rPr>
                              <w:t>1400 Smith, Houston, TX  77002  Tel: (713) 853-3300  Fax [(713) 646-3490]</w:t>
                            </w:r>
                          </w:p>
                          <w:p>
                            <w:pPr>
                              <w:pStyle w:val="Normal"/>
                              <w:widowControl/>
                              <w:jc w:val="center"/>
                              <w:rPr>
                                <w:sz w:val="22"/>
                              </w:rPr>
                            </w:pPr>
                            <w:r>
                              <w:rPr>
                                <w:sz w:val="22"/>
                              </w:rPr>
                            </w:r>
                          </w:p>
                          <w:p>
                            <w:pPr>
                              <w:pStyle w:val="Caption"/>
                              <w:widowControl/>
                              <w:rPr>
                                <w:sz w:val="16"/>
                              </w:rPr>
                            </w:pPr>
                            <w:r>
                              <w:rPr/>
                              <w:t>CONFIRMATION</w:t>
                            </w:r>
                          </w:p>
                          <w:p>
                            <w:pPr>
                              <w:pStyle w:val="Normal"/>
                              <w:widowControl/>
                              <w:rPr>
                                <w:b/>
                                <w:sz w:val="16"/>
                              </w:rPr>
                            </w:pPr>
                            <w:r>
                              <w:rPr>
                                <w:b/>
                                <w:sz w:val="16"/>
                              </w:rPr>
                            </w:r>
                          </w:p>
                          <w:p>
                            <w:pPr>
                              <w:pStyle w:val="Normal"/>
                              <w:widowControl/>
                              <w:rPr>
                                <w:b/>
                              </w:rPr>
                            </w:pPr>
                            <w:r>
                              <w:rPr>
                                <w:b/>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widowControl/>
                                    <w:rPr/>
                                  </w:pPr>
                                  <w:r>
                                    <w:rPr/>
                                    <w:t>Date:</w:t>
                                  </w:r>
                                </w:p>
                              </w:tc>
                              <w:tc>
                                <w:tcPr>
                                  <w:tcW w:w="6498" w:type="dxa"/>
                                  <w:tcBorders/>
                                </w:tcPr>
                                <w:p>
                                  <w:pPr>
                                    <w:pStyle w:val="Normal"/>
                                    <w:widowControl/>
                                    <w:rPr/>
                                  </w:pPr>
                                  <w:r>
                                    <w:rPr/>
                                    <w:t>August [__], 2000</w:t>
                                  </w:r>
                                </w:p>
                                <w:p>
                                  <w:pPr>
                                    <w:pStyle w:val="Normal"/>
                                    <w:widowControl/>
                                    <w:rPr/>
                                  </w:pPr>
                                  <w:r>
                                    <w:rPr/>
                                  </w:r>
                                </w:p>
                              </w:tc>
                            </w:tr>
                            <w:tr>
                              <w:trPr/>
                              <w:tc>
                                <w:tcPr>
                                  <w:tcW w:w="2358" w:type="dxa"/>
                                  <w:tcBorders/>
                                </w:tcPr>
                                <w:p>
                                  <w:pPr>
                                    <w:pStyle w:val="Normal"/>
                                    <w:widowControl/>
                                    <w:rPr/>
                                  </w:pPr>
                                  <w:r>
                                    <w:rPr/>
                                    <w:t>To:</w:t>
                                  </w:r>
                                </w:p>
                              </w:tc>
                              <w:tc>
                                <w:tcPr>
                                  <w:tcW w:w="6498" w:type="dxa"/>
                                  <w:tcBorders/>
                                </w:tcPr>
                                <w:p>
                                  <w:pPr>
                                    <w:pStyle w:val="Normal"/>
                                    <w:widowControl/>
                                    <w:rPr/>
                                  </w:pPr>
                                  <w:r>
                                    <w:rPr/>
                                    <w:t>ENA CLO I Holding Company I L.P. ("</w:t>
                                  </w:r>
                                  <w:r>
                                    <w:rPr>
                                      <w:b/>
                                      <w:i/>
                                    </w:rPr>
                                    <w:t>Party B</w:t>
                                  </w:r>
                                  <w:r>
                                    <w:rPr/>
                                    <w:t>" or "</w:t>
                                  </w:r>
                                  <w:r>
                                    <w:rPr>
                                      <w:b/>
                                      <w:i/>
                                    </w:rPr>
                                    <w:t>Holding I</w:t>
                                  </w:r>
                                  <w:r>
                                    <w:rPr/>
                                    <w:t xml:space="preserve">") </w:t>
                                  </w:r>
                                </w:p>
                                <w:p>
                                  <w:pPr>
                                    <w:pStyle w:val="Normal"/>
                                    <w:widowControl/>
                                    <w:rPr/>
                                  </w:pPr>
                                  <w:r>
                                    <w:rPr/>
                                  </w:r>
                                </w:p>
                              </w:tc>
                            </w:tr>
                            <w:tr>
                              <w:trPr/>
                              <w:tc>
                                <w:tcPr>
                                  <w:tcW w:w="2358" w:type="dxa"/>
                                  <w:tcBorders/>
                                </w:tcPr>
                                <w:p>
                                  <w:pPr>
                                    <w:pStyle w:val="Normal"/>
                                    <w:widowControl/>
                                    <w:rPr/>
                                  </w:pPr>
                                  <w:r>
                                    <w:rPr/>
                                    <w:t>Attention:</w:t>
                                  </w:r>
                                </w:p>
                              </w:tc>
                              <w:tc>
                                <w:tcPr>
                                  <w:tcW w:w="6498" w:type="dxa"/>
                                  <w:tcBorders/>
                                </w:tcPr>
                                <w:p>
                                  <w:pPr>
                                    <w:pStyle w:val="Normal"/>
                                    <w:widowControl/>
                                    <w:rPr/>
                                  </w:pPr>
                                  <w:r>
                                    <w:rPr/>
                                    <w:t>[_______]</w:t>
                                  </w:r>
                                </w:p>
                                <w:p>
                                  <w:pPr>
                                    <w:pStyle w:val="Normal"/>
                                    <w:widowControl/>
                                    <w:rPr/>
                                  </w:pPr>
                                  <w:r>
                                    <w:rPr/>
                                  </w:r>
                                </w:p>
                              </w:tc>
                            </w:tr>
                            <w:tr>
                              <w:trPr/>
                              <w:tc>
                                <w:tcPr>
                                  <w:tcW w:w="2358" w:type="dxa"/>
                                  <w:tcBorders/>
                                </w:tcPr>
                                <w:p>
                                  <w:pPr>
                                    <w:pStyle w:val="Normal"/>
                                    <w:widowControl/>
                                    <w:rPr/>
                                  </w:pPr>
                                  <w:r>
                                    <w:rPr/>
                                    <w:t xml:space="preserve">From: </w:t>
                                  </w:r>
                                </w:p>
                              </w:tc>
                              <w:tc>
                                <w:tcPr>
                                  <w:tcW w:w="6498" w:type="dxa"/>
                                  <w:tcBorders/>
                                </w:tcPr>
                                <w:p>
                                  <w:pPr>
                                    <w:pStyle w:val="Normal"/>
                                    <w:widowControl/>
                                    <w:rPr/>
                                  </w:pPr>
                                  <w:r>
                                    <w:rPr/>
                                    <w:t>Enron Corp.  ("</w:t>
                                  </w:r>
                                  <w:r>
                                    <w:rPr>
                                      <w:b/>
                                      <w:i/>
                                    </w:rPr>
                                    <w:t>Party A</w:t>
                                  </w:r>
                                  <w:r>
                                    <w:rPr/>
                                    <w:t>")</w:t>
                                  </w:r>
                                </w:p>
                                <w:p>
                                  <w:pPr>
                                    <w:pStyle w:val="Normal"/>
                                    <w:widowControl/>
                                    <w:rPr/>
                                  </w:pPr>
                                  <w:r>
                                    <w:rPr/>
                                  </w:r>
                                </w:p>
                              </w:tc>
                            </w:tr>
                            <w:tr>
                              <w:trPr/>
                              <w:tc>
                                <w:tcPr>
                                  <w:tcW w:w="2358" w:type="dxa"/>
                                  <w:tcBorders/>
                                </w:tcPr>
                                <w:p>
                                  <w:pPr>
                                    <w:pStyle w:val="Normal"/>
                                    <w:widowControl/>
                                    <w:rPr/>
                                  </w:pPr>
                                  <w:r>
                                    <w:rPr/>
                                    <w:t xml:space="preserve">Re: </w:t>
                                  </w:r>
                                </w:p>
                              </w:tc>
                              <w:tc>
                                <w:tcPr>
                                  <w:tcW w:w="6498" w:type="dxa"/>
                                  <w:tcBorders/>
                                </w:tcPr>
                                <w:p>
                                  <w:pPr>
                                    <w:pStyle w:val="Normal"/>
                                    <w:widowControl/>
                                    <w:rPr/>
                                  </w:pPr>
                                  <w:r>
                                    <w:rPr/>
                                    <w:t>Option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6.5pt;mso-wrap-distance-left:9.35pt;mso-wrap-distance-right:9.35pt;mso-wrap-distance-top:0pt;mso-wrap-distance-bottom:0pt;margin-top:72.05pt;mso-position-vertical-relative:page;margin-left:87.15pt;mso-position-horizontal-relative:page">
                <v:fill opacity="0f"/>
                <v:textbox inset="0in,0in,0in,0in">
                  <w:txbxContent>
                    <w:p>
                      <w:pPr>
                        <w:pStyle w:val="Normal"/>
                        <w:widowControl/>
                        <w:jc w:val="center"/>
                        <w:rPr/>
                      </w:pPr>
                      <w:r>
                        <w:rPr/>
                        <w:drawing>
                          <wp:inline distT="0" distB="0" distL="0" distR="0">
                            <wp:extent cx="1403350" cy="139255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6" t="-26" r="-26" b="-26"/>
                                    <a:stretch>
                                      <a:fillRect/>
                                    </a:stretch>
                                  </pic:blipFill>
                                  <pic:spPr bwMode="auto">
                                    <a:xfrm>
                                      <a:off x="0" y="0"/>
                                      <a:ext cx="1403350" cy="1392555"/>
                                    </a:xfrm>
                                    <a:prstGeom prst="rect">
                                      <a:avLst/>
                                    </a:prstGeom>
                                    <a:noFill/>
                                  </pic:spPr>
                                </pic:pic>
                              </a:graphicData>
                            </a:graphic>
                          </wp:inline>
                        </w:drawing>
                      </w:r>
                    </w:p>
                    <w:p>
                      <w:pPr>
                        <w:pStyle w:val="Normal"/>
                        <w:widowControl/>
                        <w:jc w:val="center"/>
                        <w:rPr>
                          <w:sz w:val="22"/>
                        </w:rPr>
                      </w:pPr>
                      <w:r>
                        <w:rPr>
                          <w:sz w:val="22"/>
                        </w:rPr>
                      </w:r>
                    </w:p>
                    <w:p>
                      <w:pPr>
                        <w:pStyle w:val="Normal"/>
                        <w:widowControl/>
                        <w:jc w:val="center"/>
                        <w:rPr>
                          <w:sz w:val="22"/>
                        </w:rPr>
                      </w:pPr>
                      <w:r>
                        <w:rPr>
                          <w:sz w:val="22"/>
                        </w:rPr>
                        <w:t>1400 Smith, Houston, TX  77002  Tel: (713) 853-3300  Fax [(713) 646-3490]</w:t>
                      </w:r>
                    </w:p>
                    <w:p>
                      <w:pPr>
                        <w:pStyle w:val="Normal"/>
                        <w:widowControl/>
                        <w:jc w:val="center"/>
                        <w:rPr>
                          <w:sz w:val="22"/>
                        </w:rPr>
                      </w:pPr>
                      <w:r>
                        <w:rPr>
                          <w:sz w:val="22"/>
                        </w:rPr>
                      </w:r>
                    </w:p>
                    <w:p>
                      <w:pPr>
                        <w:pStyle w:val="Caption"/>
                        <w:widowControl/>
                        <w:rPr>
                          <w:sz w:val="16"/>
                        </w:rPr>
                      </w:pPr>
                      <w:r>
                        <w:rPr/>
                        <w:t>CONFIRMATION</w:t>
                      </w:r>
                    </w:p>
                    <w:p>
                      <w:pPr>
                        <w:pStyle w:val="Normal"/>
                        <w:widowControl/>
                        <w:rPr>
                          <w:b/>
                          <w:sz w:val="16"/>
                        </w:rPr>
                      </w:pPr>
                      <w:r>
                        <w:rPr>
                          <w:b/>
                          <w:sz w:val="16"/>
                        </w:rPr>
                      </w:r>
                    </w:p>
                    <w:p>
                      <w:pPr>
                        <w:pStyle w:val="Normal"/>
                        <w:widowControl/>
                        <w:rPr>
                          <w:b/>
                        </w:rPr>
                      </w:pPr>
                      <w:r>
                        <w:rPr>
                          <w:b/>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widowControl/>
                              <w:rPr/>
                            </w:pPr>
                            <w:r>
                              <w:rPr/>
                              <w:t>Date:</w:t>
                            </w:r>
                          </w:p>
                        </w:tc>
                        <w:tc>
                          <w:tcPr>
                            <w:tcW w:w="6498" w:type="dxa"/>
                            <w:tcBorders/>
                          </w:tcPr>
                          <w:p>
                            <w:pPr>
                              <w:pStyle w:val="Normal"/>
                              <w:widowControl/>
                              <w:rPr/>
                            </w:pPr>
                            <w:r>
                              <w:rPr/>
                              <w:t>August [__], 2000</w:t>
                            </w:r>
                          </w:p>
                          <w:p>
                            <w:pPr>
                              <w:pStyle w:val="Normal"/>
                              <w:widowControl/>
                              <w:rPr/>
                            </w:pPr>
                            <w:r>
                              <w:rPr/>
                            </w:r>
                          </w:p>
                        </w:tc>
                      </w:tr>
                      <w:tr>
                        <w:trPr/>
                        <w:tc>
                          <w:tcPr>
                            <w:tcW w:w="2358" w:type="dxa"/>
                            <w:tcBorders/>
                          </w:tcPr>
                          <w:p>
                            <w:pPr>
                              <w:pStyle w:val="Normal"/>
                              <w:widowControl/>
                              <w:rPr/>
                            </w:pPr>
                            <w:r>
                              <w:rPr/>
                              <w:t>To:</w:t>
                            </w:r>
                          </w:p>
                        </w:tc>
                        <w:tc>
                          <w:tcPr>
                            <w:tcW w:w="6498" w:type="dxa"/>
                            <w:tcBorders/>
                          </w:tcPr>
                          <w:p>
                            <w:pPr>
                              <w:pStyle w:val="Normal"/>
                              <w:widowControl/>
                              <w:rPr/>
                            </w:pPr>
                            <w:r>
                              <w:rPr/>
                              <w:t>ENA CLO I Holding Company I L.P. ("</w:t>
                            </w:r>
                            <w:r>
                              <w:rPr>
                                <w:b/>
                                <w:i/>
                              </w:rPr>
                              <w:t>Party B</w:t>
                            </w:r>
                            <w:r>
                              <w:rPr/>
                              <w:t>" or "</w:t>
                            </w:r>
                            <w:r>
                              <w:rPr>
                                <w:b/>
                                <w:i/>
                              </w:rPr>
                              <w:t>Holding I</w:t>
                            </w:r>
                            <w:r>
                              <w:rPr/>
                              <w:t xml:space="preserve">") </w:t>
                            </w:r>
                          </w:p>
                          <w:p>
                            <w:pPr>
                              <w:pStyle w:val="Normal"/>
                              <w:widowControl/>
                              <w:rPr/>
                            </w:pPr>
                            <w:r>
                              <w:rPr/>
                            </w:r>
                          </w:p>
                        </w:tc>
                      </w:tr>
                      <w:tr>
                        <w:trPr/>
                        <w:tc>
                          <w:tcPr>
                            <w:tcW w:w="2358" w:type="dxa"/>
                            <w:tcBorders/>
                          </w:tcPr>
                          <w:p>
                            <w:pPr>
                              <w:pStyle w:val="Normal"/>
                              <w:widowControl/>
                              <w:rPr/>
                            </w:pPr>
                            <w:r>
                              <w:rPr/>
                              <w:t>Attention:</w:t>
                            </w:r>
                          </w:p>
                        </w:tc>
                        <w:tc>
                          <w:tcPr>
                            <w:tcW w:w="6498" w:type="dxa"/>
                            <w:tcBorders/>
                          </w:tcPr>
                          <w:p>
                            <w:pPr>
                              <w:pStyle w:val="Normal"/>
                              <w:widowControl/>
                              <w:rPr/>
                            </w:pPr>
                            <w:r>
                              <w:rPr/>
                              <w:t>[_______]</w:t>
                            </w:r>
                          </w:p>
                          <w:p>
                            <w:pPr>
                              <w:pStyle w:val="Normal"/>
                              <w:widowControl/>
                              <w:rPr/>
                            </w:pPr>
                            <w:r>
                              <w:rPr/>
                            </w:r>
                          </w:p>
                        </w:tc>
                      </w:tr>
                      <w:tr>
                        <w:trPr/>
                        <w:tc>
                          <w:tcPr>
                            <w:tcW w:w="2358" w:type="dxa"/>
                            <w:tcBorders/>
                          </w:tcPr>
                          <w:p>
                            <w:pPr>
                              <w:pStyle w:val="Normal"/>
                              <w:widowControl/>
                              <w:rPr/>
                            </w:pPr>
                            <w:r>
                              <w:rPr/>
                              <w:t xml:space="preserve">From: </w:t>
                            </w:r>
                          </w:p>
                        </w:tc>
                        <w:tc>
                          <w:tcPr>
                            <w:tcW w:w="6498" w:type="dxa"/>
                            <w:tcBorders/>
                          </w:tcPr>
                          <w:p>
                            <w:pPr>
                              <w:pStyle w:val="Normal"/>
                              <w:widowControl/>
                              <w:rPr/>
                            </w:pPr>
                            <w:r>
                              <w:rPr/>
                              <w:t>Enron Corp.  ("</w:t>
                            </w:r>
                            <w:r>
                              <w:rPr>
                                <w:b/>
                                <w:i/>
                              </w:rPr>
                              <w:t>Party A</w:t>
                            </w:r>
                            <w:r>
                              <w:rPr/>
                              <w:t>")</w:t>
                            </w:r>
                          </w:p>
                          <w:p>
                            <w:pPr>
                              <w:pStyle w:val="Normal"/>
                              <w:widowControl/>
                              <w:rPr/>
                            </w:pPr>
                            <w:r>
                              <w:rPr/>
                            </w:r>
                          </w:p>
                        </w:tc>
                      </w:tr>
                      <w:tr>
                        <w:trPr/>
                        <w:tc>
                          <w:tcPr>
                            <w:tcW w:w="2358" w:type="dxa"/>
                            <w:tcBorders/>
                          </w:tcPr>
                          <w:p>
                            <w:pPr>
                              <w:pStyle w:val="Normal"/>
                              <w:widowControl/>
                              <w:rPr/>
                            </w:pPr>
                            <w:r>
                              <w:rPr/>
                              <w:t xml:space="preserve">Re: </w:t>
                            </w:r>
                          </w:p>
                        </w:tc>
                        <w:tc>
                          <w:tcPr>
                            <w:tcW w:w="6498" w:type="dxa"/>
                            <w:tcBorders/>
                          </w:tcPr>
                          <w:p>
                            <w:pPr>
                              <w:pStyle w:val="Normal"/>
                              <w:widowControl/>
                              <w:rPr/>
                            </w:pPr>
                            <w:r>
                              <w:rPr/>
                              <w:t>Option Transaction</w:t>
                            </w:r>
                          </w:p>
                        </w:tc>
                      </w:tr>
                    </w:tbl>
                    <w:p>
                      <w:pPr>
                        <w:pStyle w:val="Normal"/>
                        <w:rPr/>
                      </w:pPr>
                      <w:r>
                        <w:rPr/>
                      </w:r>
                    </w:p>
                  </w:txbxContent>
                </v:textbox>
                <w10:wrap type="topAndBottom"/>
              </v:rect>
            </w:pict>
          </mc:Fallback>
        </mc:AlternateContent>
      </w:r>
    </w:p>
    <w:p>
      <w:pPr>
        <w:pStyle w:val="Normal"/>
        <w:widowControl/>
        <w:jc w:val="both"/>
        <w:rPr>
          <w:b/>
        </w:rPr>
      </w:pPr>
      <w:r>
        <w:rPr>
          <w:b/>
        </w:rPr>
      </w:r>
    </w:p>
    <w:p>
      <w:pPr>
        <w:pStyle w:val="Normal"/>
        <w:widowControl/>
        <w:jc w:val="both"/>
        <w:rPr/>
      </w:pPr>
      <w:r>
        <w:rPr/>
        <w:t>Dear Sir/Madam:</w:t>
      </w:r>
    </w:p>
    <w:p>
      <w:pPr>
        <w:pStyle w:val="Normal"/>
        <w:widowControl/>
        <w:jc w:val="both"/>
        <w:rPr/>
      </w:pPr>
      <w:r>
        <w:rPr/>
      </w:r>
    </w:p>
    <w:p>
      <w:pPr>
        <w:pStyle w:val="Normal"/>
        <w:widowControl/>
        <w:jc w:val="both"/>
        <w:rPr/>
      </w:pPr>
      <w:r>
        <w:rPr/>
        <w:t>The purpose of this document is to confirm the terms and conditions of the transaction entered into between Party A and Party B on the Trade Date listed below (the "</w:t>
      </w:r>
      <w:r>
        <w:rPr>
          <w:b/>
          <w:i/>
        </w:rPr>
        <w:t>Transaction</w:t>
      </w:r>
      <w:r>
        <w:rPr/>
        <w:t>").  This document constitutes a "</w:t>
      </w:r>
      <w:r>
        <w:rPr>
          <w:b/>
          <w:i/>
        </w:rPr>
        <w:t>Confirmation</w:t>
      </w:r>
      <w:r>
        <w:rPr/>
        <w:t>" as referred to in the ISDA Agreement specified below and the transaction described above constitutes a "</w:t>
      </w:r>
      <w:r>
        <w:rPr>
          <w:b/>
          <w:i/>
        </w:rPr>
        <w:t>Transaction</w:t>
      </w:r>
      <w:r>
        <w:rPr/>
        <w:t>" as referred to in such ISDA Agreement.  This Confirmation supplements, forms part of, and is subject to, the ISDA Master Agreement dated as of August [__], 2000 (as amended and supplemented from time to time, the "</w:t>
      </w:r>
      <w:r>
        <w:rPr>
          <w:b/>
          <w:i/>
        </w:rPr>
        <w:t>ISDA Agreement</w:t>
      </w:r>
      <w:r>
        <w:rPr/>
        <w:t>")</w:t>
      </w:r>
      <w:r>
        <w:rPr>
          <w:i/>
        </w:rPr>
        <w:t xml:space="preserve"> </w:t>
      </w:r>
      <w:r>
        <w:rPr/>
        <w:t>between Party A and Party B.  All provisions contained in the ISDA Agreement govern this Confirmation except as expressly provided below.</w:t>
      </w:r>
    </w:p>
    <w:p>
      <w:pPr>
        <w:pStyle w:val="Normal"/>
        <w:widowControl/>
        <w:jc w:val="both"/>
        <w:rPr/>
      </w:pPr>
      <w:r>
        <w:rPr/>
      </w:r>
    </w:p>
    <w:p>
      <w:pPr>
        <w:pStyle w:val="BodyText3"/>
        <w:widowControl/>
        <w:jc w:val="both"/>
        <w:rPr>
          <w:b/>
          <w:sz w:val="20"/>
        </w:rPr>
      </w:pPr>
      <w:r>
        <w:rPr>
          <w:sz w:val="20"/>
        </w:rPr>
        <w:t>The definitions and provisions contained in the 2000 ISDA Definitions (as amended, supplemented, replaced or otherwise modified from time to time, the "</w:t>
      </w:r>
      <w:r>
        <w:rPr>
          <w:b/>
          <w:i/>
          <w:sz w:val="20"/>
        </w:rPr>
        <w:t>ISDA Definitions</w:t>
      </w:r>
      <w:r>
        <w:rPr>
          <w:sz w:val="20"/>
        </w:rPr>
        <w:t>"), as published by the International Swaps and Derivatives Association, Inc., are incorporated into this Confirmation.  In the event of any inconsistency between the ISDA Definitions and this Confirmation, this Confirmation will govern. In the event of any inconsistency among or between the ISDA Agreement, the ISDA Definitions and this Confirmation, this Confirmation will govern.  Capitalized terms used but not defined in the ISDA Agreement, this Confirmation or the ISDA Definitions have the respective meanings given to such terms in the Indenture dated as of December 22, 1999 between ENA CLO I Trust and Chase Bank of Texas, National Association, as Indenture Trustee and Securities Intermediary (the "</w:t>
      </w:r>
      <w:r>
        <w:rPr>
          <w:b/>
          <w:i/>
          <w:sz w:val="20"/>
        </w:rPr>
        <w:t>Indenture</w:t>
      </w:r>
      <w:r>
        <w:rPr>
          <w:sz w:val="20"/>
        </w:rPr>
        <w:t>").</w:t>
      </w:r>
    </w:p>
    <w:p>
      <w:pPr>
        <w:pStyle w:val="Normal"/>
        <w:widowControl/>
        <w:jc w:val="both"/>
        <w:rPr>
          <w:b/>
          <w:sz w:val="20"/>
        </w:rPr>
      </w:pPr>
      <w:r>
        <w:rPr>
          <w:b/>
          <w:sz w:val="20"/>
        </w:rPr>
      </w:r>
    </w:p>
    <w:p>
      <w:pPr>
        <w:pStyle w:val="Normal"/>
        <w:keepNext w:val="true"/>
        <w:widowControl/>
        <w:jc w:val="both"/>
        <w:rPr/>
      </w:pPr>
      <w:r>
        <w:rPr/>
      </w:r>
    </w:p>
    <w:p>
      <w:pPr>
        <w:pStyle w:val="Normal"/>
        <w:keepNext w:val="true"/>
        <w:widowControl/>
        <w:rPr/>
      </w:pPr>
      <w:r>
        <w:rPr>
          <w:b/>
        </w:rPr>
        <w:t>1.</w:t>
      </w:r>
      <w:r>
        <w:rPr/>
        <w:t xml:space="preserve">  </w:t>
      </w:r>
      <w:r>
        <w:rPr>
          <w:b/>
        </w:rPr>
        <w:t>The terms of the Transaction to which this Confirmation relates are as follows:</w:t>
      </w:r>
    </w:p>
    <w:p>
      <w:pPr>
        <w:pStyle w:val="Footer"/>
        <w:keepNext w:val="true"/>
        <w:widowControl/>
        <w:tabs>
          <w:tab w:val="clear" w:pos="4819"/>
          <w:tab w:val="clear" w:pos="9071"/>
        </w:tabs>
        <w:rPr>
          <w:b/>
        </w:rPr>
      </w:pPr>
      <w:r>
        <w:rPr>
          <w:b/>
        </w:rPr>
      </w:r>
    </w:p>
    <w:p>
      <w:pPr>
        <w:pStyle w:val="Normal"/>
        <w:keepNext w:val="true"/>
        <w:keepLines/>
        <w:widowControl/>
        <w:tabs>
          <w:tab w:val="clear" w:pos="720"/>
          <w:tab w:val="left" w:pos="0" w:leader="none"/>
          <w:tab w:val="right" w:pos="1746" w:leader="none"/>
        </w:tabs>
        <w:rPr>
          <w:b/>
        </w:rPr>
      </w:pPr>
      <w:r>
        <w:rPr>
          <w:b/>
        </w:rPr>
        <w:t>General Terms:</w:t>
      </w:r>
    </w:p>
    <w:p>
      <w:pPr>
        <w:pStyle w:val="Normal"/>
        <w:widowControl/>
        <w:tabs>
          <w:tab w:val="clear" w:pos="720"/>
          <w:tab w:val="left" w:pos="0" w:leader="none"/>
          <w:tab w:val="right" w:pos="1746" w:leader="none"/>
        </w:tabs>
        <w:ind w:hanging="4320" w:start="4320" w:end="0"/>
        <w:rPr>
          <w:b/>
        </w:rPr>
      </w:pPr>
      <w:r>
        <w:rPr>
          <w:b/>
        </w:rPr>
      </w:r>
    </w:p>
    <w:p>
      <w:pPr>
        <w:pStyle w:val="Header"/>
        <w:widowControl/>
        <w:tabs>
          <w:tab w:val="left" w:pos="0" w:leader="none"/>
          <w:tab w:val="right" w:pos="1296" w:leader="none"/>
          <w:tab w:val="left" w:pos="4320" w:leader="none"/>
          <w:tab w:val="center" w:pos="4819" w:leader="none"/>
          <w:tab w:val="right" w:pos="9071" w:leader="none"/>
        </w:tabs>
        <w:ind w:hanging="4320" w:start="4320" w:end="0"/>
        <w:rPr/>
      </w:pPr>
      <w:r>
        <w:rPr/>
        <w:t>Trade Date:</w:t>
        <w:tab/>
        <w:tab/>
        <w:t>August [__], 2000</w:t>
      </w:r>
    </w:p>
    <w:p>
      <w:pPr>
        <w:pStyle w:val="Header"/>
        <w:widowControl/>
        <w:tabs>
          <w:tab w:val="left" w:pos="0" w:leader="none"/>
          <w:tab w:val="right" w:pos="1296" w:leader="none"/>
          <w:tab w:val="left" w:pos="4320" w:leader="none"/>
          <w:tab w:val="center" w:pos="4819" w:leader="none"/>
          <w:tab w:val="right" w:pos="9071" w:leader="none"/>
        </w:tabs>
        <w:ind w:hanging="4320" w:start="4320" w:end="0"/>
        <w:rPr/>
      </w:pPr>
      <w:r>
        <w:rPr/>
      </w:r>
    </w:p>
    <w:p>
      <w:pPr>
        <w:pStyle w:val="Header"/>
        <w:widowControl/>
        <w:tabs>
          <w:tab w:val="left" w:pos="0" w:leader="none"/>
          <w:tab w:val="right" w:pos="1296" w:leader="none"/>
          <w:tab w:val="left" w:pos="4320" w:leader="none"/>
          <w:tab w:val="center" w:pos="4819" w:leader="none"/>
          <w:tab w:val="right" w:pos="9071" w:leader="none"/>
        </w:tabs>
        <w:ind w:hanging="4320" w:start="4320" w:end="0"/>
        <w:rPr/>
      </w:pPr>
      <w:r>
        <w:rPr/>
        <w:t>Effective Date:</w:t>
        <w:tab/>
        <w:tab/>
        <w:t>August [__], 2000</w:t>
      </w:r>
    </w:p>
    <w:p>
      <w:pPr>
        <w:pStyle w:val="Normal"/>
        <w:widowControl/>
        <w:tabs>
          <w:tab w:val="clear" w:pos="720"/>
          <w:tab w:val="left" w:pos="0" w:leader="none"/>
          <w:tab w:val="right" w:pos="1296" w:leader="none"/>
        </w:tabs>
        <w:ind w:hanging="4320" w:start="4320" w:end="0"/>
        <w:rPr/>
      </w:pPr>
      <w:r>
        <w:rPr/>
      </w:r>
    </w:p>
    <w:p>
      <w:pPr>
        <w:pStyle w:val="Normal"/>
        <w:widowControl/>
        <w:tabs>
          <w:tab w:val="clear" w:pos="720"/>
          <w:tab w:val="right" w:pos="1296" w:leader="none"/>
          <w:tab w:val="left" w:pos="4320" w:leader="none"/>
        </w:tabs>
        <w:ind w:hanging="4320" w:start="4320" w:end="0"/>
        <w:jc w:val="both"/>
        <w:rPr/>
      </w:pPr>
      <w:r>
        <w:rPr/>
        <w:t>Option Style:</w:t>
        <w:tab/>
        <w:tab/>
        <w:t>Bermudan</w:t>
      </w:r>
    </w:p>
    <w:p>
      <w:pPr>
        <w:pStyle w:val="Normal"/>
        <w:widowControl/>
        <w:tabs>
          <w:tab w:val="clear" w:pos="720"/>
          <w:tab w:val="left" w:pos="0" w:leader="none"/>
          <w:tab w:val="right" w:pos="1296" w:leader="none"/>
        </w:tabs>
        <w:ind w:hanging="4320" w:start="4320" w:end="0"/>
        <w:rPr/>
      </w:pPr>
      <w:r>
        <w:rPr/>
      </w:r>
    </w:p>
    <w:p>
      <w:pPr>
        <w:pStyle w:val="Normal"/>
        <w:widowControl/>
        <w:tabs>
          <w:tab w:val="clear" w:pos="720"/>
          <w:tab w:val="left" w:pos="0" w:leader="none"/>
          <w:tab w:val="right" w:pos="1296" w:leader="none"/>
        </w:tabs>
        <w:rPr/>
      </w:pPr>
      <w:r>
        <w:rPr/>
        <w:t>Seller:</w:t>
        <w:tab/>
        <w:tab/>
        <w:tab/>
        <w:tab/>
        <w:tab/>
        <w:tab/>
        <w:t>Party A</w:t>
      </w:r>
    </w:p>
    <w:p>
      <w:pPr>
        <w:pStyle w:val="Normal"/>
        <w:widowControl/>
        <w:tabs>
          <w:tab w:val="clear" w:pos="720"/>
          <w:tab w:val="left" w:pos="0" w:leader="none"/>
          <w:tab w:val="right" w:pos="1296" w:leader="none"/>
        </w:tabs>
        <w:ind w:hanging="4320" w:start="4320" w:end="0"/>
        <w:rPr/>
      </w:pPr>
      <w:r>
        <w:rPr/>
      </w:r>
    </w:p>
    <w:p>
      <w:pPr>
        <w:pStyle w:val="Normal"/>
        <w:widowControl/>
        <w:tabs>
          <w:tab w:val="clear" w:pos="720"/>
          <w:tab w:val="left" w:pos="0" w:leader="none"/>
          <w:tab w:val="right" w:pos="1296" w:leader="none"/>
        </w:tabs>
        <w:ind w:hanging="4320" w:start="4320" w:end="0"/>
        <w:rPr/>
      </w:pPr>
      <w:r>
        <w:rPr/>
        <w:t>Buyer:</w:t>
        <w:tab/>
        <w:tab/>
        <w:t>Party B</w:t>
      </w:r>
    </w:p>
    <w:p>
      <w:pPr>
        <w:pStyle w:val="Normal"/>
        <w:widowControl/>
        <w:tabs>
          <w:tab w:val="clear" w:pos="720"/>
          <w:tab w:val="left" w:pos="0" w:leader="none"/>
          <w:tab w:val="right" w:pos="1296" w:leader="none"/>
        </w:tabs>
        <w:ind w:hanging="4320" w:start="4320" w:end="0"/>
        <w:rPr/>
      </w:pPr>
      <w:r>
        <w:rPr/>
      </w:r>
    </w:p>
    <w:p>
      <w:pPr>
        <w:pStyle w:val="Normal"/>
        <w:keepNext w:val="true"/>
        <w:keepLines/>
        <w:widowControl/>
        <w:tabs>
          <w:tab w:val="clear" w:pos="720"/>
          <w:tab w:val="right" w:pos="1296" w:leader="none"/>
          <w:tab w:val="left" w:pos="4320" w:leader="none"/>
        </w:tabs>
        <w:ind w:hanging="4320" w:start="4320" w:end="0"/>
        <w:jc w:val="both"/>
        <w:rPr/>
      </w:pPr>
      <w:r>
        <w:rPr/>
        <w:t>Exercise Business Day:</w:t>
        <w:tab/>
        <w:t>New York City; Houston, Texas; and the city in which the Corporate Trust Office of the Indenture Trustee is located.</w:t>
      </w:r>
    </w:p>
    <w:p>
      <w:pPr>
        <w:pStyle w:val="Normal"/>
        <w:widowControl/>
        <w:tabs>
          <w:tab w:val="clear" w:pos="720"/>
          <w:tab w:val="left" w:pos="0" w:leader="none"/>
          <w:tab w:val="right" w:pos="1296" w:leader="none"/>
        </w:tabs>
        <w:rPr/>
      </w:pPr>
      <w:r>
        <w:rPr/>
      </w:r>
    </w:p>
    <w:p>
      <w:pPr>
        <w:pStyle w:val="Normal"/>
        <w:keepNext w:val="true"/>
        <w:keepLines/>
        <w:widowControl/>
        <w:tabs>
          <w:tab w:val="clear" w:pos="720"/>
          <w:tab w:val="right" w:pos="1296" w:leader="none"/>
          <w:tab w:val="left" w:pos="4320" w:leader="none"/>
        </w:tabs>
        <w:ind w:hanging="4320" w:start="4320" w:end="0"/>
        <w:jc w:val="both"/>
        <w:rPr/>
      </w:pPr>
      <w:r>
        <w:rPr/>
        <w:t>Option Type:</w:t>
        <w:tab/>
        <w:tab/>
        <w:t>Put Option.  The Option Transaction entitles Buyer to require that Seller purchase on any Exercise Date an interest in any Portfolio Asset with respect to which the Exercise Condition is satisfied as of such Exercise Date.  With respect to any Exercise Date, the interest so purchased (the "</w:t>
      </w:r>
      <w:r>
        <w:rPr>
          <w:b/>
          <w:i/>
        </w:rPr>
        <w:t>Purchased Interest</w:t>
      </w:r>
      <w:r>
        <w:rPr/>
        <w:t>") will be a cash flow strip equivalent to and for a purchase price equal to the amount of:</w:t>
      </w:r>
    </w:p>
    <w:p>
      <w:pPr>
        <w:pStyle w:val="Normal"/>
        <w:widowControl/>
        <w:tabs>
          <w:tab w:val="clear" w:pos="720"/>
          <w:tab w:val="left" w:pos="4320" w:leader="none"/>
        </w:tabs>
        <w:spacing w:before="120" w:after="0"/>
        <w:ind w:hanging="4860" w:start="4860" w:end="0"/>
        <w:jc w:val="both"/>
        <w:rPr/>
      </w:pPr>
      <w:r>
        <w:rPr/>
        <w:tab/>
        <w:t>(1)</w:t>
        <w:tab/>
        <w:t>in the event that the obligor on a Portfolio Asset has failed to make a payment of interest on such Portfolio Asset, the interest payment due and unpaid to Holding I as of such Exercise Date;</w:t>
      </w:r>
    </w:p>
    <w:p>
      <w:pPr>
        <w:pStyle w:val="Normal"/>
        <w:widowControl/>
        <w:tabs>
          <w:tab w:val="clear" w:pos="720"/>
          <w:tab w:val="left" w:pos="4320" w:leader="none"/>
        </w:tabs>
        <w:spacing w:before="120" w:after="0"/>
        <w:ind w:hanging="4860" w:start="4860" w:end="0"/>
        <w:jc w:val="both"/>
        <w:rPr/>
      </w:pPr>
      <w:r>
        <w:rPr/>
        <w:tab/>
        <w:t>(2)</w:t>
        <w:tab/>
        <w:t xml:space="preserve">in the event that the obligor on a Portfolio Asset has failed to make a payment of interest (including any payment </w:t>
      </w:r>
      <w:r>
        <w:rPr>
          <w:strike/>
        </w:rPr>
        <w:t>due</w:t>
      </w:r>
      <w:r>
        <w:rPr/>
        <w:t xml:space="preserve"> </w:t>
      </w:r>
      <w:r>
        <w:rPr>
          <w:b/>
          <w:u w:val="double"/>
        </w:rPr>
        <w:t>originally scheduled but not paid</w:t>
      </w:r>
      <w:r>
        <w:rPr/>
        <w:t xml:space="preserve"> as a result of a modification, workout or restructuring agreement) in respect of such Portfolio Asset and a Purchased Interest was sold to Seller in respect thereof on the immediately preceding Exercise Date but regardless of whether such principal amount has been declared due and payable, the outstanding principal amount of such Portfolio Asset as of such Exercise Date;</w:t>
      </w:r>
    </w:p>
    <w:p>
      <w:pPr>
        <w:pStyle w:val="Normal"/>
        <w:widowControl/>
        <w:tabs>
          <w:tab w:val="clear" w:pos="720"/>
          <w:tab w:val="left" w:pos="4320" w:leader="none"/>
        </w:tabs>
        <w:spacing w:before="120" w:after="0"/>
        <w:ind w:hanging="4860" w:start="4860" w:end="0"/>
        <w:jc w:val="both"/>
        <w:rPr/>
      </w:pPr>
      <w:r>
        <w:rPr/>
        <w:tab/>
        <w:t>(3)</w:t>
        <w:tab/>
        <w:t>in the event that the obligor on a Portfolio Asset has failed to make a payment of principal of such Portfolio Asset due on a date more than 6 months prior to such Exercise Date but regardless of whether such principal amount has been declared due and payable, the outstanding principal amount of such Portfolio Asset as of such Exercise Date;</w:t>
      </w:r>
    </w:p>
    <w:p>
      <w:pPr>
        <w:pStyle w:val="Normal"/>
        <w:widowControl/>
        <w:tabs>
          <w:tab w:val="clear" w:pos="720"/>
          <w:tab w:val="left" w:pos="4320" w:leader="none"/>
        </w:tabs>
        <w:spacing w:before="120" w:after="0"/>
        <w:ind w:hanging="4860" w:start="4860" w:end="0"/>
        <w:jc w:val="both"/>
        <w:rPr/>
      </w:pPr>
      <w:r>
        <w:rPr/>
        <w:tab/>
        <w:t>(4)</w:t>
        <w:tab/>
        <w:t>in the event that a Portfolio Asset is or has been the subject of a modification, workout or restructuring agreement that reduces the interest rate on such Portfolio Asset, the interest payment that has not been paid and which would have been payable on or before such Exercise Date but for such modification, workout or restructuring;</w:t>
      </w:r>
    </w:p>
    <w:p>
      <w:pPr>
        <w:pStyle w:val="Normal"/>
        <w:widowControl/>
        <w:tabs>
          <w:tab w:val="clear" w:pos="720"/>
          <w:tab w:val="left" w:pos="4320" w:leader="none"/>
        </w:tabs>
        <w:spacing w:before="120" w:after="0"/>
        <w:ind w:hanging="4860" w:start="4860" w:end="0"/>
        <w:jc w:val="both"/>
        <w:rPr/>
      </w:pPr>
      <w:r>
        <w:rPr/>
        <w:tab/>
        <w:t>(5)</w:t>
        <w:tab/>
        <w:t>in the event that a Portfolio Asset is or has been the subject of a modification, workout or restructuring agreement more than 6 months prior to such Exercise Date that reduces the principal amount or extends the maturity of such Portfolio Asset, the principal payment that has not been paid and which would have been payable but for such modification, workout or restructuring; and</w:t>
      </w:r>
    </w:p>
    <w:p>
      <w:pPr>
        <w:pStyle w:val="Normal"/>
        <w:widowControl/>
        <w:tabs>
          <w:tab w:val="clear" w:pos="720"/>
          <w:tab w:val="left" w:pos="4320" w:leader="none"/>
        </w:tabs>
        <w:spacing w:before="120" w:after="0"/>
        <w:ind w:hanging="4860" w:start="4860" w:end="0"/>
        <w:jc w:val="both"/>
        <w:rPr/>
      </w:pPr>
      <w:r>
        <w:rPr/>
        <w:tab/>
        <w:t>(6)</w:t>
        <w:tab/>
        <w:t>in the event that the obligor on any Portfolio Asset is the subject of a Bankruptcy Event more than 6 months prior to such Exercise Date but regardless of whether the principal thereof and interest thereon has become due and payable, the outstanding principal amount of such Portfolio Asset and accrued and unpaid interest thereon as of such Exercise Date.</w:t>
      </w:r>
    </w:p>
    <w:p>
      <w:pPr>
        <w:pStyle w:val="Normal"/>
        <w:widowControl/>
        <w:ind w:hanging="3600" w:start="3600" w:end="0"/>
        <w:jc w:val="both"/>
        <w:rPr/>
      </w:pPr>
      <w:r>
        <w:rPr/>
        <w:tab/>
      </w:r>
    </w:p>
    <w:p>
      <w:pPr>
        <w:pStyle w:val="Normal"/>
        <w:widowControl/>
        <w:ind w:hanging="4320" w:start="4320" w:end="0"/>
        <w:jc w:val="both"/>
        <w:rPr/>
      </w:pPr>
      <w:r>
        <w:rPr/>
        <w:tab/>
        <w:t>If more than one event described in the foregoing clauses has occurred with respect to a particular Portfolio Asset or the obligor thereon, the purchase of principal of and/or interest on such Portfolio Asset contemplated by the foregoing clauses shall occur on the earliest Exercise Date on which such purchase may occur under any of the foregoing clauses and on which the Exercise Condition is satisfied, if so elected by Buyer upon an exercise of the Option Transaction.</w:t>
      </w:r>
    </w:p>
    <w:p>
      <w:pPr>
        <w:pStyle w:val="Normal"/>
        <w:widowControl/>
        <w:ind w:hanging="4320" w:start="4320" w:end="0"/>
        <w:jc w:val="both"/>
        <w:rPr/>
      </w:pPr>
      <w:r>
        <w:rPr/>
      </w:r>
    </w:p>
    <w:p>
      <w:pPr>
        <w:pStyle w:val="Normal"/>
        <w:widowControl/>
        <w:ind w:hanging="4320" w:start="4320" w:end="0"/>
        <w:jc w:val="both"/>
        <w:rPr/>
      </w:pPr>
      <w:r>
        <w:rPr/>
        <w:tab/>
        <w:t>With respect to any obligor on a Portfolio Asset, "</w:t>
      </w:r>
      <w:r>
        <w:rPr>
          <w:b/>
          <w:i/>
        </w:rPr>
        <w:t>Bankruptcy Event</w:t>
      </w:r>
      <w:r>
        <w:rPr/>
        <w:t>" means, (a) the entry of a decree or order by a court having jurisdiction in the premises adjudging such obligor as bankrupt or insolvent, or approving as properly filed a petition seeking reorganization, arrangement, adjustment or composition of or in respect of such obligor under the Bankruptcy Code or any other applicable law, or appointing a receiver, liquidator, assignee, or sequestrator (or other similar official) of such obligor or of any substantial part of its property, or ordering the winding up or liquidation of its affairs, and the continuance of any such decree or order unstayed and in effect for a period of 60 consecutive days; or (b) the institution by such obligor of proceedings to be adjudicated as bankrupt or insolvent, or the consent by such obligor to the institution of bankruptcy or insolvency proceedings against it, or the filing of a petition or answer or consent seeking reorganization or relief under the Bankruptcy Code or any other similar applicable law, or the consent by such obligor to the filing of any such petition or to the appointment of a receiver, liquidator, assignee, trustee or sequestrator (or other similar official) of it or of any substantial part of its property, or to the ordering of the winding up or liquidation of its affairs, or the making of an assignment for the benefit of creditors, or the admission in writing of its inability to pay its debts generally as they become due, or the taking of any action by such obligor in furtherance of any such action.</w:t>
      </w:r>
    </w:p>
    <w:p>
      <w:pPr>
        <w:pStyle w:val="Normal"/>
        <w:widowControl/>
        <w:tabs>
          <w:tab w:val="clear" w:pos="720"/>
          <w:tab w:val="right" w:pos="1296" w:leader="none"/>
          <w:tab w:val="left" w:pos="4860" w:leader="none"/>
        </w:tabs>
        <w:ind w:hanging="4320" w:start="4320" w:end="0"/>
        <w:rPr/>
      </w:pPr>
      <w:r>
        <w:rPr/>
      </w:r>
    </w:p>
    <w:p>
      <w:pPr>
        <w:pStyle w:val="Normal"/>
        <w:widowControl/>
        <w:tabs>
          <w:tab w:val="clear" w:pos="720"/>
          <w:tab w:val="left" w:pos="0" w:leader="none"/>
          <w:tab w:val="right" w:pos="1296" w:leader="none"/>
          <w:tab w:val="left" w:pos="4860" w:leader="none"/>
        </w:tabs>
        <w:ind w:hanging="4320" w:start="4320" w:end="0"/>
        <w:jc w:val="both"/>
        <w:rPr/>
      </w:pPr>
      <w:r>
        <w:rPr/>
        <w:t>Exercise Condition:</w:t>
        <w:tab/>
        <w:t>In order for Buyer to make an exercise of the Option Transaction, as of any Exercise Date, (1) the Portfolio Asset in respect of which a Purchased Interest is being purchased must be a Defaulted Portfolio Asset or, in the case of any Purchased Interest in respect of principal pursuant to any of clauses (2), (4), (5) or (6) above opposite the heading "Option Type", a Credit Risk Portfolio Asset and (2) the Available Amount must be greater than zero (</w:t>
      </w:r>
      <w:r>
        <w:rPr>
          <w:i/>
        </w:rPr>
        <w:t>provided</w:t>
      </w:r>
      <w:r>
        <w:rPr/>
        <w:t xml:space="preserve"> that the Option Transaction may be exercised on such Exercise Date only to the extent of such positive Available Amount).  In addition, any such exercise of the Option Transaction and the sale of the related Purchased Interest must be made in compliance with the provisions of all Transaction Documents.  "</w:t>
      </w:r>
      <w:r>
        <w:rPr>
          <w:b/>
          <w:i/>
        </w:rPr>
        <w:t>Available Amount</w:t>
      </w:r>
      <w:r>
        <w:rPr/>
        <w:t xml:space="preserve">" means the lesser of (a) the aggregate outstanding principal amount of the Notes as of the Exercise Date and (b) the sum of (i) $113 million and </w:t>
      </w:r>
      <w:r>
        <w:rPr>
          <w:i/>
        </w:rPr>
        <w:t>minus</w:t>
      </w:r>
      <w:r>
        <w:rPr/>
        <w:t xml:space="preserve"> (ii) the aggregate of all payments made, and all payments to be made on such Exercise Date, by Seller under this Transaction </w:t>
      </w:r>
      <w:r>
        <w:rPr>
          <w:b/>
          <w:u w:val="double"/>
        </w:rPr>
        <w:t>(including all amounts standing to the credit of the Collateral Account referred to below)</w:t>
      </w:r>
      <w:r>
        <w:rPr/>
        <w:t xml:space="preserve"> </w:t>
      </w:r>
      <w:r>
        <w:rPr>
          <w:i/>
        </w:rPr>
        <w:t>plus</w:t>
      </w:r>
      <w:r>
        <w:rPr/>
        <w:t xml:space="preserve"> (iii) the sum of all cash, and the value of all other property, received by Seller in respect of all Purchased Interests acquired by it.  The determination of whether the Exercise Condition has been satisfied with respect to any particular Portfolio Asset and the related Purchased Interest as of the Exercise Date will be made by the Servicer.  The value of any property (other than cash) received by Seller from an obligor shall be determined in good faith by Seller.</w:t>
      </w:r>
    </w:p>
    <w:p>
      <w:pPr>
        <w:pStyle w:val="Normal"/>
        <w:widowControl/>
        <w:tabs>
          <w:tab w:val="clear" w:pos="720"/>
          <w:tab w:val="left" w:pos="0" w:leader="none"/>
          <w:tab w:val="right" w:pos="1296" w:leader="none"/>
          <w:tab w:val="left" w:pos="4860" w:leader="none"/>
        </w:tabs>
        <w:ind w:hanging="4320" w:start="4320" w:end="0"/>
        <w:jc w:val="both"/>
        <w:rPr/>
      </w:pPr>
      <w:r>
        <w:rPr/>
      </w:r>
    </w:p>
    <w:p>
      <w:pPr>
        <w:pStyle w:val="Normal"/>
        <w:widowControl/>
        <w:tabs>
          <w:tab w:val="clear" w:pos="720"/>
          <w:tab w:val="left" w:pos="0" w:leader="none"/>
          <w:tab w:val="right" w:pos="1296" w:leader="none"/>
          <w:tab w:val="left" w:pos="4860" w:leader="none"/>
        </w:tabs>
        <w:ind w:hanging="4320" w:start="4320" w:end="0"/>
        <w:jc w:val="both"/>
        <w:rPr/>
      </w:pPr>
      <w:r>
        <w:rPr/>
        <w:tab/>
        <w:tab/>
        <w:t xml:space="preserve">In the event that the Exercise Condition is not satisfied as of any Exercise Date because the Available Amount is not greater than zero as of such date, the exercise of the Option Transaction that would have been made on such Exercise Date may be made on any succeeding Exercise Date if the Exercise Condition is satisfied on such succeeding Exercise Date, </w:t>
      </w:r>
      <w:r>
        <w:rPr>
          <w:i/>
        </w:rPr>
        <w:t>provided</w:t>
      </w:r>
      <w:r>
        <w:rPr/>
        <w:t xml:space="preserve"> that the event that gave rise to such exercise of the Option Transaction has not been cured at any time prior to such succeeding Exercise Date.</w:t>
      </w:r>
    </w:p>
    <w:p>
      <w:pPr>
        <w:pStyle w:val="Normal"/>
        <w:widowControl/>
        <w:tabs>
          <w:tab w:val="clear" w:pos="720"/>
          <w:tab w:val="left" w:pos="0" w:leader="none"/>
          <w:tab w:val="right" w:pos="1296" w:leader="none"/>
          <w:tab w:val="left" w:pos="4860" w:leader="none"/>
        </w:tabs>
        <w:ind w:hanging="4320" w:start="4320" w:end="0"/>
        <w:jc w:val="both"/>
        <w:rPr/>
      </w:pPr>
      <w:r>
        <w:rPr/>
      </w:r>
    </w:p>
    <w:p>
      <w:pPr>
        <w:pStyle w:val="Normal"/>
        <w:keepNext w:val="true"/>
        <w:keepLines/>
        <w:widowControl/>
        <w:tabs>
          <w:tab w:val="clear" w:pos="720"/>
          <w:tab w:val="right" w:pos="1296" w:leader="none"/>
          <w:tab w:val="left" w:pos="4320" w:leader="none"/>
          <w:tab w:val="left" w:pos="4860" w:leader="none"/>
        </w:tabs>
        <w:ind w:hanging="4860" w:start="4860" w:end="0"/>
        <w:jc w:val="both"/>
        <w:rPr/>
      </w:pPr>
      <w:r>
        <w:rPr/>
        <w:t>Portfolio Assets:</w:t>
        <w:tab/>
        <w:t>(1)</w:t>
        <w:tab/>
        <w:t>American Coal Company subordinated secured loan facility having an aggregate outstanding principal amount as of the Trade Date equal to $[_______];</w:t>
      </w:r>
    </w:p>
    <w:p>
      <w:pPr>
        <w:pStyle w:val="Normal"/>
        <w:widowControl/>
        <w:tabs>
          <w:tab w:val="clear" w:pos="720"/>
          <w:tab w:val="left" w:pos="0" w:leader="none"/>
          <w:tab w:val="right" w:pos="1296" w:leader="none"/>
          <w:tab w:val="left" w:pos="4320" w:leader="none"/>
          <w:tab w:val="left" w:pos="4860" w:leader="none"/>
        </w:tabs>
        <w:ind w:hanging="4867" w:start="4867" w:end="0"/>
        <w:jc w:val="both"/>
        <w:rPr/>
      </w:pPr>
      <w:r>
        <w:rPr/>
        <w:tab/>
        <w:tab/>
        <w:t>(2)</w:t>
        <w:tab/>
        <w:t>Beau Canada Exploration Ltd. zero coupon subordinated loan having an aggregate outstanding principal amount as of the Trade Date equal to $[_______];</w:t>
      </w:r>
    </w:p>
    <w:p>
      <w:pPr>
        <w:pStyle w:val="Normal"/>
        <w:widowControl/>
        <w:tabs>
          <w:tab w:val="clear" w:pos="720"/>
          <w:tab w:val="left" w:pos="0" w:leader="none"/>
          <w:tab w:val="right" w:pos="1296" w:leader="none"/>
          <w:tab w:val="left" w:pos="4320" w:leader="none"/>
          <w:tab w:val="left" w:pos="4860" w:leader="none"/>
        </w:tabs>
        <w:ind w:hanging="4867" w:start="4867" w:end="0"/>
        <w:jc w:val="both"/>
        <w:rPr/>
      </w:pPr>
      <w:r>
        <w:rPr/>
        <w:tab/>
        <w:tab/>
        <w:t>(3)</w:t>
        <w:tab/>
        <w:t>Bonus Resource Services Corp. secured subordinated term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320" w:start="4867" w:end="0"/>
        <w:jc w:val="both"/>
        <w:rPr/>
      </w:pPr>
      <w:r>
        <w:rPr/>
        <w:tab/>
        <w:t>(4)</w:t>
        <w:tab/>
        <w:t>Can Fibre of Riverside, Inc. secured subordinated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320" w:start="4867" w:end="0"/>
        <w:jc w:val="both"/>
        <w:rPr/>
      </w:pPr>
      <w:r>
        <w:rPr/>
        <w:tab/>
        <w:t>(5)</w:t>
        <w:tab/>
        <w:t>Can Fibre of Riverside Project Solid Waste Disposal Revenue Bonds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320" w:start="4867" w:end="0"/>
        <w:jc w:val="both"/>
        <w:rPr/>
      </w:pPr>
      <w:r>
        <w:rPr/>
        <w:tab/>
        <w:t>(6)</w:t>
        <w:tab/>
        <w:t>CityForest Corporation junior subordinated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320" w:start="4867" w:end="0"/>
        <w:jc w:val="both"/>
        <w:rPr/>
      </w:pPr>
      <w:r>
        <w:rPr/>
        <w:tab/>
        <w:t>(7)</w:t>
        <w:tab/>
        <w:t>CityForest Corporation senior subordinated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320" w:start="4867" w:end="0"/>
        <w:jc w:val="both"/>
        <w:rPr/>
      </w:pPr>
      <w:r>
        <w:rPr/>
        <w:tab/>
        <w:t>(8)</w:t>
        <w:tab/>
        <w:t>DPR Holding Company, LLC/Cline Entities senior secured term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320" w:start="4867" w:end="0"/>
        <w:jc w:val="both"/>
        <w:rPr/>
      </w:pPr>
      <w:r>
        <w:rPr/>
        <w:tab/>
        <w:t>(9)</w:t>
        <w:tab/>
        <w:t>East Coast Power L.L.C. participation in first $30,000,000 in amortization of a $187,900,000 unsecured subordinated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867" w:start="4867" w:end="0"/>
        <w:jc w:val="both"/>
        <w:rPr/>
      </w:pPr>
      <w:r>
        <w:rPr/>
        <w:tab/>
        <w:tab/>
        <w:t>(10)</w:t>
        <w:tab/>
        <w:t>Heartland Steel, Inc. senior subordinated notes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867" w:start="4867" w:end="0"/>
        <w:jc w:val="both"/>
        <w:rPr/>
      </w:pPr>
      <w:r>
        <w:rPr/>
        <w:tab/>
        <w:tab/>
        <w:t>(11)</w:t>
      </w:r>
      <w:r>
        <w:rPr>
          <w:strike/>
        </w:rPr>
        <w:t xml:space="preserve"> HV Marine Services, Inc. non-revolving line of credit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867" w:start="4867" w:end="0"/>
        <w:jc w:val="both"/>
        <w:rPr/>
      </w:pPr>
      <w:r>
        <w:rPr>
          <w:strike/>
        </w:rPr>
        <w:t>(12)</w:t>
      </w:r>
      <w:r>
        <w:rPr/>
        <w:tab/>
        <w:t>HV Marine Services, Inc. senior subordinated notes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867" w:start="4867" w:end="0"/>
        <w:jc w:val="both"/>
        <w:rPr/>
      </w:pPr>
      <w:r>
        <w:rPr/>
        <w:tab/>
        <w:tab/>
      </w:r>
      <w:r>
        <w:rPr>
          <w:strike/>
        </w:rPr>
        <w:t>(13)</w:t>
      </w:r>
      <w:r>
        <w:rPr>
          <w:b/>
          <w:u w:val="double"/>
        </w:rPr>
        <w:t>(12)</w:t>
      </w:r>
      <w:r>
        <w:rPr/>
        <w:tab/>
        <w:t>Kafus Industries Ltd. convertible promissory notes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867" w:start="4867" w:end="0"/>
        <w:jc w:val="both"/>
        <w:rPr/>
      </w:pPr>
      <w:r>
        <w:rPr/>
        <w:tab/>
        <w:tab/>
      </w:r>
      <w:r>
        <w:rPr>
          <w:strike/>
        </w:rPr>
        <w:t>(14)</w:t>
      </w:r>
      <w:r>
        <w:rPr>
          <w:b/>
          <w:u w:val="double"/>
        </w:rPr>
        <w:t>(13)</w:t>
      </w:r>
      <w:r>
        <w:rPr/>
        <w:tab/>
        <w:t>Lewis Energy Group, L.P.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867" w:start="4867" w:end="0"/>
        <w:jc w:val="both"/>
        <w:rPr/>
      </w:pPr>
      <w:r>
        <w:rPr/>
        <w:tab/>
        <w:tab/>
      </w:r>
      <w:r>
        <w:rPr>
          <w:strike/>
        </w:rPr>
        <w:t>(15)</w:t>
      </w:r>
      <w:r>
        <w:rPr>
          <w:b/>
          <w:u w:val="double"/>
        </w:rPr>
        <w:t>(14)</w:t>
      </w:r>
      <w:r>
        <w:rPr/>
        <w:tab/>
        <w:t>Segundo Navarro (Lewis Energy)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867" w:start="4867" w:end="0"/>
        <w:jc w:val="both"/>
        <w:rPr/>
      </w:pPr>
      <w:r>
        <w:rPr/>
        <w:tab/>
        <w:tab/>
      </w:r>
      <w:r>
        <w:rPr>
          <w:strike/>
        </w:rPr>
        <w:t>(16)</w:t>
      </w:r>
      <w:r>
        <w:rPr>
          <w:b/>
          <w:u w:val="double"/>
        </w:rPr>
        <w:t>(15)</w:t>
      </w:r>
      <w:r>
        <w:rPr/>
        <w:tab/>
        <w:t>LSI Interests, Ltd. term loan facility and conditional term loan facility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867" w:start="4867" w:end="0"/>
        <w:jc w:val="both"/>
        <w:rPr/>
      </w:pPr>
      <w:r>
        <w:rPr/>
        <w:tab/>
        <w:tab/>
      </w:r>
      <w:r>
        <w:rPr>
          <w:strike/>
        </w:rPr>
        <w:t>(17)</w:t>
      </w:r>
      <w:r>
        <w:rPr>
          <w:b/>
          <w:u w:val="double"/>
        </w:rPr>
        <w:t>(16)</w:t>
      </w:r>
      <w:r>
        <w:rPr/>
        <w:tab/>
        <w:t>PCDI Oconto Falls Tissue, LLC secured subordinated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867" w:start="4867" w:end="0"/>
        <w:jc w:val="both"/>
        <w:rPr/>
      </w:pPr>
      <w:r>
        <w:rPr/>
        <w:tab/>
        <w:tab/>
      </w:r>
      <w:r>
        <w:rPr>
          <w:strike/>
        </w:rPr>
        <w:t>(18)</w:t>
      </w:r>
      <w:r>
        <w:rPr>
          <w:b/>
          <w:u w:val="double"/>
        </w:rPr>
        <w:t>(17)</w:t>
      </w:r>
      <w:r>
        <w:rPr/>
        <w:tab/>
        <w:t>Ridgelake Energy, Inc. non-recourse advancing term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867" w:start="4867" w:end="0"/>
        <w:jc w:val="both"/>
        <w:rPr/>
      </w:pPr>
      <w:r>
        <w:rPr/>
        <w:tab/>
        <w:tab/>
      </w:r>
      <w:r>
        <w:rPr>
          <w:strike/>
        </w:rPr>
        <w:t>(19)</w:t>
      </w:r>
      <w:r>
        <w:rPr>
          <w:b/>
          <w:u w:val="double"/>
        </w:rPr>
        <w:t>(18)</w:t>
      </w:r>
      <w:r>
        <w:rPr/>
        <w:tab/>
        <w:t>Sierra Well Service, Inc. senior secured loan having an aggregate outstanding principal amount as of the Trade Date equal to $[_______];</w:t>
      </w:r>
    </w:p>
    <w:p>
      <w:pPr>
        <w:pStyle w:val="Normal"/>
        <w:widowControl/>
        <w:tabs>
          <w:tab w:val="clear" w:pos="720"/>
          <w:tab w:val="left" w:pos="450" w:leader="none"/>
          <w:tab w:val="left" w:pos="4320" w:leader="none"/>
          <w:tab w:val="left" w:pos="4860" w:leader="none"/>
        </w:tabs>
        <w:ind w:hanging="4867" w:start="4867" w:end="0"/>
        <w:jc w:val="both"/>
        <w:rPr/>
      </w:pPr>
      <w:r>
        <w:rPr/>
        <w:tab/>
        <w:tab/>
      </w:r>
      <w:r>
        <w:rPr>
          <w:strike/>
        </w:rPr>
        <w:t>(20)</w:t>
      </w:r>
      <w:r>
        <w:rPr>
          <w:b/>
          <w:u w:val="double"/>
        </w:rPr>
        <w:t>(19)</w:t>
      </w:r>
      <w:r>
        <w:rPr/>
        <w:tab/>
        <w:t>Sierra Well Service, Inc. subordinated secured credit loan having an aggregate outstanding principal amount as of the Trade Date equal to $[_______]; and</w:t>
      </w:r>
    </w:p>
    <w:p>
      <w:pPr>
        <w:pStyle w:val="Normal"/>
        <w:widowControl/>
        <w:tabs>
          <w:tab w:val="clear" w:pos="720"/>
          <w:tab w:val="left" w:pos="0" w:leader="none"/>
          <w:tab w:val="right" w:pos="1296" w:leader="none"/>
          <w:tab w:val="left" w:pos="4320" w:leader="none"/>
          <w:tab w:val="left" w:pos="4860" w:leader="none"/>
        </w:tabs>
        <w:ind w:hanging="4867" w:start="4867" w:end="0"/>
        <w:jc w:val="both"/>
        <w:rPr/>
      </w:pPr>
      <w:r>
        <w:rPr/>
        <w:tab/>
        <w:tab/>
      </w:r>
      <w:r>
        <w:rPr>
          <w:strike/>
        </w:rPr>
        <w:t>(21)</w:t>
      </w:r>
      <w:r>
        <w:rPr>
          <w:b/>
          <w:u w:val="double"/>
        </w:rPr>
        <w:t>(20)</w:t>
      </w:r>
      <w:r>
        <w:rPr/>
        <w:tab/>
        <w:t>TransCoastal Marine Services, Inc. subordinated secured loan facility having an aggregate outstanding principal amount as of the Trade Date equal to $[_______].</w:t>
      </w:r>
    </w:p>
    <w:p>
      <w:pPr>
        <w:pStyle w:val="Normal"/>
        <w:widowControl/>
        <w:tabs>
          <w:tab w:val="clear" w:pos="720"/>
          <w:tab w:val="left" w:pos="0" w:leader="none"/>
          <w:tab w:val="right" w:pos="1296" w:leader="none"/>
          <w:tab w:val="left" w:pos="4860" w:leader="none"/>
        </w:tabs>
        <w:ind w:hanging="4320" w:start="4320" w:end="0"/>
        <w:jc w:val="both"/>
        <w:rPr/>
      </w:pPr>
      <w:r>
        <w:rPr/>
      </w:r>
    </w:p>
    <w:p>
      <w:pPr>
        <w:pStyle w:val="Normal"/>
        <w:widowControl/>
        <w:tabs>
          <w:tab w:val="clear" w:pos="720"/>
          <w:tab w:val="left" w:pos="0" w:leader="none"/>
          <w:tab w:val="right" w:pos="1296" w:leader="none"/>
          <w:tab w:val="left" w:pos="4860" w:leader="none"/>
        </w:tabs>
        <w:ind w:hanging="4320" w:start="4320" w:end="0"/>
        <w:jc w:val="both"/>
        <w:rPr/>
      </w:pPr>
      <w:r>
        <w:rPr/>
        <w:t>Premium:</w:t>
        <w:tab/>
        <w:tab/>
        <w:t>USD 0.  Party A and Party B acknowledge that the consideration for Party A entering into this Transaction is for Party A to advance its general business purposes and for other good and valuable consideration, and the parties acknowledge the receipt and sufficiency of such consideration.</w:t>
      </w:r>
    </w:p>
    <w:p>
      <w:pPr>
        <w:pStyle w:val="Normal"/>
        <w:widowControl/>
        <w:tabs>
          <w:tab w:val="clear" w:pos="720"/>
          <w:tab w:val="left" w:pos="0" w:leader="none"/>
          <w:tab w:val="right" w:pos="1296" w:leader="none"/>
        </w:tabs>
        <w:rPr/>
      </w:pPr>
      <w:r>
        <w:rPr/>
      </w:r>
    </w:p>
    <w:p>
      <w:pPr>
        <w:pStyle w:val="Normal"/>
        <w:widowControl/>
        <w:tabs>
          <w:tab w:val="clear" w:pos="720"/>
          <w:tab w:val="left" w:pos="0" w:leader="none"/>
          <w:tab w:val="right" w:pos="1296" w:leader="none"/>
        </w:tabs>
        <w:rPr/>
      </w:pPr>
      <w:r>
        <w:rPr/>
        <w:t>Premium Payment Date:</w:t>
        <w:tab/>
        <w:tab/>
        <w:tab/>
        <w:tab/>
        <w:t>Inapplicable</w:t>
      </w:r>
    </w:p>
    <w:p>
      <w:pPr>
        <w:pStyle w:val="Normal"/>
        <w:widowControl/>
        <w:tabs>
          <w:tab w:val="clear" w:pos="720"/>
          <w:tab w:val="left" w:pos="0" w:leader="none"/>
          <w:tab w:val="right" w:pos="1296" w:leader="none"/>
        </w:tabs>
        <w:rPr/>
      </w:pPr>
      <w:r>
        <w:rPr/>
      </w:r>
    </w:p>
    <w:p>
      <w:pPr>
        <w:pStyle w:val="Footer"/>
        <w:widowControl/>
        <w:tabs>
          <w:tab w:val="clear" w:pos="4819"/>
          <w:tab w:val="clear" w:pos="9071"/>
          <w:tab w:val="left" w:pos="4320" w:leader="none"/>
        </w:tabs>
        <w:rPr/>
      </w:pPr>
      <w:r>
        <w:rPr/>
        <w:t>Calculation Agent:</w:t>
        <w:tab/>
        <w:t>Party A</w:t>
      </w:r>
    </w:p>
    <w:p>
      <w:pPr>
        <w:pStyle w:val="Normal"/>
        <w:widowControl/>
        <w:tabs>
          <w:tab w:val="clear" w:pos="720"/>
          <w:tab w:val="left" w:pos="0" w:leader="none"/>
          <w:tab w:val="right" w:pos="1296" w:leader="none"/>
        </w:tabs>
        <w:rPr/>
      </w:pPr>
      <w:r>
        <w:rPr/>
      </w:r>
    </w:p>
    <w:p>
      <w:pPr>
        <w:pStyle w:val="Normal"/>
        <w:widowControl/>
        <w:tabs>
          <w:tab w:val="clear" w:pos="720"/>
          <w:tab w:val="left" w:pos="0" w:leader="none"/>
          <w:tab w:val="right" w:pos="5316" w:leader="none"/>
        </w:tabs>
        <w:rPr/>
      </w:pPr>
      <w:r>
        <w:rPr/>
      </w:r>
    </w:p>
    <w:p>
      <w:pPr>
        <w:pStyle w:val="Normal"/>
        <w:widowControl/>
        <w:tabs>
          <w:tab w:val="clear" w:pos="720"/>
          <w:tab w:val="left" w:pos="0" w:leader="none"/>
          <w:tab w:val="right" w:pos="5316" w:leader="none"/>
        </w:tabs>
        <w:rPr>
          <w:b/>
        </w:rPr>
      </w:pPr>
      <w:r>
        <w:rPr>
          <w:b/>
        </w:rPr>
        <w:t>Procedure for Exercise:</w:t>
      </w:r>
    </w:p>
    <w:p>
      <w:pPr>
        <w:pStyle w:val="Normal"/>
        <w:widowControl/>
        <w:tabs>
          <w:tab w:val="clear" w:pos="720"/>
          <w:tab w:val="left" w:pos="0" w:leader="none"/>
          <w:tab w:val="right" w:pos="5316" w:leader="none"/>
        </w:tabs>
        <w:rPr>
          <w:b/>
        </w:rPr>
      </w:pPr>
      <w:r>
        <w:rPr>
          <w:b/>
        </w:rPr>
      </w:r>
    </w:p>
    <w:p>
      <w:pPr>
        <w:pStyle w:val="Normal"/>
        <w:widowControl/>
        <w:tabs>
          <w:tab w:val="clear" w:pos="720"/>
          <w:tab w:val="left" w:pos="0" w:leader="none"/>
          <w:tab w:val="right" w:pos="1191" w:leader="none"/>
        </w:tabs>
        <w:ind w:hanging="4320" w:start="4320" w:end="0"/>
        <w:jc w:val="both"/>
        <w:rPr/>
      </w:pPr>
      <w:r>
        <w:rPr/>
        <w:t>Bermuda Option Exercise Dates:</w:t>
        <w:tab/>
        <w:t>(a) the Business Day immediately preceding each Calculation Date (as defined in the Indenture) occurring prior to the Expiration Date and (b) the Early Termination Date, if any.</w:t>
      </w:r>
    </w:p>
    <w:p>
      <w:pPr>
        <w:pStyle w:val="Header"/>
        <w:widowControl/>
        <w:tabs>
          <w:tab w:val="left" w:pos="0" w:leader="none"/>
          <w:tab w:val="left" w:pos="50" w:leader="none"/>
          <w:tab w:val="left" w:pos="3015" w:leader="none"/>
          <w:tab w:val="right" w:pos="4401" w:leader="none"/>
          <w:tab w:val="center" w:pos="4819" w:leader="none"/>
          <w:tab w:val="right" w:pos="9071" w:leader="none"/>
        </w:tabs>
        <w:rPr/>
      </w:pPr>
      <w:r>
        <w:rPr/>
      </w:r>
    </w:p>
    <w:p>
      <w:pPr>
        <w:pStyle w:val="Normal"/>
        <w:widowControl/>
        <w:tabs>
          <w:tab w:val="clear" w:pos="720"/>
          <w:tab w:val="left" w:pos="0" w:leader="none"/>
          <w:tab w:val="right" w:pos="1191" w:leader="none"/>
        </w:tabs>
        <w:ind w:hanging="4320" w:start="4320" w:end="0"/>
        <w:jc w:val="both"/>
        <w:rPr/>
      </w:pPr>
      <w:r>
        <w:rPr/>
        <w:t>Earliest Exercise Time:</w:t>
        <w:tab/>
        <w:t>10:00 a.m. (local time in Houston)</w:t>
      </w:r>
    </w:p>
    <w:p>
      <w:pPr>
        <w:pStyle w:val="Normal"/>
        <w:widowControl/>
        <w:tabs>
          <w:tab w:val="clear" w:pos="720"/>
          <w:tab w:val="left" w:pos="0" w:leader="none"/>
          <w:tab w:val="right" w:pos="1191" w:leader="none"/>
        </w:tabs>
        <w:ind w:hanging="4320" w:start="4320" w:end="0"/>
        <w:jc w:val="both"/>
        <w:rPr/>
      </w:pPr>
      <w:r>
        <w:rPr/>
      </w:r>
    </w:p>
    <w:p>
      <w:pPr>
        <w:pStyle w:val="Normal"/>
        <w:widowControl/>
        <w:tabs>
          <w:tab w:val="clear" w:pos="720"/>
          <w:tab w:val="left" w:pos="0" w:leader="none"/>
          <w:tab w:val="right" w:pos="1191" w:leader="none"/>
        </w:tabs>
        <w:ind w:hanging="4320" w:start="4320" w:end="0"/>
        <w:jc w:val="both"/>
        <w:rPr/>
      </w:pPr>
      <w:r>
        <w:rPr/>
        <w:t>Latest Exercise Time:</w:t>
        <w:tab/>
        <w:t>4:00 p.m. (local time in Houston)</w:t>
      </w:r>
    </w:p>
    <w:p>
      <w:pPr>
        <w:pStyle w:val="Normal"/>
        <w:widowControl/>
        <w:tabs>
          <w:tab w:val="clear" w:pos="720"/>
          <w:tab w:val="left" w:pos="0" w:leader="none"/>
          <w:tab w:val="right" w:pos="5316" w:leader="none"/>
        </w:tabs>
        <w:rPr>
          <w:b/>
        </w:rPr>
      </w:pPr>
      <w:r>
        <w:rPr>
          <w:b/>
        </w:rPr>
      </w:r>
    </w:p>
    <w:p>
      <w:pPr>
        <w:pStyle w:val="Normal"/>
        <w:widowControl/>
        <w:tabs>
          <w:tab w:val="clear" w:pos="720"/>
          <w:tab w:val="left" w:pos="0" w:leader="none"/>
          <w:tab w:val="right" w:pos="1191" w:leader="none"/>
        </w:tabs>
        <w:ind w:hanging="4320" w:start="4320" w:end="0"/>
        <w:jc w:val="both"/>
        <w:rPr/>
      </w:pPr>
      <w:r>
        <w:rPr/>
        <w:t>Expiration Time:</w:t>
        <w:tab/>
        <w:t>4:00 p.m. (local time in Houston)</w:t>
      </w:r>
    </w:p>
    <w:p>
      <w:pPr>
        <w:pStyle w:val="Header"/>
        <w:widowControl/>
        <w:tabs>
          <w:tab w:val="left" w:pos="0" w:leader="none"/>
          <w:tab w:val="left" w:pos="50" w:leader="none"/>
          <w:tab w:val="left" w:pos="3015" w:leader="none"/>
          <w:tab w:val="right" w:pos="4401" w:leader="none"/>
          <w:tab w:val="center" w:pos="4819" w:leader="none"/>
          <w:tab w:val="right" w:pos="9071" w:leader="none"/>
        </w:tabs>
        <w:rPr/>
      </w:pPr>
      <w:r>
        <w:rPr/>
      </w:r>
    </w:p>
    <w:p>
      <w:pPr>
        <w:pStyle w:val="Normal"/>
        <w:widowControl/>
        <w:tabs>
          <w:tab w:val="clear" w:pos="720"/>
          <w:tab w:val="left" w:pos="0" w:leader="none"/>
          <w:tab w:val="right" w:pos="1191" w:leader="none"/>
        </w:tabs>
        <w:ind w:hanging="4320" w:start="4320" w:end="0"/>
        <w:jc w:val="both"/>
        <w:rPr/>
      </w:pPr>
      <w:r>
        <w:rPr/>
        <w:t>Expiration Date:</w:t>
        <w:tab/>
        <w:t xml:space="preserve">The date on which all Portfolio Assets have either been paid in full or sold (including pursuant to an exercise of the Option Transaction), subject to reinstatement if </w:t>
      </w:r>
      <w:r>
        <w:rPr>
          <w:b/>
          <w:u w:val="double"/>
        </w:rPr>
        <w:t>and to the extent</w:t>
      </w:r>
      <w:r>
        <w:rPr/>
        <w:t xml:space="preserve"> any payment made by an obligor on a Portfolio Asset to Buyer must be returned to such obligor or its trustee in bankruptcy.</w:t>
      </w:r>
    </w:p>
    <w:p>
      <w:pPr>
        <w:pStyle w:val="Normal"/>
        <w:widowControl/>
        <w:tabs>
          <w:tab w:val="clear" w:pos="720"/>
          <w:tab w:val="left" w:pos="0" w:leader="none"/>
          <w:tab w:val="right" w:pos="1191" w:leader="none"/>
        </w:tabs>
        <w:ind w:hanging="4320" w:start="4320" w:end="0"/>
        <w:rPr/>
      </w:pPr>
      <w:r>
        <w:rPr/>
      </w:r>
    </w:p>
    <w:p>
      <w:pPr>
        <w:pStyle w:val="Normal"/>
        <w:widowControl/>
        <w:tabs>
          <w:tab w:val="clear" w:pos="720"/>
          <w:tab w:val="left" w:pos="0" w:leader="none"/>
          <w:tab w:val="right" w:pos="1296" w:leader="none"/>
        </w:tabs>
        <w:rPr/>
      </w:pPr>
      <w:r>
        <w:rPr/>
        <w:t>Multiple Exercise:</w:t>
        <w:tab/>
        <w:tab/>
        <w:tab/>
        <w:tab/>
        <w:t>Applicable</w:t>
      </w:r>
    </w:p>
    <w:p>
      <w:pPr>
        <w:pStyle w:val="Normal"/>
        <w:widowControl/>
        <w:tabs>
          <w:tab w:val="clear" w:pos="720"/>
          <w:tab w:val="left" w:pos="0" w:leader="none"/>
          <w:tab w:val="right" w:pos="1296" w:leader="none"/>
        </w:tabs>
        <w:rPr/>
      </w:pPr>
      <w:r>
        <w:rPr/>
      </w:r>
    </w:p>
    <w:p>
      <w:pPr>
        <w:pStyle w:val="Normal"/>
        <w:widowControl/>
        <w:tabs>
          <w:tab w:val="clear" w:pos="720"/>
          <w:tab w:val="left" w:pos="0" w:leader="none"/>
          <w:tab w:val="right" w:pos="1191" w:leader="none"/>
        </w:tabs>
        <w:ind w:hanging="4320" w:start="4320" w:end="0"/>
        <w:jc w:val="both"/>
        <w:rPr/>
      </w:pPr>
      <w:r>
        <w:rPr/>
        <w:t>Minimum Notional Amount:</w:t>
        <w:tab/>
        <w:t>Inapplicable.  In lieu of specifying a Notional Amount of the Swap Transaction in respect of which the Option Transaction is being exercised on an Exercise Date, Buyer shall identify the Purchased Interest(s) for such Exercise Date.</w:t>
      </w:r>
    </w:p>
    <w:p>
      <w:pPr>
        <w:pStyle w:val="Normal"/>
        <w:widowControl/>
        <w:tabs>
          <w:tab w:val="clear" w:pos="720"/>
          <w:tab w:val="left" w:pos="0" w:leader="none"/>
          <w:tab w:val="right" w:pos="1296" w:leader="none"/>
        </w:tabs>
        <w:rPr/>
      </w:pPr>
      <w:r>
        <w:rPr/>
      </w:r>
    </w:p>
    <w:p>
      <w:pPr>
        <w:pStyle w:val="Normal"/>
        <w:widowControl/>
        <w:tabs>
          <w:tab w:val="clear" w:pos="720"/>
          <w:tab w:val="left" w:pos="0" w:leader="none"/>
          <w:tab w:val="right" w:pos="1296" w:leader="none"/>
        </w:tabs>
        <w:rPr/>
      </w:pPr>
      <w:r>
        <w:rPr/>
        <w:t>Maximum Notional Amount:</w:t>
        <w:tab/>
        <w:tab/>
        <w:tab/>
        <w:t>Inapplicable</w:t>
      </w:r>
    </w:p>
    <w:p>
      <w:pPr>
        <w:pStyle w:val="Normal"/>
        <w:widowControl/>
        <w:tabs>
          <w:tab w:val="clear" w:pos="720"/>
          <w:tab w:val="left" w:pos="0" w:leader="none"/>
          <w:tab w:val="right" w:pos="1296" w:leader="none"/>
        </w:tabs>
        <w:rPr/>
      </w:pPr>
      <w:r>
        <w:rPr/>
      </w:r>
    </w:p>
    <w:p>
      <w:pPr>
        <w:pStyle w:val="Normal"/>
        <w:widowControl/>
        <w:tabs>
          <w:tab w:val="clear" w:pos="720"/>
          <w:tab w:val="left" w:pos="0" w:leader="none"/>
          <w:tab w:val="right" w:pos="1296" w:leader="none"/>
        </w:tabs>
        <w:rPr/>
      </w:pPr>
      <w:r>
        <w:rPr/>
        <w:t>Integral Multiple:</w:t>
        <w:tab/>
        <w:tab/>
        <w:tab/>
        <w:tab/>
        <w:tab/>
        <w:t>Inapplicable</w:t>
      </w:r>
    </w:p>
    <w:p>
      <w:pPr>
        <w:pStyle w:val="Normal"/>
        <w:widowControl/>
        <w:tabs>
          <w:tab w:val="clear" w:pos="720"/>
          <w:tab w:val="left" w:pos="0" w:leader="none"/>
          <w:tab w:val="right" w:pos="1296" w:leader="none"/>
        </w:tabs>
        <w:rPr/>
      </w:pPr>
      <w:r>
        <w:rPr/>
      </w:r>
    </w:p>
    <w:p>
      <w:pPr>
        <w:pStyle w:val="Normal"/>
        <w:widowControl/>
        <w:tabs>
          <w:tab w:val="clear" w:pos="720"/>
          <w:tab w:val="left" w:pos="0" w:leader="none"/>
          <w:tab w:val="right" w:pos="5691" w:leader="none"/>
        </w:tabs>
        <w:ind w:hanging="4320" w:start="4320" w:end="0"/>
        <w:jc w:val="both"/>
        <w:rPr/>
      </w:pPr>
      <w:r>
        <w:rPr/>
        <w:t>Automatic Exercise:</w:t>
        <w:tab/>
        <w:t>Inapplicable</w:t>
      </w:r>
    </w:p>
    <w:p>
      <w:pPr>
        <w:pStyle w:val="Normal"/>
        <w:widowControl/>
        <w:tabs>
          <w:tab w:val="clear" w:pos="720"/>
          <w:tab w:val="left" w:pos="0" w:leader="none"/>
          <w:tab w:val="right" w:pos="5691" w:leader="none"/>
        </w:tabs>
        <w:jc w:val="both"/>
        <w:rPr/>
      </w:pPr>
      <w:r>
        <w:rPr/>
      </w:r>
    </w:p>
    <w:p>
      <w:pPr>
        <w:pStyle w:val="Normal"/>
        <w:widowControl/>
        <w:tabs>
          <w:tab w:val="clear" w:pos="720"/>
          <w:tab w:val="left" w:pos="0" w:leader="none"/>
        </w:tabs>
        <w:ind w:hanging="4253" w:start="4253" w:end="0"/>
        <w:jc w:val="both"/>
        <w:rPr>
          <w:b/>
        </w:rPr>
      </w:pPr>
      <w:r>
        <w:rPr>
          <w:b/>
        </w:rPr>
        <w:t>Seller's Telephone and/or</w:t>
      </w:r>
    </w:p>
    <w:p>
      <w:pPr>
        <w:pStyle w:val="Normal"/>
        <w:widowControl/>
        <w:tabs>
          <w:tab w:val="clear" w:pos="720"/>
          <w:tab w:val="left" w:pos="0" w:leader="none"/>
        </w:tabs>
        <w:ind w:hanging="4253" w:start="4253" w:end="0"/>
        <w:jc w:val="both"/>
        <w:rPr>
          <w:b/>
        </w:rPr>
      </w:pPr>
      <w:r>
        <w:rPr>
          <w:b/>
        </w:rPr>
        <w:t xml:space="preserve">Facsimile Number and Contact </w:t>
      </w:r>
    </w:p>
    <w:p>
      <w:pPr>
        <w:pStyle w:val="Normal"/>
        <w:widowControl/>
        <w:tabs>
          <w:tab w:val="clear" w:pos="720"/>
          <w:tab w:val="left" w:pos="4320" w:leader="none"/>
        </w:tabs>
        <w:rPr/>
      </w:pPr>
      <w:r>
        <w:rPr>
          <w:b/>
        </w:rPr>
        <w:t>Details for Purpose of Giving Notice:</w:t>
        <w:tab/>
      </w:r>
      <w:r>
        <w:rPr/>
        <w:t>[Name]</w:t>
      </w:r>
    </w:p>
    <w:p>
      <w:pPr>
        <w:pStyle w:val="Normal"/>
        <w:widowControl/>
        <w:tabs>
          <w:tab w:val="clear" w:pos="720"/>
          <w:tab w:val="left" w:pos="4320" w:leader="none"/>
        </w:tabs>
        <w:rPr/>
      </w:pPr>
      <w:r>
        <w:rPr/>
        <w:tab/>
        <w:t>Telephone: 713-[___-____]</w:t>
      </w:r>
    </w:p>
    <w:p>
      <w:pPr>
        <w:pStyle w:val="Normal"/>
        <w:widowControl/>
        <w:tabs>
          <w:tab w:val="clear" w:pos="720"/>
          <w:tab w:val="left" w:pos="4320" w:leader="none"/>
        </w:tabs>
        <w:rPr/>
      </w:pPr>
      <w:r>
        <w:rPr/>
        <w:tab/>
        <w:t>Facsimile: 713-[___-____]</w:t>
      </w:r>
    </w:p>
    <w:p>
      <w:pPr>
        <w:pStyle w:val="Normal"/>
        <w:widowControl/>
        <w:tabs>
          <w:tab w:val="clear" w:pos="720"/>
          <w:tab w:val="left" w:pos="4320" w:leader="none"/>
        </w:tabs>
        <w:rPr/>
      </w:pPr>
      <w:r>
        <w:rPr/>
      </w:r>
    </w:p>
    <w:p>
      <w:pPr>
        <w:pStyle w:val="Normal"/>
        <w:widowControl/>
        <w:tabs>
          <w:tab w:val="clear" w:pos="720"/>
          <w:tab w:val="left" w:pos="4320" w:leader="none"/>
        </w:tabs>
        <w:rPr>
          <w:b/>
        </w:rPr>
      </w:pPr>
      <w:r>
        <w:rPr>
          <w:b/>
        </w:rPr>
        <w:t>Settlement Terms:</w:t>
      </w:r>
    </w:p>
    <w:p>
      <w:pPr>
        <w:pStyle w:val="Normal"/>
        <w:widowControl/>
        <w:tabs>
          <w:tab w:val="clear" w:pos="720"/>
          <w:tab w:val="left" w:pos="0" w:leader="none"/>
          <w:tab w:val="right" w:pos="5691" w:leader="none"/>
        </w:tabs>
        <w:ind w:hanging="4320" w:start="4320" w:end="0"/>
        <w:jc w:val="both"/>
        <w:rPr>
          <w:b/>
        </w:rPr>
      </w:pPr>
      <w:r>
        <w:rPr>
          <w:b/>
        </w:rPr>
      </w:r>
    </w:p>
    <w:p>
      <w:pPr>
        <w:pStyle w:val="Normal"/>
        <w:widowControl/>
        <w:tabs>
          <w:tab w:val="clear" w:pos="720"/>
          <w:tab w:val="left" w:pos="0" w:leader="none"/>
          <w:tab w:val="right" w:pos="5691" w:leader="none"/>
        </w:tabs>
        <w:ind w:hanging="4320" w:start="4320" w:end="0"/>
        <w:jc w:val="both"/>
        <w:rPr/>
      </w:pPr>
      <w:r>
        <w:rPr/>
        <w:t>Physical Settlement:</w:t>
        <w:tab/>
        <w:t>Applicable.  Upon an exercise of the Option Transaction, (a) Seller will pay to Buyer on the Exercise Date an amount equal to the purchase price for the applicable Purchased Interest (as described above) (or, if applicable, such amount may be deducted from the funds standing to the credit of the Collateral Account) and (b) Seller and Buyer will enter into an assignment agreement in substantially the form of Exhibit A hereto in order to effect the sale of the applicable Purchased Interest to Seller (with respect to each Purchased Interest, an "</w:t>
      </w:r>
      <w:r>
        <w:rPr>
          <w:b/>
          <w:i/>
        </w:rPr>
        <w:t>Assignment Agreement</w:t>
      </w:r>
      <w:r>
        <w:rPr/>
        <w:t>").</w:t>
      </w:r>
    </w:p>
    <w:p>
      <w:pPr>
        <w:pStyle w:val="Normal"/>
        <w:widowControl/>
        <w:tabs>
          <w:tab w:val="clear" w:pos="720"/>
          <w:tab w:val="left" w:pos="0" w:leader="none"/>
          <w:tab w:val="right" w:pos="5691" w:leader="none"/>
        </w:tabs>
        <w:ind w:hanging="4320" w:start="4320" w:end="0"/>
        <w:jc w:val="both"/>
        <w:rPr/>
      </w:pPr>
      <w:r>
        <w:rPr/>
      </w:r>
    </w:p>
    <w:p>
      <w:pPr>
        <w:pStyle w:val="Normal"/>
        <w:widowContro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2.</w:t>
      </w:r>
      <w:r>
        <w:rPr/>
        <w:tab/>
      </w:r>
      <w:r>
        <w:rPr>
          <w:b/>
        </w:rPr>
        <w:t>Rating Downgrade of Seller.</w:t>
      </w:r>
      <w:r>
        <w:rPr/>
        <w:t xml:space="preserve">  In the event that at any time prior to the Expiration Date Seller does not satisfy the Rating Condition, Seller shall cause its obligations under this Transaction to be transferred to another entity that satisfies the Rating Condition and that is reasonably acceptable to each Initial Rating Agency within 60 days after the date on which Seller failed to satisfy the Rating Condition unless during such time Seller again satisfies the Rating Condition.  If Seller has not satisfied the Rating Condition by such 60th day and a replacement Transaction has not been entered into on substantially similar terms with an entity satisfying the Rating Condition by such 60th day, Seller shall deliver Eligible Collateral to an account (the "</w:t>
      </w:r>
      <w:r>
        <w:rPr>
          <w:b/>
          <w:i/>
        </w:rPr>
        <w:t>Collateral Account</w:t>
      </w:r>
      <w:r>
        <w:rPr/>
        <w:t xml:space="preserve">") maintained by Buyer in an amount equal to the Available Amount as of such 60th day, such collateral to be applied to Seller's obligations under this Transaction as they become due upon exercise of the Option Transaction by Buyer thereafter.  In addition, any payments received from </w:t>
      </w:r>
      <w:r>
        <w:rPr>
          <w:strike/>
        </w:rPr>
        <w:t>obligors</w:t>
      </w:r>
      <w:r>
        <w:rPr/>
        <w:t xml:space="preserve"> </w:t>
      </w:r>
      <w:r>
        <w:rPr>
          <w:b/>
          <w:u w:val="double"/>
        </w:rPr>
        <w:t>an obligor</w:t>
      </w:r>
      <w:r>
        <w:rPr/>
        <w:t xml:space="preserve"> that would be payable to Seller in respect of </w:t>
      </w:r>
      <w:r>
        <w:rPr>
          <w:strike/>
        </w:rPr>
        <w:t>the</w:t>
      </w:r>
      <w:r>
        <w:rPr/>
        <w:t xml:space="preserve"> </w:t>
      </w:r>
      <w:r>
        <w:rPr>
          <w:b/>
          <w:u w:val="double"/>
        </w:rPr>
        <w:t>a</w:t>
      </w:r>
      <w:r>
        <w:rPr/>
        <w:t xml:space="preserve"> Purchased </w:t>
      </w:r>
      <w:r>
        <w:rPr>
          <w:strike/>
        </w:rPr>
        <w:t>Interests</w:t>
      </w:r>
      <w:r>
        <w:rPr/>
        <w:t xml:space="preserve"> </w:t>
      </w:r>
      <w:r>
        <w:rPr>
          <w:b/>
          <w:u w:val="double"/>
        </w:rPr>
        <w:t>Interest</w:t>
      </w:r>
      <w:r>
        <w:rPr/>
        <w:t xml:space="preserve"> in accordance with the applicable Assignment Agreement shall instead be credited to the Collateral Account </w:t>
      </w:r>
      <w:r>
        <w:rPr>
          <w:b/>
          <w:u w:val="double"/>
        </w:rPr>
        <w:t>until the amount standing to the credit of the Collateral Account equals the lesser of (a) the aggregate outstanding principal amount of the Notes and (b) $113 million, and any amount in excess of the lesser of such clauses shall be paid to Seller in accordance with the applicable Assignment Agreement.  If, at any time, the amount standing to the credit of the Collateral Account is in excess of the lesser of the foregoing clauses (a) and (b), such excess shall be paid to Seller within 3 Business Days (such term as defined in the Indenture)</w:t>
      </w:r>
      <w:r>
        <w:rPr/>
        <w:t>.</w:t>
      </w:r>
    </w:p>
    <w:p>
      <w:pPr>
        <w:pStyle w:val="Normal"/>
        <w:widowControl/>
        <w:ind w:hanging="3600" w:start="3600" w:end="0"/>
        <w:rPr/>
      </w:pPr>
      <w:r>
        <w:rPr/>
      </w:r>
    </w:p>
    <w:p>
      <w:pPr>
        <w:pStyle w:val="Normal"/>
        <w:widowContro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The "</w:t>
      </w:r>
      <w:r>
        <w:rPr>
          <w:b/>
          <w:i/>
        </w:rPr>
        <w:t>Rating Condition</w:t>
      </w:r>
      <w:r>
        <w:rPr/>
        <w:t>" shall be satisfied with respect to any entity if such entity (or another entity that shall have absolutely and unconditionally guaranteed the obligations of such entity under the Option Transaction) has a long-term senior unsecured debt rating of (a) "BBB" or better from Fitch or, (b) in the event that such entity (or such guarantor entity) is not rated by Fitch, "BBB" or better from Standard &amp; Poor's and "Baa2" or better from Moody's.</w:t>
      </w:r>
    </w:p>
    <w:p>
      <w:pPr>
        <w:pStyle w:val="Normal"/>
        <w:widowContro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w:t>
      </w:r>
      <w:r>
        <w:rPr>
          <w:b/>
          <w:i/>
        </w:rPr>
        <w:t>Eligible Collateral</w:t>
      </w:r>
      <w:r>
        <w:rPr/>
        <w:t xml:space="preserve">" has the same meaning ascribed to the term "Eligible Investments" in the Indenture; </w:t>
      </w:r>
      <w:r>
        <w:rPr>
          <w:i/>
        </w:rPr>
        <w:t>provided</w:t>
      </w:r>
      <w:r>
        <w:rPr/>
        <w:t xml:space="preserve"> that, notwithstanding the first proviso to the definition of "Eligible Investments" in the Indenture, "Eligible Collateral" shall include only such obligations or securities as mature no later than the Exercise Business Day prior to the next Calculation Date (as defined in the Indenture).  Eligible Investments may include investments with respect to which the Indenture Trustee, Wilmington Trust Company or their respective Affiliates provides services.</w:t>
      </w:r>
    </w:p>
    <w:p>
      <w:pPr>
        <w:pStyle w:val="Normal"/>
        <w:widowContro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3.</w:t>
        <w:tab/>
        <w:t>Additional Representations and Agreements.</w:t>
      </w:r>
      <w:r>
        <w:rPr/>
        <w:t xml:space="preserve">  </w:t>
      </w:r>
    </w:p>
    <w:p>
      <w:pPr>
        <w:pStyle w:val="Normal"/>
        <w:widowContro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w:t>
        <w:tab/>
        <w:t>Buyer represents on each Exercise Date (which representation shall survive the Exercise Date) that it has conveyed (or, if applicable, caused to be conveyed) to Seller (or, if applicable, its designee) all right, title and interest in the Purchased Interest delivered to Seller on such Exercise Date free and clear of all claims, charges, liens and encumbrances</w:t>
      </w:r>
      <w:r>
        <w:rPr>
          <w:strike/>
        </w:rPr>
        <w:t>[(including without limitation any counterclaim, defense or right of setoff by or of the obligor on the related Portfolio Asset)]</w:t>
      </w:r>
      <w:r>
        <w:rPr/>
        <w:t>.</w:t>
      </w:r>
    </w:p>
    <w:p>
      <w:pPr>
        <w:pStyle w:val="Normal"/>
        <w:widowContro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(b)</w:t>
        <w:tab/>
        <w:t>Buyer agrees (which agreement shall survive the Termination Date) to execute, deliver, file and record any specific assignment or other document and take any other action that may be necessary or desirable and reasonably requested by Seller in connection with Buyer's sale of a Purchased Interest upon any exercise of the Option Transaction.</w:t>
      </w:r>
    </w:p>
    <w:p>
      <w:pPr>
        <w:pStyle w:val="Normal"/>
        <w:widowContro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w:t>
        <w:tab/>
        <w:t>Each party agrees with the other that, so long as either party has or may have any obligation under this Transaction:—</w:t>
      </w:r>
    </w:p>
    <w:p>
      <w:pPr>
        <w:pStyle w:val="Normal"/>
        <w:widowContro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ab/>
        <w:t>(i)</w:t>
        <w:tab/>
        <w:t>Subject to clause (iii) below and the terms of each Assignment Agreement, each party and its Affiliates and the Calculation Agent may deal in each Portfolio Asset and may accept deposits from, make loans or otherwise extend credit to, and generally engage in any kind of commercial or investment banking or other business with the obligor thereon, any Affiliate of an obligor, any other person or entity having obligations relating to the obligor or any guarantor and may act with respect to such business in the same manner as if this Transaction did not exist, regardless of whether any such action might have an adverse effect on such obligor, any guarantor or the position of the other party to this Transaction or otherwise.</w:t>
      </w:r>
    </w:p>
    <w:p>
      <w:pPr>
        <w:pStyle w:val="Normal"/>
        <w:widowContro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r>
    </w:p>
    <w:p>
      <w:pPr>
        <w:pStyle w:val="Normal"/>
        <w:widowContro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ab/>
        <w:t>(ii)</w:t>
        <w:tab/>
        <w:t>Each party and its Affiliates and the Calculation Agent may, whether by virtue of the types of relationships described herein or otherwise, at the date hereof or at any time hereafter, be in possession of information in relation to an obligor on a Portfolio Asset or any guarantor that is or may be material in the context of this Transaction and that may or may not be publicly available or known to the other party.  This Transaction does not create any obligation on the part of such party and its Affiliates to disclose to the other party any such relationship or information (whether or not confidential).</w:t>
      </w:r>
    </w:p>
    <w:p>
      <w:pPr>
        <w:pStyle w:val="Normal"/>
        <w:widowContro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r>
    </w:p>
    <w:p>
      <w:pPr>
        <w:pStyle w:val="Normal"/>
        <w:widowContro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(d)</w:t>
        <w:tab/>
        <w:t xml:space="preserve">Seller agrees that Buyer may (but subject to the terms of each Assignment Agreement), without compromising, impairing, diminishing, or in any way releasing Seller from its obligations under this Transaction and without obtaining the prior approval of Seller (but with advance notice to Seller), at any time or from time to time:  (i) waive or excuse a default or consent to the departure from the terms of any Portfolio Asset by the obligor thereon or delay in the exercise by Buyer of any or all of Buyer's rights or remedies with respect to such default or defaults; (ii) make advances under any Portfolio Asset to the obligor thereon in an aggregate amount not to exceed the maximum principal amount that may be outstanding under the agreements or instruments pursuant to which such Portfolio Asset was created or issued, as in effect as of the Trade Date; (iii) grant extensions of time for payment or performance by the obligor on any Portfolio Asset; </w:t>
      </w:r>
      <w:r>
        <w:rPr>
          <w:strike/>
        </w:rPr>
        <w:t>and</w:t>
      </w:r>
      <w:r>
        <w:rPr/>
        <w:t>(iv) release, substitute, exchange, surrender, or add collateral of the obligor on any Portfolio Asset, or waive, release, or subordinate, in whole or in part, any lien or security interest on any real or personal property securing payment or performance, in whole or in part, of the obligations of the obligor on any Portfolio Asset</w:t>
      </w:r>
      <w:r>
        <w:rPr>
          <w:b/>
          <w:u w:val="double"/>
        </w:rPr>
        <w:t>; and (v) otherwise amend, modify, supplement, or grant any consent or waiver under, the agreements or instruments pursuant to which such Portfolio Asset was created or issued</w:t>
      </w:r>
      <w:r>
        <w:rPr/>
        <w:t>.  Failure to give any notice to Seller that is required in connection with any of the foregoing shall not release Seller from its obligations under this Transaction.</w:t>
      </w:r>
    </w:p>
    <w:p>
      <w:pPr>
        <w:pStyle w:val="Normal"/>
        <w:widowContro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4.</w:t>
        <w:tab/>
        <w:t>Notice and Account Details:</w:t>
      </w:r>
    </w:p>
    <w:p>
      <w:pPr>
        <w:pStyle w:val="Normal"/>
        <w:keepNext w:val="true"/>
        <w:keepLines/>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widowControl/>
              <w:tabs>
                <w:tab w:val="clear" w:pos="4590"/>
                <w:tab w:val="left" w:pos="4320" w:leader="none"/>
                <w:tab w:val="left" w:pos="4410" w:leader="none"/>
              </w:tabs>
              <w:ind w:hanging="4320" w:start="4320" w:end="0"/>
              <w:rPr>
                <w:color w:val="000000"/>
              </w:rPr>
            </w:pPr>
            <w:r>
              <w:rPr>
                <w:color w:val="000000"/>
              </w:rPr>
              <w:t>1400 Smith Street</w:t>
            </w:r>
          </w:p>
          <w:p>
            <w:pPr>
              <w:pStyle w:val="BodyTextIndent"/>
              <w:widowControl/>
              <w:tabs>
                <w:tab w:val="clear" w:pos="4590"/>
                <w:tab w:val="left" w:pos="4320" w:leader="none"/>
                <w:tab w:val="left" w:pos="4410" w:leader="none"/>
              </w:tabs>
              <w:ind w:hanging="4320" w:start="4320" w:end="0"/>
              <w:rPr>
                <w:color w:val="000000"/>
              </w:rPr>
            </w:pPr>
            <w:r>
              <w:rPr>
                <w:color w:val="000000"/>
              </w:rPr>
              <w:t>Houston, Texas  77002</w:t>
            </w:r>
          </w:p>
          <w:p>
            <w:pPr>
              <w:pStyle w:val="Normal"/>
              <w:widowControl/>
              <w:tabs>
                <w:tab w:val="clear" w:pos="720"/>
                <w:tab w:val="left" w:pos="4253" w:leader="none"/>
              </w:tabs>
              <w:rPr>
                <w:color w:val="000000"/>
              </w:rPr>
            </w:pPr>
            <w:r>
              <w:rPr>
                <w:color w:val="000000"/>
              </w:rPr>
              <w:t>Attention:  [Corporate Treasury]</w:t>
            </w:r>
          </w:p>
          <w:p>
            <w:pPr>
              <w:pStyle w:val="Normal"/>
              <w:widowControl/>
              <w:tabs>
                <w:tab w:val="clear" w:pos="720"/>
                <w:tab w:val="left" w:pos="4253" w:leader="none"/>
              </w:tabs>
              <w:rPr>
                <w:color w:val="000000"/>
              </w:rPr>
            </w:pPr>
            <w:r>
              <w:rPr>
                <w:color w:val="000000"/>
              </w:rPr>
              <w:t xml:space="preserve">Telephone: </w:t>
            </w:r>
            <w:r>
              <w:rPr/>
              <w:t>(713) 853-3353</w:t>
            </w:r>
          </w:p>
          <w:p>
            <w:pPr>
              <w:pStyle w:val="BodyTextIndent"/>
              <w:widowControl/>
              <w:tabs>
                <w:tab w:val="clear" w:pos="4590"/>
                <w:tab w:val="left" w:pos="4320" w:leader="none"/>
                <w:tab w:val="left" w:pos="4410" w:leader="none"/>
              </w:tabs>
              <w:ind w:hanging="4320" w:start="4320" w:end="0"/>
              <w:rPr>
                <w:color w:val="000000"/>
              </w:rPr>
            </w:pPr>
            <w:r>
              <w:rPr>
                <w:color w:val="000000"/>
              </w:rPr>
              <w:t xml:space="preserve">Facsimile: (713) </w:t>
            </w:r>
            <w:r>
              <w:rPr/>
              <w:t>646-3422</w:t>
            </w:r>
          </w:p>
          <w:p>
            <w:pPr>
              <w:pStyle w:val="BodyTextIndent"/>
              <w:widowControl/>
              <w:tabs>
                <w:tab w:val="clear" w:pos="4590"/>
                <w:tab w:val="left" w:pos="4320" w:leader="none"/>
                <w:tab w:val="left" w:pos="4410" w:leader="none"/>
              </w:tabs>
              <w:ind w:hanging="4320" w:start="4320" w:end="0"/>
              <w:rPr>
                <w:color w:val="000000"/>
              </w:rPr>
            </w:pPr>
            <w:r>
              <w:rPr>
                <w:color w:val="000000"/>
              </w:rPr>
            </w:r>
          </w:p>
        </w:tc>
      </w:tr>
      <w:tr>
        <w:trPr>
          <w:trHeight w:val="512" w:hRule="atLeast"/>
        </w:trPr>
        <w:tc>
          <w:tcPr>
            <w:tcW w:w="3168" w:type="dxa"/>
            <w:tcBorders/>
          </w:tcPr>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widowControl/>
              <w:tabs>
                <w:tab w:val="clear" w:pos="4590"/>
                <w:tab w:val="left" w:pos="4320" w:leader="none"/>
                <w:tab w:val="left" w:pos="4410" w:leader="none"/>
              </w:tabs>
              <w:ind w:hanging="4320" w:start="4320" w:end="0"/>
              <w:rPr>
                <w:color w:val="000000"/>
              </w:rPr>
            </w:pPr>
            <w:r>
              <w:rPr>
                <w:color w:val="000000"/>
              </w:rPr>
              <w:t>c/o Enron North America Corp.,</w:t>
            </w:r>
          </w:p>
          <w:p>
            <w:pPr>
              <w:pStyle w:val="BodyTextIndent"/>
              <w:widowControl/>
              <w:tabs>
                <w:tab w:val="clear" w:pos="4590"/>
                <w:tab w:val="left" w:pos="4320" w:leader="none"/>
                <w:tab w:val="left" w:pos="4410" w:leader="none"/>
              </w:tabs>
              <w:ind w:hanging="4320" w:start="4320" w:end="0"/>
              <w:rPr>
                <w:color w:val="000000"/>
              </w:rPr>
            </w:pPr>
            <w:r>
              <w:rPr>
                <w:color w:val="000000"/>
              </w:rPr>
              <w:t xml:space="preserve">   </w:t>
            </w:r>
            <w:r>
              <w:rPr>
                <w:color w:val="000000"/>
              </w:rPr>
              <w:t>as Servicer</w:t>
            </w:r>
          </w:p>
          <w:p>
            <w:pPr>
              <w:pStyle w:val="BodyTextIndent"/>
              <w:widowControl/>
              <w:tabs>
                <w:tab w:val="clear" w:pos="4590"/>
                <w:tab w:val="left" w:pos="4320" w:leader="none"/>
                <w:tab w:val="left" w:pos="4410" w:leader="none"/>
              </w:tabs>
              <w:ind w:hanging="4320" w:start="4320" w:end="0"/>
              <w:rPr>
                <w:color w:val="000000"/>
              </w:rPr>
            </w:pPr>
            <w:r>
              <w:rPr>
                <w:color w:val="000000"/>
              </w:rPr>
              <w:t>1400 Smith Street</w:t>
            </w:r>
          </w:p>
          <w:p>
            <w:pPr>
              <w:pStyle w:val="BodyTextIndent"/>
              <w:widowControl/>
              <w:tabs>
                <w:tab w:val="clear" w:pos="4590"/>
                <w:tab w:val="left" w:pos="4320" w:leader="none"/>
                <w:tab w:val="left" w:pos="4410" w:leader="none"/>
              </w:tabs>
              <w:ind w:hanging="4320" w:start="4320" w:end="0"/>
              <w:rPr>
                <w:color w:val="000000"/>
              </w:rPr>
            </w:pPr>
            <w:r>
              <w:rPr>
                <w:color w:val="000000"/>
              </w:rPr>
              <w:t>Houston, Texas  77002</w:t>
            </w:r>
          </w:p>
          <w:p>
            <w:pPr>
              <w:pStyle w:val="BodyTextIndent"/>
              <w:widowControl/>
              <w:tabs>
                <w:tab w:val="clear" w:pos="4590"/>
                <w:tab w:val="left" w:pos="4320" w:leader="none"/>
                <w:tab w:val="left" w:pos="4410" w:leader="none"/>
              </w:tabs>
              <w:ind w:hanging="4320" w:start="4320" w:end="0"/>
              <w:rPr>
                <w:color w:val="000000"/>
              </w:rPr>
            </w:pPr>
            <w:r>
              <w:rPr>
                <w:color w:val="000000"/>
              </w:rPr>
              <w:t>Attention:  [_______]</w:t>
            </w:r>
          </w:p>
          <w:p>
            <w:pPr>
              <w:pStyle w:val="BodyTextIndent"/>
              <w:widowControl/>
              <w:tabs>
                <w:tab w:val="clear" w:pos="4590"/>
                <w:tab w:val="left" w:pos="4320" w:leader="none"/>
                <w:tab w:val="left" w:pos="4410" w:leader="none"/>
              </w:tabs>
              <w:ind w:hanging="4320" w:start="4320" w:end="0"/>
              <w:rPr>
                <w:color w:val="000000"/>
              </w:rPr>
            </w:pPr>
            <w:r>
              <w:rPr>
                <w:color w:val="000000"/>
              </w:rPr>
              <w:t>Telephone:  (713) [_______]</w:t>
            </w:r>
          </w:p>
          <w:p>
            <w:pPr>
              <w:pStyle w:val="BodyTextIndent"/>
              <w:widowControl/>
              <w:tabs>
                <w:tab w:val="clear" w:pos="4590"/>
                <w:tab w:val="left" w:pos="4320" w:leader="none"/>
                <w:tab w:val="left" w:pos="4410" w:leader="none"/>
              </w:tabs>
              <w:ind w:hanging="4320" w:start="4320" w:end="0"/>
              <w:rPr>
                <w:color w:val="000000"/>
              </w:rPr>
            </w:pPr>
            <w:r>
              <w:rPr>
                <w:color w:val="000000"/>
              </w:rPr>
              <w:t>Facsimile:  (713) [_______]</w:t>
            </w:r>
          </w:p>
          <w:p>
            <w:pPr>
              <w:pStyle w:val="BodyTextIndent"/>
              <w:widowControl/>
              <w:tabs>
                <w:tab w:val="clear" w:pos="4590"/>
                <w:tab w:val="left" w:pos="4320" w:leader="none"/>
                <w:tab w:val="left" w:pos="4410" w:leader="none"/>
              </w:tabs>
              <w:ind w:hanging="4320" w:start="4320" w:end="0"/>
              <w:rPr>
                <w:color w:val="000000"/>
              </w:rPr>
            </w:pPr>
            <w:r>
              <w:rPr>
                <w:color w:val="000000"/>
              </w:rPr>
            </w:r>
          </w:p>
          <w:p>
            <w:pPr>
              <w:pStyle w:val="BodyTextIndent"/>
              <w:widowControl/>
              <w:tabs>
                <w:tab w:val="clear" w:pos="4590"/>
                <w:tab w:val="left" w:pos="4320" w:leader="none"/>
                <w:tab w:val="left" w:pos="4410" w:leader="none"/>
              </w:tabs>
              <w:ind w:hanging="4320" w:start="4320" w:end="0"/>
              <w:rPr>
                <w:color w:val="000000"/>
              </w:rPr>
            </w:pPr>
            <w:r>
              <w:rPr>
                <w:color w:val="000000"/>
              </w:rPr>
              <w:t>with a copy to:</w:t>
            </w:r>
          </w:p>
          <w:p>
            <w:pPr>
              <w:pStyle w:val="BodyTextIndent"/>
              <w:widowControl/>
              <w:tabs>
                <w:tab w:val="clear" w:pos="4590"/>
                <w:tab w:val="left" w:pos="4320" w:leader="none"/>
                <w:tab w:val="left" w:pos="4410" w:leader="none"/>
              </w:tabs>
              <w:ind w:hanging="4320" w:start="4320" w:end="0"/>
              <w:rPr>
                <w:color w:val="000000"/>
              </w:rPr>
            </w:pPr>
            <w:r>
              <w:rPr>
                <w:color w:val="000000"/>
              </w:rPr>
            </w:r>
          </w:p>
          <w:p>
            <w:pPr>
              <w:pStyle w:val="Normal"/>
              <w:widowControl/>
              <w:tabs>
                <w:tab w:val="clear" w:pos="720"/>
                <w:tab w:val="left" w:pos="1440" w:leader="none"/>
                <w:tab w:val="left" w:pos="2880" w:leader="none"/>
                <w:tab w:val="left" w:pos="6480" w:leader="none"/>
              </w:tabs>
              <w:spacing w:lineRule="exact" w:line="240"/>
              <w:jc w:val="both"/>
              <w:rPr/>
            </w:pPr>
            <w:r>
              <w:rPr/>
              <w:t>Wilmington Trust Company</w:t>
            </w:r>
          </w:p>
          <w:p>
            <w:pPr>
              <w:pStyle w:val="Normal"/>
              <w:widowControl/>
              <w:tabs>
                <w:tab w:val="clear" w:pos="720"/>
                <w:tab w:val="left" w:pos="1440" w:leader="none"/>
                <w:tab w:val="left" w:pos="2880" w:leader="none"/>
                <w:tab w:val="left" w:pos="6480" w:leader="none"/>
              </w:tabs>
              <w:spacing w:lineRule="exact" w:line="240"/>
              <w:jc w:val="both"/>
              <w:rPr/>
            </w:pPr>
            <w:r>
              <w:rPr/>
              <w:t>Rodney Square North</w:t>
            </w:r>
          </w:p>
          <w:p>
            <w:pPr>
              <w:pStyle w:val="Normal"/>
              <w:widowControl/>
              <w:tabs>
                <w:tab w:val="clear" w:pos="720"/>
                <w:tab w:val="left" w:pos="1440" w:leader="none"/>
                <w:tab w:val="left" w:pos="2880" w:leader="none"/>
                <w:tab w:val="left" w:pos="6480" w:leader="none"/>
              </w:tabs>
              <w:spacing w:lineRule="exact" w:line="240"/>
              <w:jc w:val="both"/>
              <w:rPr/>
            </w:pPr>
            <w:r>
              <w:rPr/>
              <w:t>1100 North Market Street</w:t>
            </w:r>
          </w:p>
          <w:p>
            <w:pPr>
              <w:pStyle w:val="Normal"/>
              <w:widowControl/>
              <w:tabs>
                <w:tab w:val="clear" w:pos="720"/>
                <w:tab w:val="left" w:pos="1440" w:leader="none"/>
                <w:tab w:val="left" w:pos="2880" w:leader="none"/>
                <w:tab w:val="left" w:pos="6480" w:leader="none"/>
              </w:tabs>
              <w:spacing w:lineRule="exact" w:line="240"/>
              <w:jc w:val="both"/>
              <w:rPr/>
            </w:pPr>
            <w:r>
              <w:rPr/>
              <w:t>Wilmington, Delaware 19890</w:t>
            </w:r>
          </w:p>
          <w:p>
            <w:pPr>
              <w:pStyle w:val="BodyTextIndent"/>
              <w:widowControl/>
              <w:tabs>
                <w:tab w:val="clear" w:pos="4590"/>
                <w:tab w:val="left" w:pos="4320" w:leader="none"/>
                <w:tab w:val="left" w:pos="4410" w:leader="none"/>
              </w:tabs>
              <w:ind w:hanging="4320" w:start="4320" w:end="0"/>
              <w:rPr/>
            </w:pPr>
            <w:r>
              <w:rPr/>
              <w:t>Attn:  Corporate Trust Administration</w:t>
            </w:r>
          </w:p>
          <w:p>
            <w:pPr>
              <w:pStyle w:val="BodyTextIndent"/>
              <w:widowControl/>
              <w:tabs>
                <w:tab w:val="clear" w:pos="4590"/>
                <w:tab w:val="left" w:pos="4320" w:leader="none"/>
                <w:tab w:val="left" w:pos="4410" w:leader="none"/>
              </w:tabs>
              <w:ind w:hanging="4320" w:start="4320" w:end="0"/>
              <w:rPr>
                <w:color w:val="000000"/>
              </w:rPr>
            </w:pPr>
            <w:r>
              <w:rPr/>
              <w:t>Facsimile:  (302) 651-8882</w:t>
            </w:r>
          </w:p>
          <w:p>
            <w:pPr>
              <w:pStyle w:val="BodyTextIndent"/>
              <w:widowControl/>
              <w:tabs>
                <w:tab w:val="clear" w:pos="4590"/>
                <w:tab w:val="left" w:pos="4320" w:leader="none"/>
                <w:tab w:val="left" w:pos="4410" w:leader="none"/>
              </w:tabs>
              <w:ind w:hanging="4320" w:start="4320" w:end="0"/>
              <w:rPr>
                <w:color w:val="000000"/>
              </w:rPr>
            </w:pPr>
            <w:r>
              <w:rPr>
                <w:color w:val="000000"/>
              </w:rPr>
            </w:r>
          </w:p>
        </w:tc>
      </w:tr>
      <w:tr>
        <w:trPr/>
        <w:tc>
          <w:tcPr>
            <w:tcW w:w="3168" w:type="dxa"/>
            <w:tcBorders/>
          </w:tcPr>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[Account information for Wilmington Trust Company account]</w:t>
            </w:r>
          </w:p>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bl>
    <w:p>
      <w:pPr>
        <w:pStyle w:val="Normal"/>
        <w:widowControl/>
        <w:tabs>
          <w:tab w:val="clear" w:pos="720"/>
          <w:tab w:val="left" w:pos="540" w:leader="none"/>
        </w:tabs>
        <w:jc w:val="both"/>
        <w:rPr>
          <w:b/>
        </w:rPr>
      </w:pPr>
      <w:r>
        <w:rPr>
          <w:b/>
        </w:rPr>
        <w:t>5.</w:t>
        <w:tab/>
        <w:t xml:space="preserve">Governing Law/Jurisdiction.  This Confirmation and the ISDA Master Agreement shall be governed by and construed, interpreted and enforced in accordance with the laws of the State of New York, without regard to the conflict of law rules thereof other than Section 5-1401 of the New York General Obligations Law. </w:t>
      </w:r>
    </w:p>
    <w:p>
      <w:pPr>
        <w:pStyle w:val="Normal"/>
        <w:widowControl/>
        <w:jc w:val="both"/>
        <w:rPr>
          <w:b/>
        </w:rPr>
      </w:pPr>
      <w:r>
        <w:rPr>
          <w:b/>
        </w:rPr>
      </w:r>
    </w:p>
    <w:p>
      <w:pPr>
        <w:pStyle w:val="Normal"/>
        <w:widowControl/>
        <w:tabs>
          <w:tab w:val="clear" w:pos="720"/>
          <w:tab w:val="left" w:pos="540" w:leader="none"/>
        </w:tabs>
        <w:jc w:val="both"/>
        <w:rPr/>
      </w:pPr>
      <w:r>
        <w:rPr>
          <w:b/>
        </w:rPr>
        <w:t>6.</w:t>
        <w:tab/>
        <w:t xml:space="preserve">Limitation of Liability. </w:t>
      </w:r>
      <w:r>
        <w:rPr/>
        <w:t xml:space="preserve"> </w:t>
      </w:r>
      <w:r>
        <w:rPr>
          <w:b/>
          <w:caps/>
        </w:rPr>
        <w:t>No party shall be required to pay  or be liable for SPECIAL, PUNITIVE, EXEMPLARY, incidental, consequential or indirect damages (WHETHER OR NOT ARISING FROM its NEGLIGENCE) to any other party.  If and to the extent any payment required to be made pursuant to the Confirmation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r>
        <w:br w:type="page"/>
      </w:r>
    </w:p>
    <w:p>
      <w:pPr>
        <w:pStyle w:val="Normal"/>
        <w:widowControl/>
        <w:jc w:val="both"/>
        <w:rPr/>
      </w:pPr>
      <w:r>
        <w:rPr/>
        <w:t>Please confirm that the foregoing correctly sets forth the terms of our agreement by executing the copy of this Confirmation enclosed for that purpose and returning it to us.</w:t>
      </w:r>
    </w:p>
    <w:p>
      <w:pPr>
        <w:pStyle w:val="Normal"/>
        <w:widowControl/>
        <w:jc w:val="both"/>
        <w:rPr/>
      </w:pPr>
      <w:r>
        <w:rPr/>
      </w:r>
    </w:p>
    <w:p>
      <w:pPr>
        <w:pStyle w:val="Normal"/>
        <w:widowControl/>
        <w:ind w:start="4320" w:end="0"/>
        <w:jc w:val="both"/>
        <w:rPr/>
      </w:pPr>
      <w:r>
        <w:rPr/>
        <w:t>Yours sincerely,</w:t>
      </w:r>
    </w:p>
    <w:p>
      <w:pPr>
        <w:pStyle w:val="Normal"/>
        <w:widowControl/>
        <w:tabs>
          <w:tab w:val="clear" w:pos="720"/>
          <w:tab w:val="left" w:pos="0" w:leader="none"/>
          <w:tab w:val="left" w:pos="4253" w:leader="none"/>
          <w:tab w:val="left" w:pos="5812" w:leader="none"/>
        </w:tabs>
        <w:ind w:start="4320" w:end="0"/>
        <w:rPr/>
      </w:pPr>
      <w:r>
        <w:rPr/>
      </w:r>
    </w:p>
    <w:p>
      <w:pPr>
        <w:pStyle w:val="Heading2"/>
        <w:widowControl/>
        <w:ind w:start="4320" w:end="0"/>
        <w:rPr/>
      </w:pPr>
      <w:r>
        <w:rPr/>
        <w:t>ENRON CORP.</w:t>
      </w:r>
    </w:p>
    <w:p>
      <w:pPr>
        <w:pStyle w:val="Normal"/>
        <w:widowControl/>
        <w:tabs>
          <w:tab w:val="clear" w:pos="720"/>
          <w:tab w:val="left" w:pos="0" w:leader="none"/>
          <w:tab w:val="left" w:pos="4253" w:leader="none"/>
        </w:tabs>
        <w:ind w:start="4320" w:end="0"/>
        <w:rPr/>
      </w:pPr>
      <w:r>
        <w:rPr/>
      </w:r>
    </w:p>
    <w:p>
      <w:pPr>
        <w:pStyle w:val="Normal"/>
        <w:widowControl/>
        <w:tabs>
          <w:tab w:val="clear" w:pos="720"/>
          <w:tab w:val="left" w:pos="0" w:leader="none"/>
          <w:tab w:val="left" w:pos="4253" w:leader="none"/>
        </w:tabs>
        <w:ind w:start="4320" w:end="0"/>
        <w:rPr/>
      </w:pPr>
      <w:r>
        <w:rPr/>
      </w:r>
    </w:p>
    <w:p>
      <w:pPr>
        <w:pStyle w:val="Normal"/>
        <w:widowControl/>
        <w:tabs>
          <w:tab w:val="clear" w:pos="720"/>
          <w:tab w:val="left" w:pos="0" w:leader="none"/>
          <w:tab w:val="left" w:pos="4253" w:leader="none"/>
          <w:tab w:val="left" w:pos="4680" w:leader="none"/>
        </w:tabs>
        <w:ind w:start="4320" w:end="0"/>
        <w:rPr/>
      </w:pPr>
      <w:r>
        <w:rPr/>
        <w:t>By:</w:t>
        <w:tab/>
        <w:t>_____________________________________</w:t>
      </w:r>
    </w:p>
    <w:p>
      <w:pPr>
        <w:pStyle w:val="Normal"/>
        <w:widowControl/>
        <w:tabs>
          <w:tab w:val="clear" w:pos="720"/>
          <w:tab w:val="left" w:pos="0" w:leader="none"/>
          <w:tab w:val="left" w:pos="4680" w:leader="none"/>
        </w:tabs>
        <w:ind w:start="4320" w:end="0"/>
        <w:rPr/>
      </w:pPr>
      <w:r>
        <w:rPr/>
        <w:tab/>
        <w:t>Name:</w:t>
      </w:r>
    </w:p>
    <w:p>
      <w:pPr>
        <w:pStyle w:val="Normal"/>
        <w:widowControl/>
        <w:tabs>
          <w:tab w:val="clear" w:pos="720"/>
          <w:tab w:val="left" w:pos="0" w:leader="none"/>
          <w:tab w:val="left" w:pos="4680" w:leader="none"/>
        </w:tabs>
        <w:ind w:start="4320" w:end="0"/>
        <w:rPr/>
      </w:pPr>
      <w:r>
        <w:rPr/>
        <w:tab/>
        <w:t>Title:</w:t>
      </w:r>
    </w:p>
    <w:p>
      <w:pPr>
        <w:pStyle w:val="Normal"/>
        <w:widowControl/>
        <w:tabs>
          <w:tab w:val="clear" w:pos="720"/>
          <w:tab w:val="left" w:pos="0" w:leader="none"/>
          <w:tab w:val="left" w:pos="4253" w:leader="none"/>
        </w:tabs>
        <w:ind w:start="4320" w:end="0"/>
        <w:rPr/>
      </w:pPr>
      <w:r>
        <w:rPr/>
      </w:r>
    </w:p>
    <w:p>
      <w:pPr>
        <w:pStyle w:val="Normal"/>
        <w:widowControl/>
        <w:tabs>
          <w:tab w:val="clear" w:pos="720"/>
          <w:tab w:val="left" w:pos="4253" w:leader="none"/>
        </w:tabs>
        <w:ind w:start="4320" w:end="0"/>
        <w:rPr/>
      </w:pPr>
      <w:r>
        <w:rPr/>
      </w:r>
    </w:p>
    <w:p>
      <w:pPr>
        <w:pStyle w:val="Normal"/>
        <w:widowControl/>
        <w:tabs>
          <w:tab w:val="clear" w:pos="720"/>
          <w:tab w:val="left" w:pos="4253" w:leader="none"/>
        </w:tabs>
        <w:rPr/>
      </w:pPr>
      <w:r>
        <w:rPr/>
      </w:r>
    </w:p>
    <w:p>
      <w:pPr>
        <w:pStyle w:val="Normal"/>
        <w:widowControl/>
        <w:tabs>
          <w:tab w:val="clear" w:pos="720"/>
          <w:tab w:val="left" w:pos="4253" w:leader="none"/>
        </w:tabs>
        <w:rPr/>
      </w:pPr>
      <w:r>
        <w:rPr/>
      </w:r>
    </w:p>
    <w:p>
      <w:pPr>
        <w:pStyle w:val="Normal"/>
        <w:widowControl/>
        <w:tabs>
          <w:tab w:val="clear" w:pos="720"/>
          <w:tab w:val="left" w:pos="4253" w:leader="none"/>
        </w:tabs>
        <w:rPr/>
      </w:pPr>
      <w:r>
        <w:rPr/>
      </w:r>
    </w:p>
    <w:p>
      <w:pPr>
        <w:pStyle w:val="Normal"/>
        <w:widowControl/>
        <w:tabs>
          <w:tab w:val="clear" w:pos="720"/>
          <w:tab w:val="left" w:pos="4253" w:leader="none"/>
        </w:tabs>
        <w:rPr/>
      </w:pPr>
      <w:r>
        <w:rPr/>
        <w:t xml:space="preserve">Confirmed as of the date first written above: </w:t>
      </w:r>
    </w:p>
    <w:p>
      <w:pPr>
        <w:pStyle w:val="Normal"/>
        <w:widowControl/>
        <w:tabs>
          <w:tab w:val="clear" w:pos="720"/>
          <w:tab w:val="left" w:pos="4253" w:leader="none"/>
        </w:tabs>
        <w:rPr/>
      </w:pPr>
      <w:r>
        <w:rPr/>
      </w:r>
    </w:p>
    <w:p>
      <w:pPr>
        <w:pStyle w:val="Normal"/>
        <w:widowControl/>
        <w:tabs>
          <w:tab w:val="clear" w:pos="720"/>
          <w:tab w:val="left" w:pos="4253" w:leader="none"/>
        </w:tabs>
        <w:rPr>
          <w:b/>
        </w:rPr>
      </w:pPr>
      <w:r>
        <w:rPr>
          <w:b/>
        </w:rPr>
        <w:t>ENA CLO I HOLDING COMPANY I L.P.</w:t>
      </w:r>
    </w:p>
    <w:p>
      <w:pPr>
        <w:pStyle w:val="Heading1"/>
        <w:keepNext w:val="false"/>
        <w:widowControl/>
        <w:ind w:hanging="0" w:start="360" w:end="0"/>
        <w:rPr>
          <w:b w:val="false"/>
        </w:rPr>
      </w:pPr>
      <w:r>
        <w:rPr>
          <w:b w:val="false"/>
        </w:rPr>
      </w:r>
    </w:p>
    <w:p>
      <w:pPr>
        <w:pStyle w:val="Heading1"/>
        <w:keepNext w:val="false"/>
        <w:widowControl/>
        <w:tabs>
          <w:tab w:val="left" w:pos="720" w:leader="none"/>
          <w:tab w:val="left" w:pos="4253" w:leader="none"/>
        </w:tabs>
        <w:ind w:hanging="0" w:start="360" w:end="0"/>
        <w:rPr/>
      </w:pPr>
      <w:r>
        <w:rPr/>
        <w:t>By:</w:t>
        <w:tab/>
      </w:r>
      <w:r>
        <w:rPr>
          <w:strike/>
        </w:rPr>
        <w:t>Enron North America Corp., as Servicer</w:t>
      </w:r>
      <w:r>
        <w:rPr/>
        <w:t xml:space="preserve"> </w:t>
      </w:r>
      <w:r>
        <w:rPr>
          <w:u w:val="double"/>
        </w:rPr>
        <w:t>ENA CLO I Holding Company GP L.L.C.,</w:t>
      </w:r>
    </w:p>
    <w:p>
      <w:pPr>
        <w:pStyle w:val="Normal"/>
        <w:widowControl/>
        <w:rPr>
          <w:b/>
        </w:rPr>
      </w:pPr>
      <w:r>
        <w:rPr/>
        <w:tab/>
      </w:r>
      <w:r>
        <w:rPr>
          <w:b/>
          <w:u w:val="double"/>
        </w:rPr>
        <w:t>its general partner</w:t>
      </w:r>
    </w:p>
    <w:p>
      <w:pPr>
        <w:pStyle w:val="Heading1"/>
        <w:keepNext w:val="false"/>
        <w:widowControl/>
        <w:ind w:hanging="0" w:start="360" w:end="0"/>
        <w:rPr>
          <w:b w:val="false"/>
        </w:rPr>
      </w:pPr>
      <w:r>
        <w:rPr>
          <w:b w:val="false"/>
        </w:rPr>
      </w:r>
    </w:p>
    <w:p>
      <w:pPr>
        <w:pStyle w:val="Footer"/>
        <w:widowControl/>
        <w:tabs>
          <w:tab w:val="clear" w:pos="4819"/>
          <w:tab w:val="clear" w:pos="9071"/>
          <w:tab w:val="left" w:pos="4253" w:leader="none"/>
        </w:tabs>
        <w:ind w:start="360" w:end="0"/>
        <w:rPr/>
      </w:pPr>
      <w:r>
        <w:rPr/>
      </w:r>
    </w:p>
    <w:p>
      <w:pPr>
        <w:pStyle w:val="Normal"/>
        <w:widowControl/>
        <w:tabs>
          <w:tab w:val="left" w:pos="720" w:leader="none"/>
          <w:tab w:val="left" w:pos="4253" w:leader="none"/>
        </w:tabs>
        <w:ind w:start="360" w:end="0"/>
        <w:rPr/>
      </w:pPr>
      <w:r>
        <w:rPr/>
        <w:t>By:</w:t>
        <w:tab/>
        <w:t>________________________________</w:t>
      </w:r>
    </w:p>
    <w:p>
      <w:pPr>
        <w:pStyle w:val="Normal"/>
        <w:widowControl/>
        <w:tabs>
          <w:tab w:val="left" w:pos="720" w:leader="none"/>
          <w:tab w:val="left" w:pos="4253" w:leader="none"/>
        </w:tabs>
        <w:ind w:start="360" w:end="0"/>
        <w:rPr/>
      </w:pPr>
      <w:r>
        <w:rPr/>
        <w:tab/>
        <w:t>Name:</w:t>
      </w:r>
    </w:p>
    <w:p>
      <w:pPr>
        <w:sectPr>
          <w:headerReference w:type="default" r:id="rId4"/>
          <w:headerReference w:type="first" r:id="rId5"/>
          <w:footerReference w:type="default" r:id="rId6"/>
          <w:footerReference w:type="first" r:id="rId7"/>
          <w:type w:val="nextPage"/>
          <w:pgSz w:w="11906" w:h="16838"/>
          <w:pgMar w:left="1411" w:right="1411" w:gutter="0" w:header="936" w:top="1411" w:footer="1152" w:bottom="1440"/>
          <w:pgNumType w:fmt="decimal"/>
          <w:formProt w:val="false"/>
          <w:titlePg/>
          <w:textDirection w:val="lrTb"/>
          <w:docGrid w:type="default" w:linePitch="360" w:charSpace="0"/>
        </w:sectPr>
        <w:pStyle w:val="Normal"/>
        <w:widowControl/>
        <w:tabs>
          <w:tab w:val="left" w:pos="720" w:leader="none"/>
          <w:tab w:val="left" w:pos="4253" w:leader="none"/>
        </w:tabs>
        <w:ind w:start="360" w:end="0"/>
        <w:rPr/>
      </w:pPr>
      <w:r>
        <w:rPr/>
        <w:tab/>
        <w:t xml:space="preserve">Title: </w:t>
      </w:r>
    </w:p>
    <w:p>
      <w:pPr>
        <w:pStyle w:val="Normal"/>
        <w:widowControl/>
        <w:tabs>
          <w:tab w:val="left" w:pos="720" w:leader="none"/>
          <w:tab w:val="left" w:pos="4253" w:leader="none"/>
        </w:tabs>
        <w:ind w:start="360" w:end="0"/>
        <w:jc w:val="end"/>
        <w:rPr>
          <w:u w:val="single"/>
        </w:rPr>
      </w:pPr>
      <w:r>
        <w:rPr>
          <w:u w:val="single"/>
        </w:rPr>
        <w:t>EXHIBIT A</w:t>
      </w:r>
    </w:p>
    <w:p>
      <w:pPr>
        <w:pStyle w:val="Normal"/>
        <w:widowControl/>
        <w:tabs>
          <w:tab w:val="left" w:pos="720" w:leader="none"/>
          <w:tab w:val="left" w:pos="4253" w:leader="none"/>
        </w:tabs>
        <w:ind w:start="360" w:end="0"/>
        <w:rPr>
          <w:u w:val="single"/>
        </w:rPr>
      </w:pPr>
      <w:r>
        <w:rPr>
          <w:u w:val="single"/>
        </w:rPr>
      </w:r>
    </w:p>
    <w:p>
      <w:pPr>
        <w:pStyle w:val="Normal"/>
        <w:widowControl/>
        <w:tabs>
          <w:tab w:val="left" w:pos="720" w:leader="none"/>
          <w:tab w:val="left" w:pos="4253" w:leader="none"/>
        </w:tabs>
        <w:ind w:start="360" w:end="0"/>
        <w:rPr/>
      </w:pPr>
      <w:r>
        <w:rPr/>
      </w:r>
    </w:p>
    <w:p>
      <w:pPr>
        <w:pStyle w:val="Normal"/>
        <w:widowControl/>
        <w:tabs>
          <w:tab w:val="left" w:pos="720" w:leader="none"/>
          <w:tab w:val="left" w:pos="4253" w:leader="none"/>
        </w:tabs>
        <w:ind w:start="360" w:end="0"/>
        <w:jc w:val="center"/>
        <w:rPr/>
      </w:pPr>
      <w:r>
        <w:rPr/>
        <w:t>FORM OF ASSIGNMENT AGREEMENT</w:t>
      </w:r>
    </w:p>
    <w:p>
      <w:pPr>
        <w:pStyle w:val="Normal"/>
        <w:widowControl/>
        <w:tabs>
          <w:tab w:val="left" w:pos="720" w:leader="none"/>
          <w:tab w:val="left" w:pos="4253" w:leader="none"/>
        </w:tabs>
        <w:ind w:start="360" w:end="0"/>
        <w:jc w:val="center"/>
        <w:rPr/>
      </w:pPr>
      <w:r>
        <w:rPr/>
      </w:r>
    </w:p>
    <w:p>
      <w:pPr>
        <w:pStyle w:val="Normal"/>
        <w:widowControl/>
        <w:tabs>
          <w:tab w:val="left" w:pos="720" w:leader="none"/>
          <w:tab w:val="left" w:pos="4253" w:leader="none"/>
        </w:tabs>
        <w:ind w:start="360" w:end="0"/>
        <w:jc w:val="center"/>
        <w:rPr/>
      </w:pPr>
      <w:r>
        <w:rPr/>
      </w:r>
    </w:p>
    <w:p>
      <w:pPr>
        <w:pStyle w:val="Normal"/>
        <w:widowControl/>
        <w:tabs>
          <w:tab w:val="left" w:pos="720" w:leader="none"/>
          <w:tab w:val="left" w:pos="4253" w:leader="none"/>
        </w:tabs>
        <w:ind w:start="360" w:end="0"/>
        <w:jc w:val="center"/>
        <w:rPr/>
      </w:pPr>
      <w:r>
        <w:rPr/>
        <w:t>[To be completed]</w:t>
      </w:r>
    </w:p>
    <w:p>
      <w:pPr>
        <w:pStyle w:val="Normal"/>
        <w:widowControl/>
        <w:tabs>
          <w:tab w:val="left" w:pos="720" w:leader="none"/>
          <w:tab w:val="left" w:pos="4253" w:leader="none"/>
        </w:tabs>
        <w:ind w:start="360" w:end="0"/>
        <w:jc w:val="center"/>
        <w:rPr/>
      </w:pPr>
      <w:r>
        <w:rPr/>
      </w:r>
    </w:p>
    <w:p>
      <w:pPr>
        <w:pStyle w:val="Normal"/>
        <w:widowControl/>
        <w:tabs>
          <w:tab w:val="left" w:pos="720" w:leader="none"/>
          <w:tab w:val="left" w:pos="4253" w:leader="none"/>
        </w:tabs>
        <w:ind w:start="360" w:end="0"/>
        <w:jc w:val="center"/>
        <w:rPr/>
      </w:pPr>
      <w:r>
        <w:rPr/>
      </w:r>
    </w:p>
    <w:p>
      <w:pPr>
        <w:pStyle w:val="Normal"/>
        <w:widowControl/>
        <w:tabs>
          <w:tab w:val="left" w:pos="720" w:leader="none"/>
          <w:tab w:val="left" w:pos="4253" w:leader="none"/>
        </w:tabs>
        <w:ind w:start="360" w:end="0"/>
        <w:rPr/>
      </w:pPr>
      <w:r>
        <w:rPr/>
        <w:t>Will contain the following provisions from the Term Sheet (among others):</w:t>
      </w:r>
    </w:p>
    <w:p>
      <w:pPr>
        <w:pStyle w:val="Normal"/>
        <w:keepNext w:val="true"/>
        <w:keepLines/>
        <w:widowControl/>
        <w:numPr>
          <w:ilvl w:val="0"/>
          <w:numId w:val="3"/>
        </w:numPr>
        <w:tabs>
          <w:tab w:val="clear" w:pos="720"/>
          <w:tab w:val="left" w:pos="360" w:leader="none"/>
        </w:tabs>
        <w:rPr/>
      </w:pPr>
      <w:r>
        <w:rPr/>
      </w:r>
    </w:p>
    <w:p>
      <w:pPr>
        <w:pStyle w:val="Normal"/>
        <w:keepNext w:val="true"/>
        <w:keepLines/>
        <w:widowControl/>
        <w:numPr>
          <w:ilvl w:val="0"/>
          <w:numId w:val="2"/>
        </w:numPr>
        <w:tabs>
          <w:tab w:val="clear" w:pos="720"/>
          <w:tab w:val="left" w:pos="360" w:leader="none"/>
        </w:tabs>
        <w:rPr/>
      </w:pPr>
      <w:r>
        <w:rPr/>
        <w:t>Characterization of Payments Made by the Put Writer Upon an Exercise of the Put Option by the Put Holder</w:t>
      </w:r>
    </w:p>
    <w:p>
      <w:pPr>
        <w:pStyle w:val="Normal"/>
        <w:keepNext w:val="true"/>
        <w:keepLines/>
        <w:widowControl/>
        <w:numPr>
          <w:ilvl w:val="0"/>
          <w:numId w:val="2"/>
        </w:numPr>
        <w:tabs>
          <w:tab w:val="clear" w:pos="720"/>
          <w:tab w:val="left" w:pos="360" w:leader="none"/>
        </w:tabs>
        <w:rPr/>
      </w:pPr>
      <w:r>
        <w:rPr/>
        <w:t>Allocation of Payments Received from Obligors on Portfolio Assets; account information for Party A</w:t>
      </w:r>
    </w:p>
    <w:p>
      <w:pPr>
        <w:pStyle w:val="Normal"/>
        <w:keepNext w:val="true"/>
        <w:keepLines/>
        <w:widowControl/>
        <w:numPr>
          <w:ilvl w:val="0"/>
          <w:numId w:val="2"/>
        </w:numPr>
        <w:tabs>
          <w:tab w:val="clear" w:pos="720"/>
          <w:tab w:val="left" w:pos="360" w:leader="none"/>
        </w:tabs>
        <w:rPr/>
      </w:pPr>
      <w:r>
        <w:rPr/>
        <w:t>Voting Rights of Seller Upon Acquisition of a Purchased Interest (participant-type rights)</w:t>
      </w:r>
    </w:p>
    <w:p>
      <w:pPr>
        <w:pStyle w:val="Normal"/>
        <w:keepNext w:val="true"/>
        <w:keepLines/>
        <w:widowControl/>
        <w:numPr>
          <w:ilvl w:val="0"/>
          <w:numId w:val="2"/>
        </w:numPr>
        <w:tabs>
          <w:tab w:val="clear" w:pos="720"/>
          <w:tab w:val="left" w:pos="360" w:leader="none"/>
        </w:tabs>
        <w:rPr/>
      </w:pPr>
      <w:r>
        <w:rPr/>
      </w:r>
    </w:p>
    <w:p>
      <w:pPr>
        <w:pStyle w:val="Normal"/>
        <w:keepNext w:val="true"/>
        <w:keepLines/>
        <w:widowControl/>
        <w:numPr>
          <w:ilvl w:val="0"/>
          <w:numId w:val="2"/>
        </w:numPr>
        <w:tabs>
          <w:tab w:val="clear" w:pos="720"/>
          <w:tab w:val="left" w:pos="360" w:leader="none"/>
        </w:tabs>
        <w:rPr/>
      </w:pPr>
      <w:r>
        <w:rPr/>
        <w:t>------------------ COMPARISON OF FOOTNOTES ------------------</w:t>
      </w:r>
    </w:p>
    <w:p>
      <w:pPr>
        <w:pStyle w:val="Normal"/>
        <w:keepNext w:val="true"/>
        <w:keepLines/>
        <w:widowControl/>
        <w:numPr>
          <w:ilvl w:val="0"/>
          <w:numId w:val="2"/>
        </w:numPr>
        <w:tabs>
          <w:tab w:val="clear" w:pos="720"/>
          <w:tab w:val="left" w:pos="360" w:leader="none"/>
        </w:tabs>
        <w:rPr/>
      </w:pPr>
      <w:r>
        <w:rPr/>
      </w:r>
    </w:p>
    <w:p>
      <w:pPr>
        <w:pStyle w:val="Normal"/>
        <w:keepNext w:val="true"/>
        <w:keepLines/>
        <w:widowControl/>
        <w:numPr>
          <w:ilvl w:val="0"/>
          <w:numId w:val="2"/>
        </w:numPr>
        <w:tabs>
          <w:tab w:val="clear" w:pos="720"/>
          <w:tab w:val="left" w:pos="360" w:leader="none"/>
        </w:tabs>
        <w:rPr/>
      </w:pPr>
      <w:r>
        <w:rPr/>
        <w:t>-FOOTNOTE 1-</w:t>
      </w:r>
    </w:p>
    <w:p>
      <w:pPr>
        <w:pStyle w:val="Normal"/>
        <w:keepNext w:val="true"/>
        <w:keepLines/>
        <w:widowControl/>
        <w:numPr>
          <w:ilvl w:val="0"/>
          <w:numId w:val="2"/>
        </w:numPr>
        <w:tabs>
          <w:tab w:val="clear" w:pos="720"/>
          <w:tab w:val="left" w:pos="360" w:leader="none"/>
        </w:tabs>
        <w:rPr/>
      </w:pPr>
      <w:r>
        <w:rPr>
          <w:strike/>
        </w:rPr>
        <w:t xml:space="preserve">Please confirm which of these assets remain in the portfolio. </w:t>
      </w:r>
    </w:p>
    <w:p>
      <w:pPr>
        <w:pStyle w:val="Normal"/>
        <w:keepNext w:val="true"/>
        <w:keepLines/>
        <w:widowControl/>
        <w:numPr>
          <w:ilvl w:val="0"/>
          <w:numId w:val="2"/>
        </w:numPr>
        <w:tabs>
          <w:tab w:val="clear" w:pos="720"/>
          <w:tab w:val="left" w:pos="360" w:leader="none"/>
        </w:tabs>
        <w:rPr/>
      </w:pPr>
      <w:r>
        <w:rPr/>
      </w:r>
    </w:p>
    <w:p>
      <w:pPr>
        <w:pStyle w:val="Normal"/>
        <w:keepNext w:val="true"/>
        <w:keepLines/>
        <w:widowControl/>
        <w:numPr>
          <w:ilvl w:val="0"/>
          <w:numId w:val="2"/>
        </w:numPr>
        <w:tabs>
          <w:tab w:val="clear" w:pos="720"/>
          <w:tab w:val="left" w:pos="360" w:leader="none"/>
        </w:tabs>
        <w:rPr/>
      </w:pPr>
      <w:r>
        <w:rPr/>
        <w:t>------------------ COMPARISON OF HEADERS ------------------</w:t>
      </w:r>
    </w:p>
    <w:p>
      <w:pPr>
        <w:pStyle w:val="Normal"/>
        <w:keepNext w:val="true"/>
        <w:keepLines/>
        <w:widowControl/>
        <w:numPr>
          <w:ilvl w:val="0"/>
          <w:numId w:val="2"/>
        </w:numPr>
        <w:tabs>
          <w:tab w:val="clear" w:pos="720"/>
          <w:tab w:val="left" w:pos="360" w:leader="none"/>
        </w:tabs>
        <w:rPr/>
      </w:pPr>
      <w:r>
        <w:rPr/>
      </w:r>
    </w:p>
    <w:p>
      <w:pPr>
        <w:pStyle w:val="Normal"/>
        <w:keepNext w:val="true"/>
        <w:keepLines/>
        <w:widowControl/>
        <w:numPr>
          <w:ilvl w:val="0"/>
          <w:numId w:val="2"/>
        </w:numPr>
        <w:tabs>
          <w:tab w:val="clear" w:pos="720"/>
          <w:tab w:val="left" w:pos="360" w:leader="none"/>
        </w:tabs>
        <w:rPr/>
      </w:pPr>
      <w:r>
        <w:rPr/>
        <w:t>-HEADER 1-</w:t>
      </w:r>
    </w:p>
    <w:p>
      <w:pPr>
        <w:pStyle w:val="Normal"/>
        <w:keepNext w:val="true"/>
        <w:keepLines/>
        <w:widowControl/>
        <w:numPr>
          <w:ilvl w:val="0"/>
          <w:numId w:val="2"/>
        </w:numPr>
        <w:tabs>
          <w:tab w:val="clear" w:pos="720"/>
          <w:tab w:val="left" w:pos="360" w:leader="none"/>
        </w:tabs>
        <w:rPr>
          <w:strike/>
        </w:rPr>
      </w:pPr>
      <w:r>
        <w:rPr>
          <w:strike/>
        </w:rPr>
        <w:t>Header Discontinued</w:t>
      </w:r>
    </w:p>
    <w:p>
      <w:pPr>
        <w:pStyle w:val="Normal"/>
        <w:keepNext w:val="true"/>
        <w:keepLines/>
        <w:widowControl/>
        <w:numPr>
          <w:ilvl w:val="0"/>
          <w:numId w:val="2"/>
        </w:numPr>
        <w:tabs>
          <w:tab w:val="clear" w:pos="720"/>
          <w:tab w:val="left" w:pos="360" w:leader="none"/>
        </w:tabs>
        <w:rPr>
          <w:strike/>
        </w:rPr>
      </w:pPr>
      <w:r>
        <w:rPr>
          <w:strike/>
        </w:rPr>
        <w:t>-HEADER 2-</w:t>
      </w:r>
    </w:p>
    <w:p>
      <w:pPr>
        <w:pStyle w:val="Normal"/>
        <w:keepNext w:val="true"/>
        <w:keepLines/>
        <w:widowControl/>
        <w:numPr>
          <w:ilvl w:val="0"/>
          <w:numId w:val="2"/>
        </w:numPr>
        <w:tabs>
          <w:tab w:val="clear" w:pos="720"/>
          <w:tab w:val="left" w:pos="360" w:leader="none"/>
        </w:tabs>
        <w:rPr/>
      </w:pPr>
      <w:r>
        <w:rPr>
          <w:strike/>
        </w:rPr>
        <w:t>Header Discontinued</w:t>
      </w:r>
      <w:r>
        <w:rPr/>
        <w:t xml:space="preserve"> </w:t>
      </w:r>
      <w:r>
        <w:rPr>
          <w:b/>
          <w:u w:val="double"/>
        </w:rPr>
        <w:t>DRAFT 08/22/00</w:t>
      </w:r>
    </w:p>
    <w:p>
      <w:pPr>
        <w:pStyle w:val="Normal"/>
        <w:keepNext w:val="true"/>
        <w:keepLines/>
        <w:widowControl/>
        <w:numPr>
          <w:ilvl w:val="0"/>
          <w:numId w:val="2"/>
        </w:numPr>
        <w:tabs>
          <w:tab w:val="clear" w:pos="720"/>
          <w:tab w:val="left" w:pos="360" w:leader="none"/>
        </w:tabs>
        <w:rPr/>
      </w:pPr>
      <w:r>
        <w:rPr/>
      </w:r>
    </w:p>
    <w:p>
      <w:pPr>
        <w:pStyle w:val="Normal"/>
        <w:keepNext w:val="true"/>
        <w:keepLines/>
        <w:widowControl/>
        <w:numPr>
          <w:ilvl w:val="0"/>
          <w:numId w:val="2"/>
        </w:numPr>
        <w:tabs>
          <w:tab w:val="clear" w:pos="720"/>
          <w:tab w:val="left" w:pos="360" w:leader="none"/>
        </w:tabs>
        <w:rPr/>
      </w:pPr>
      <w:r>
        <w:rPr/>
      </w:r>
    </w:p>
    <w:p>
      <w:pPr>
        <w:pStyle w:val="Normal"/>
        <w:keepNext w:val="true"/>
        <w:keepLines/>
        <w:widowControl/>
        <w:numPr>
          <w:ilvl w:val="0"/>
          <w:numId w:val="2"/>
        </w:numPr>
        <w:tabs>
          <w:tab w:val="clear" w:pos="720"/>
          <w:tab w:val="left" w:pos="360" w:leader="none"/>
        </w:tabs>
        <w:rPr/>
      </w:pPr>
      <w:r>
        <w:rPr/>
      </w:r>
    </w:p>
    <w:p>
      <w:pPr>
        <w:pStyle w:val="Normal"/>
        <w:keepNext w:val="true"/>
        <w:keepLines/>
        <w:widowControl/>
        <w:numPr>
          <w:ilvl w:val="0"/>
          <w:numId w:val="2"/>
        </w:numPr>
        <w:tabs>
          <w:tab w:val="clear" w:pos="720"/>
          <w:tab w:val="left" w:pos="360" w:leader="none"/>
        </w:tabs>
        <w:rPr/>
      </w:pPr>
      <w:r>
        <w:rPr/>
        <w:t>------------------ COMPARISON OF FOOTERS ------------------</w:t>
      </w:r>
    </w:p>
    <w:p>
      <w:pPr>
        <w:pStyle w:val="Normal"/>
        <w:keepNext w:val="true"/>
        <w:keepLines/>
        <w:widowControl/>
        <w:numPr>
          <w:ilvl w:val="0"/>
          <w:numId w:val="2"/>
        </w:numPr>
        <w:tabs>
          <w:tab w:val="clear" w:pos="720"/>
          <w:tab w:val="left" w:pos="360" w:leader="none"/>
        </w:tabs>
        <w:rPr/>
      </w:pPr>
      <w:r>
        <w:rPr/>
      </w:r>
    </w:p>
    <w:p>
      <w:pPr>
        <w:pStyle w:val="Normal"/>
        <w:keepNext w:val="true"/>
        <w:keepLines/>
        <w:widowControl/>
        <w:numPr>
          <w:ilvl w:val="0"/>
          <w:numId w:val="2"/>
        </w:numPr>
        <w:tabs>
          <w:tab w:val="clear" w:pos="720"/>
          <w:tab w:val="left" w:pos="360" w:leader="none"/>
        </w:tabs>
        <w:rPr/>
      </w:pPr>
      <w:r>
        <w:rPr/>
        <w:t>-FOOTER 1-</w:t>
      </w:r>
    </w:p>
    <w:p>
      <w:pPr>
        <w:pStyle w:val="Normal"/>
        <w:keepNext w:val="true"/>
        <w:keepLines/>
        <w:widowControl/>
        <w:numPr>
          <w:ilvl w:val="0"/>
          <w:numId w:val="2"/>
        </w:numPr>
        <w:tabs>
          <w:tab w:val="clear" w:pos="720"/>
          <w:tab w:val="left" w:pos="360" w:leader="none"/>
        </w:tabs>
        <w:rPr>
          <w:strike/>
        </w:rPr>
      </w:pPr>
      <w:r>
        <w:rPr>
          <w:b/>
          <w:u w:val="double"/>
        </w:rPr>
        <w:t>11</w:t>
      </w:r>
      <w:r>
        <w:rPr/>
        <w:t xml:space="preserve"> </w:t>
      </w:r>
    </w:p>
    <w:p>
      <w:pPr>
        <w:pStyle w:val="Normal"/>
        <w:keepNext w:val="true"/>
        <w:keepLines/>
        <w:widowControl/>
        <w:numPr>
          <w:ilvl w:val="0"/>
          <w:numId w:val="2"/>
        </w:numPr>
        <w:tabs>
          <w:tab w:val="clear" w:pos="720"/>
          <w:tab w:val="left" w:pos="360" w:leader="none"/>
        </w:tabs>
        <w:rPr>
          <w:strike/>
        </w:rPr>
      </w:pPr>
      <w:r>
        <w:rPr>
          <w:strike/>
        </w:rPr>
        <w:t>-FOOTER 2-</w:t>
      </w:r>
    </w:p>
    <w:p>
      <w:pPr>
        <w:pStyle w:val="Normal"/>
        <w:keepNext w:val="true"/>
        <w:keepLines/>
        <w:widowControl/>
        <w:numPr>
          <w:ilvl w:val="0"/>
          <w:numId w:val="2"/>
        </w:numPr>
        <w:tabs>
          <w:tab w:val="clear" w:pos="720"/>
          <w:tab w:val="left" w:pos="360" w:leader="none"/>
        </w:tabs>
        <w:rPr/>
      </w:pPr>
      <w:r>
        <w:rPr>
          <w:strike/>
        </w:rPr>
        <w:t>1</w:t>
      </w:r>
    </w:p>
    <w:p>
      <w:pPr>
        <w:pStyle w:val="Normal"/>
        <w:keepNext w:val="true"/>
        <w:keepLines/>
        <w:widowControl/>
        <w:numPr>
          <w:ilvl w:val="0"/>
          <w:numId w:val="2"/>
        </w:numPr>
        <w:tabs>
          <w:tab w:val="clear" w:pos="720"/>
          <w:tab w:val="left" w:pos="360" w:leader="none"/>
        </w:tabs>
        <w:rPr/>
      </w:pPr>
      <w:r>
        <w:rPr/>
      </w:r>
    </w:p>
    <w:p>
      <w:pPr>
        <w:pStyle w:val="Normal"/>
        <w:keepNext w:val="true"/>
        <w:keepLines/>
        <w:widowControl/>
        <w:numPr>
          <w:ilvl w:val="0"/>
          <w:numId w:val="2"/>
        </w:numPr>
        <w:tabs>
          <w:tab w:val="clear" w:pos="720"/>
          <w:tab w:val="left" w:pos="360" w:leader="none"/>
        </w:tabs>
        <w:rPr/>
      </w:pPr>
      <w:r>
        <w:rPr/>
      </w:r>
    </w:p>
    <w:p>
      <w:pPr>
        <w:pStyle w:val="Normal"/>
        <w:keepNext w:val="true"/>
        <w:keepLines/>
        <w:widowControl/>
        <w:numPr>
          <w:ilvl w:val="0"/>
          <w:numId w:val="2"/>
        </w:numPr>
        <w:tabs>
          <w:tab w:val="clear" w:pos="720"/>
          <w:tab w:val="left" w:pos="360" w:leader="none"/>
        </w:tabs>
        <w:rPr/>
      </w:pPr>
      <w:r>
        <w:rPr/>
        <w:t xml:space="preserve">-FOOTER </w:t>
      </w:r>
      <w:r>
        <w:rPr>
          <w:strike/>
        </w:rPr>
        <w:t>3</w:t>
      </w:r>
      <w:r>
        <w:rPr/>
        <w:t xml:space="preserve"> </w:t>
      </w:r>
      <w:r>
        <w:rPr>
          <w:b/>
          <w:u w:val="double"/>
        </w:rPr>
        <w:t>2</w:t>
      </w:r>
      <w:r>
        <w:rPr/>
        <w:t>-</w:t>
      </w:r>
    </w:p>
    <w:p>
      <w:pPr>
        <w:pStyle w:val="Normal"/>
        <w:keepNext w:val="true"/>
        <w:keepLines/>
        <w:widowControl/>
        <w:numPr>
          <w:ilvl w:val="0"/>
          <w:numId w:val="2"/>
        </w:numPr>
        <w:tabs>
          <w:tab w:val="clear" w:pos="720"/>
          <w:tab w:val="left" w:pos="360" w:leader="none"/>
        </w:tabs>
        <w:rPr/>
      </w:pPr>
      <w:r>
        <w:rPr/>
        <w:t>-</w:t>
      </w:r>
      <w:r>
        <w:rPr>
          <w:strike/>
        </w:rPr>
        <w:t>2</w:t>
      </w:r>
      <w:r>
        <w:rPr/>
        <w:t xml:space="preserve"> </w:t>
      </w:r>
      <w:r>
        <w:rPr>
          <w:b/>
          <w:u w:val="double"/>
        </w:rPr>
        <w:t>4</w:t>
      </w:r>
      <w:r>
        <w:rPr/>
        <w:t>-</w:t>
      </w:r>
    </w:p>
    <w:p>
      <w:pPr>
        <w:pStyle w:val="Normal"/>
        <w:keepNext w:val="true"/>
        <w:keepLines/>
        <w:widowControl/>
        <w:numPr>
          <w:ilvl w:val="0"/>
          <w:numId w:val="2"/>
        </w:numPr>
        <w:tabs>
          <w:tab w:val="clear" w:pos="720"/>
          <w:tab w:val="left" w:pos="360" w:leader="none"/>
        </w:tabs>
        <w:rPr/>
      </w:pPr>
      <w:r>
        <w:rPr/>
      </w:r>
    </w:p>
    <w:p>
      <w:pPr>
        <w:pStyle w:val="Normal"/>
        <w:keepNext w:val="true"/>
        <w:keepLines/>
        <w:widowControl/>
        <w:numPr>
          <w:ilvl w:val="0"/>
          <w:numId w:val="2"/>
        </w:numPr>
        <w:tabs>
          <w:tab w:val="clear" w:pos="720"/>
          <w:tab w:val="left" w:pos="360" w:leader="none"/>
        </w:tabs>
        <w:rPr/>
      </w:pPr>
      <w:r>
        <w:rPr/>
      </w:r>
    </w:p>
    <w:p>
      <w:pPr>
        <w:pStyle w:val="Normal"/>
        <w:keepNext w:val="true"/>
        <w:keepLines/>
        <w:widowControl/>
        <w:numPr>
          <w:ilvl w:val="0"/>
          <w:numId w:val="2"/>
        </w:numPr>
        <w:tabs>
          <w:tab w:val="clear" w:pos="720"/>
          <w:tab w:val="left" w:pos="360" w:leader="none"/>
        </w:tabs>
        <w:rPr/>
      </w:pPr>
      <w:r>
        <w:rPr/>
      </w:r>
    </w:p>
    <w:p>
      <w:pPr>
        <w:pStyle w:val="Normal"/>
        <w:keepNext w:val="true"/>
        <w:keepLines/>
        <w:widowControl/>
        <w:numPr>
          <w:ilvl w:val="0"/>
          <w:numId w:val="2"/>
        </w:numPr>
        <w:tabs>
          <w:tab w:val="clear" w:pos="720"/>
          <w:tab w:val="left" w:pos="360" w:leader="none"/>
        </w:tabs>
        <w:rPr/>
      </w:pPr>
      <w:r>
        <w:rPr/>
      </w:r>
    </w:p>
    <w:p>
      <w:pPr>
        <w:pStyle w:val="Normal"/>
        <w:keepNext w:val="true"/>
        <w:keepLines/>
        <w:widowControl/>
        <w:numPr>
          <w:ilvl w:val="0"/>
          <w:numId w:val="2"/>
        </w:numPr>
        <w:tabs>
          <w:tab w:val="clear" w:pos="720"/>
          <w:tab w:val="left" w:pos="360" w:leader="none"/>
        </w:tabs>
        <w:rPr/>
      </w:pPr>
      <w:r>
        <w:rPr/>
      </w:r>
    </w:p>
    <w:p>
      <w:pPr>
        <w:pStyle w:val="Normal"/>
        <w:keepNext w:val="true"/>
        <w:keepLines/>
        <w:widowControl/>
        <w:numPr>
          <w:ilvl w:val="0"/>
          <w:numId w:val="2"/>
        </w:numPr>
        <w:tabs>
          <w:tab w:val="clear" w:pos="720"/>
          <w:tab w:val="left" w:pos="360" w:leader="none"/>
        </w:tabs>
        <w:rPr/>
      </w:pPr>
      <w:r>
        <w:rPr/>
      </w:r>
    </w:p>
    <w:p>
      <w:pPr>
        <w:pStyle w:val="Normal"/>
        <w:keepNext w:val="true"/>
        <w:keepLines/>
        <w:widowControl/>
        <w:numPr>
          <w:ilvl w:val="0"/>
          <w:numId w:val="2"/>
        </w:numPr>
        <w:tabs>
          <w:tab w:val="clear" w:pos="720"/>
          <w:tab w:val="left" w:pos="360" w:leader="none"/>
        </w:tabs>
        <w:rPr/>
      </w:pPr>
      <w:r>
        <w:rPr/>
        <w:t xml:space="preserve">-FOOTER </w:t>
      </w:r>
      <w:r>
        <w:rPr>
          <w:strike/>
        </w:rPr>
        <w:t>4</w:t>
      </w:r>
      <w:r>
        <w:rPr/>
        <w:t xml:space="preserve"> </w:t>
      </w:r>
      <w:r>
        <w:rPr>
          <w:b/>
          <w:u w:val="double"/>
        </w:rPr>
        <w:t>3</w:t>
      </w:r>
      <w:r>
        <w:rPr/>
        <w:t>-</w:t>
      </w:r>
    </w:p>
    <w:p>
      <w:pPr>
        <w:pStyle w:val="Normal"/>
        <w:keepNext w:val="true"/>
        <w:keepLines/>
        <w:widowControl/>
        <w:numPr>
          <w:ilvl w:val="0"/>
          <w:numId w:val="2"/>
        </w:numPr>
        <w:tabs>
          <w:tab w:val="clear" w:pos="720"/>
          <w:tab w:val="left" w:pos="360" w:leader="none"/>
        </w:tabs>
        <w:rPr/>
      </w:pPr>
      <w:r>
        <w:rPr>
          <w:strike/>
        </w:rPr>
        <w:t>Footer Discontinued</w:t>
      </w:r>
      <w:r>
        <w:rPr/>
        <w:t xml:space="preserve"> </w:t>
      </w:r>
      <w:r>
        <w:rPr>
          <w:b/>
          <w:u w:val="double"/>
        </w:rPr>
        <w:t>Houston:301981 v 2</w:t>
      </w:r>
    </w:p>
    <w:p>
      <w:pPr>
        <w:pStyle w:val="Normal"/>
        <w:keepNext w:val="true"/>
        <w:keepLines/>
        <w:widowControl/>
        <w:numPr>
          <w:ilvl w:val="0"/>
          <w:numId w:val="2"/>
        </w:numPr>
        <w:tabs>
          <w:tab w:val="clear" w:pos="720"/>
          <w:tab w:val="left" w:pos="360" w:leader="none"/>
        </w:tabs>
        <w:rPr/>
      </w:pPr>
      <w:r>
        <w:rPr/>
      </w:r>
    </w:p>
    <w:p>
      <w:pPr>
        <w:pStyle w:val="Normal"/>
        <w:keepNext w:val="true"/>
        <w:keepLines/>
        <w:widowControl/>
        <w:numPr>
          <w:ilvl w:val="0"/>
          <w:numId w:val="2"/>
        </w:numPr>
        <w:tabs>
          <w:tab w:val="clear" w:pos="720"/>
          <w:tab w:val="left" w:pos="360" w:leader="none"/>
        </w:tabs>
        <w:rPr/>
      </w:pPr>
      <w:r>
        <w:rPr/>
      </w:r>
    </w:p>
    <w:sectPr>
      <w:headerReference w:type="default" r:id="rId8"/>
      <w:headerReference w:type="first" r:id="rId9"/>
      <w:footerReference w:type="default" r:id="rId10"/>
      <w:footerReference w:type="first" r:id="rId11"/>
      <w:type w:val="nextPage"/>
      <w:pgSz w:w="11906" w:h="16838"/>
      <w:pgMar w:left="1411" w:right="1411" w:gutter="0" w:header="936" w:top="1411" w:footer="115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69545" cy="116840"/>
              <wp:effectExtent l="0" t="0" r="0" b="0"/>
              <wp:wrapSquare wrapText="bothSides"/>
              <wp:docPr id="4" name="Frame2"/>
              <a:graphic xmlns:a="http://schemas.openxmlformats.org/drawingml/2006/main">
                <a:graphicData uri="http://schemas.microsoft.com/office/word/2010/wordprocessingShape">
                  <wps:wsp>
                    <wps:cNvSpPr txBox="1"/>
                    <wps:spPr>
                      <a:xfrm>
                        <a:off x="0" y="0"/>
                        <a:ext cx="169545" cy="116840"/>
                      </a:xfrm>
                      <a:prstGeom prst="rect"/>
                      <a:solidFill>
                        <a:srgbClr val="FFFFFF">
                          <a:alpha val="0"/>
                        </a:srgbClr>
                      </a:solidFill>
                    </wps:spPr>
                    <wps:txbx>
                      <w:txbxContent>
                        <w:p>
                          <w:pPr>
                            <w:pStyle w:val="Footer"/>
                            <w:widowControl/>
                            <w:rPr>
                              <w:rStyle w:val="PageNumber"/>
                              <w:sz w:val="16"/>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10</w:t>
                          </w:r>
                          <w:r>
                            <w:rPr>
                              <w:rStyle w:val="PageNumber"/>
                              <w:sz w:val="16"/>
                            </w:rPr>
                            <w:fldChar w:fldCharType="end"/>
                          </w:r>
                          <w:r>
                            <w:rPr>
                              <w:rStyle w:val="PageNumber"/>
                              <w:sz w:val="16"/>
                            </w:rPr>
                            <w:t>-</w:t>
                          </w:r>
                        </w:p>
                      </w:txbxContent>
                    </wps:txbx>
                    <wps:bodyPr anchor="t" lIns="0" tIns="0" rIns="0" bIns="0">
                      <a:noAutofit/>
                    </wps:bodyPr>
                  </wps:wsp>
                </a:graphicData>
              </a:graphic>
            </wp:anchor>
          </w:drawing>
        </mc:Choice>
        <mc:Fallback>
          <w:pict>
            <v:rect fillcolor="#FFFFFF" style="position:absolute;rotation:-0;width:13.35pt;height:9.2pt;mso-wrap-distance-left:0pt;mso-wrap-distance-right:0pt;mso-wrap-distance-top:0pt;mso-wrap-distance-bottom:0pt;margin-top:0.05pt;mso-position-vertical-relative:text;margin-left:220.45pt;mso-position-horizontal:center;mso-position-horizontal-relative:margin">
              <v:fill opacity="0f"/>
              <v:textbox inset="0in,0in,0in,0in">
                <w:txbxContent>
                  <w:p>
                    <w:pPr>
                      <w:pStyle w:val="Footer"/>
                      <w:widowControl/>
                      <w:rPr>
                        <w:rStyle w:val="PageNumber"/>
                        <w:sz w:val="16"/>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10</w:t>
                    </w:r>
                    <w:r>
                      <w:rPr>
                        <w:rStyle w:val="PageNumber"/>
                        <w:sz w:val="16"/>
                      </w:rPr>
                      <w:fldChar w:fldCharType="end"/>
                    </w:r>
                    <w:r>
                      <w:rPr>
                        <w:rStyle w:val="PageNumber"/>
                        <w:sz w:val="16"/>
                      </w:rPr>
                      <w:t>-</w:t>
                    </w:r>
                  </w:p>
                </w:txbxContent>
              </v:textbox>
              <w10:wrap type="square"/>
            </v:rect>
          </w:pict>
        </mc:Fallback>
      </mc:AlternateContent>
    </w:r>
  </w:p>
  <w:p>
    <w:pPr>
      <w:pStyle w:val="Footer"/>
      <w:widowControl/>
      <w:rPr>
        <w:sz w:val="16"/>
      </w:rPr>
    </w:pPr>
    <w:r>
      <w:rPr>
        <w:sz w:val="16"/>
      </w:rPr>
    </w:r>
  </w:p>
  <w:p>
    <w:pPr>
      <w:pStyle w:val="Footer"/>
      <w:widowControl/>
      <w:rPr>
        <w:sz w:val="16"/>
      </w:rPr>
    </w:pPr>
    <w:r>
      <w:rPr>
        <w:sz w:val="16"/>
      </w:rPr>
    </w:r>
  </w:p>
  <w:p>
    <w:pPr>
      <w:pStyle w:val="Normal"/>
      <w:widowControl/>
      <w:rPr>
        <w:sz w:val="16"/>
      </w:rPr>
    </w:pPr>
    <w:r>
      <w:rPr>
        <w:sz w:val="16"/>
      </w:rPr>
    </w:r>
  </w:p>
  <w:p>
    <w:pPr>
      <w:pStyle w:val="Normal"/>
      <w:widowControl/>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rPr>
    </w:pPr>
    <w:r>
      <w:rPr>
        <w:sz w:val="24"/>
      </w:rPr>
    </w:r>
  </w:p>
  <w:p>
    <w:pPr>
      <w:pStyle w:val="Footer"/>
      <w:widowControl/>
      <w:rPr>
        <w:sz w:val="16"/>
      </w:rPr>
    </w:pPr>
    <w:r>
      <w:rPr>
        <w:sz w:val="16"/>
      </w:rPr>
      <w:t>Houston:301981 v 2</w:t>
    </w:r>
  </w:p>
  <w:p>
    <w:pPr>
      <w:pStyle w:val="Footer"/>
      <w:widowControl/>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33350" cy="20955"/>
              <wp:effectExtent l="0" t="0" r="0" b="0"/>
              <wp:wrapSquare wrapText="bothSides"/>
              <wp:docPr id="5" name="Frame3"/>
              <a:graphic xmlns:a="http://schemas.openxmlformats.org/drawingml/2006/main">
                <a:graphicData uri="http://schemas.microsoft.com/office/word/2010/wordprocessingShape">
                  <wps:wsp>
                    <wps:cNvSpPr txBox="1"/>
                    <wps:spPr>
                      <a:xfrm>
                        <a:off x="0" y="0"/>
                        <a:ext cx="133350" cy="20955"/>
                      </a:xfrm>
                      <a:prstGeom prst="rect"/>
                      <a:solidFill>
                        <a:srgbClr val="FFFFFF">
                          <a:alpha val="0"/>
                        </a:srgbClr>
                      </a:solidFill>
                    </wps:spPr>
                    <wps:txbx>
                      <w:txbxContent>
                        <w:p>
                          <w:pPr>
                            <w:pStyle w:val="Footer"/>
                            <w:widowControl/>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0</w:t>
                          </w:r>
                          <w:r>
                            <w:rPr>
                              <w:rStyle w:val="PageNumber"/>
                              <w:sz w:val="16"/>
                            </w:rPr>
                            <w:fldChar w:fldCharType="end"/>
                          </w:r>
                          <w:r>
                            <w:rPr>
                              <w:rStyle w:val="PageNumber"/>
                              <w:sz w:val="16"/>
                            </w:rPr>
                            <w:t>-</w:t>
                          </w:r>
                        </w:p>
                      </w:txbxContent>
                    </wps:txbx>
                    <wps:bodyPr anchor="t" lIns="0" tIns="0" rIns="0" bIns="0">
                      <a:noAutofit/>
                    </wps:bodyPr>
                  </wps:wsp>
                </a:graphicData>
              </a:graphic>
            </wp:anchor>
          </w:drawing>
        </mc:Choice>
        <mc:Fallback>
          <w:pict>
            <v:rect fillcolor="#FFFFFF" style="position:absolute;rotation:-0;width:10.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widowControl/>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0</w:t>
                    </w:r>
                    <w:r>
                      <w:rPr>
                        <w:rStyle w:val="PageNumber"/>
                        <w:sz w:val="16"/>
                      </w:rPr>
                      <w:fldChar w:fldCharType="end"/>
                    </w:r>
                    <w:r>
                      <w:rPr>
                        <w:rStyle w:val="PageNumber"/>
                        <w:sz w:val="16"/>
                      </w:rPr>
                      <w:t>-</w:t>
                    </w:r>
                  </w:p>
                </w:txbxContent>
              </v:textbox>
              <w10:wrap type="square"/>
            </v:rect>
          </w:pict>
        </mc:Fallback>
      </mc:AlternateContent>
    </w:r>
  </w:p>
  <w:p>
    <w:pPr>
      <w:pStyle w:val="Footer"/>
      <w:widowControl/>
      <w:rPr>
        <w:sz w:val="16"/>
      </w:rPr>
    </w:pPr>
    <w:r>
      <w:rPr>
        <w:sz w:val="16"/>
      </w:rPr>
    </w:r>
  </w:p>
  <w:p>
    <w:pPr>
      <w:pStyle w:val="Footer"/>
      <w:widowControl/>
      <w:rPr>
        <w:sz w:val="16"/>
      </w:rPr>
    </w:pPr>
    <w:r>
      <w:rPr>
        <w:sz w:val="16"/>
      </w:rPr>
    </w:r>
  </w:p>
  <w:p>
    <w:pPr>
      <w:pStyle w:val="Normal"/>
      <w:widowControl/>
      <w:rPr>
        <w:sz w:val="16"/>
      </w:rPr>
    </w:pPr>
    <w:r>
      <w:rPr>
        <w:sz w:val="16"/>
      </w:rPr>
    </w:r>
  </w:p>
  <w:p>
    <w:pPr>
      <w:pStyle w:val="Normal"/>
      <w:widowControl/>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rPr>
    </w:pPr>
    <w:r>
      <w:rPr>
        <w:sz w:val="24"/>
      </w:rPr>
    </w:r>
  </w:p>
  <w:p>
    <w:pPr>
      <w:pStyle w:val="Footer"/>
      <w:widowControl/>
      <w:rPr>
        <w:sz w:val="16"/>
      </w:rPr>
    </w:pPr>
    <w:r>
      <w:rPr>
        <w:sz w:val="16"/>
      </w:rPr>
      <w:t>Houston:301981 v 2</w:t>
    </w:r>
  </w:p>
  <w:p>
    <w:pPr>
      <w:pStyle w:val="Footer"/>
      <w:widowControl/>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4"/>
      </w:rPr>
    </w:pPr>
    <w:r>
      <w:rPr>
        <w:sz w:val="24"/>
      </w:rPr>
      <w:t>DRAFT 08/22/00</w:t>
    </w:r>
  </w:p>
  <w:p>
    <w:pPr>
      <w:pStyle w:val="Header"/>
      <w:widowControl/>
      <w:jc w:val="end"/>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4"/>
      </w:rPr>
    </w:pPr>
    <w:r>
      <w:rPr>
        <w:sz w:val="24"/>
      </w:rPr>
      <w:t>DRAFT 08/22/00</w:t>
    </w:r>
  </w:p>
  <w:p>
    <w:pPr>
      <w:pStyle w:val="Header"/>
      <w:widowControl/>
      <w:jc w:val="end"/>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7"/>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style>
  <w:style w:type="paragraph" w:styleId="FootnoteText">
    <w:name w:val="footnote text"/>
    <w:basedOn w:val="Normal"/>
    <w:pPr/>
    <w:rPr/>
  </w:style>
  <w:style w:type="paragraph" w:styleId="BodyTextIndent3">
    <w:name w:val="Body Text Indent 3"/>
    <w:basedOn w:val="Normal"/>
    <w:qFormat/>
    <w:pPr>
      <w:ind w:hanging="0" w:start="720" w:end="0"/>
      <w:jc w:val="both"/>
    </w:pPr>
    <w:rPr>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2000-08-22T14:10:00Z</dcterms:created>
  <dc:creator>Shari Stack</dc:creator>
  <dc:description/>
  <dc:language>en-CA</dc:language>
  <cp:lastModifiedBy>VE</cp:lastModifiedBy>
  <cp:lastPrinted>2000-08-22T10:53:00Z</cp:lastPrinted>
  <dcterms:modified xsi:type="dcterms:W3CDTF">2000-08-22T14:10:00Z</dcterms:modified>
  <cp:revision>2</cp:revision>
  <dc:subject/>
  <dc:title>Confirmation of OTC Equity</dc:title>
</cp:coreProperties>
</file>