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lang w:val="en-CA"/>
        </w:rPr>
      </w:pPr>
      <w:r>
        <w:rPr>
          <w:lang w:val="en-CA"/>
        </w:rPr>
        <w:drawing>
          <wp:anchor behindDoc="0" distT="0" distB="0" distL="114935" distR="114935" simplePos="0" locked="0" layoutInCell="0" allowOverlap="1" relativeHeight="4">
            <wp:simplePos x="0" y="0"/>
            <wp:positionH relativeFrom="column">
              <wp:posOffset>-228600</wp:posOffset>
            </wp:positionH>
            <wp:positionV relativeFrom="paragraph">
              <wp:posOffset>635</wp:posOffset>
            </wp:positionV>
            <wp:extent cx="1143000" cy="1143000"/>
            <wp:effectExtent l="0" t="0" r="0" b="0"/>
            <wp:wrapTight wrapText="bothSides">
              <wp:wrapPolygon edited="0">
                <wp:start x="-180" y="0"/>
                <wp:lineTo x="-180" y="21420"/>
                <wp:lineTo x="21600" y="21420"/>
                <wp:lineTo x="21600" y="0"/>
                <wp:lineTo x="-1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1" t="-31" r="-31" b="-31"/>
                    <a:stretch>
                      <a:fillRect/>
                    </a:stretch>
                  </pic:blipFill>
                  <pic:spPr bwMode="auto">
                    <a:xfrm>
                      <a:off x="0" y="0"/>
                      <a:ext cx="1143000" cy="1143000"/>
                    </a:xfrm>
                    <a:prstGeom prst="rect">
                      <a:avLst/>
                    </a:prstGeom>
                    <a:noFill/>
                  </pic:spPr>
                </pic:pic>
              </a:graphicData>
            </a:graphic>
          </wp:anchor>
        </w:drawing>
      </w:r>
    </w:p>
    <w:p>
      <w:pPr>
        <w:pStyle w:val="Heading"/>
        <w:rPr/>
      </w:pPr>
      <w:r>
        <w:rPr/>
      </w:r>
    </w:p>
    <w:p>
      <w:pPr>
        <w:pStyle w:val="Heading"/>
        <w:rPr/>
      </w:pPr>
      <w:r>
        <w:rPr/>
      </w:r>
    </w:p>
    <w:p>
      <w:pPr>
        <w:pStyle w:val="Heading"/>
        <w:rPr>
          <w:lang w:val="en-CA"/>
        </w:rPr>
      </w:pPr>
      <w:r>
        <w:rPr>
          <w:lang w:val="en-CA"/>
        </w:rPr>
      </w:r>
      <w:r>
        <mc:AlternateContent>
          <mc:Choice Requires="wps">
            <w:drawing>
              <wp:anchor behindDoc="0" distT="0" distB="0" distL="114935" distR="114935" simplePos="0" locked="0" layoutInCell="0" allowOverlap="1" relativeHeight="3">
                <wp:simplePos x="0" y="0"/>
                <wp:positionH relativeFrom="column">
                  <wp:posOffset>-114300</wp:posOffset>
                </wp:positionH>
                <wp:positionV relativeFrom="paragraph">
                  <wp:posOffset>-68580</wp:posOffset>
                </wp:positionV>
                <wp:extent cx="2564765" cy="412115"/>
                <wp:effectExtent l="0" t="0" r="0" b="0"/>
                <wp:wrapTight wrapText="bothSides">
                  <wp:wrapPolygon edited="0">
                    <wp:start x="0" y="0"/>
                    <wp:lineTo x="21600" y="0"/>
                    <wp:lineTo x="21600" y="21600"/>
                    <wp:lineTo x="0" y="21600"/>
                    <wp:lineTo x="0" y="0"/>
                  </wp:wrapPolygon>
                </wp:wrapTight>
                <wp:docPr id="2" name="Frame1"/>
                <a:graphic xmlns:a="http://schemas.openxmlformats.org/drawingml/2006/main">
                  <a:graphicData uri="http://schemas.microsoft.com/office/word/2010/wordprocessingShape">
                    <wps:wsp>
                      <wps:cNvSpPr txBox="1"/>
                      <wps:spPr>
                        <a:xfrm>
                          <a:off x="0" y="0"/>
                          <a:ext cx="2564765" cy="412115"/>
                        </a:xfrm>
                        <a:prstGeom prst="rect"/>
                        <a:solidFill>
                          <a:srgbClr val="FFFFFF">
                            <a:alpha val="0"/>
                          </a:srgbClr>
                        </a:solidFill>
                      </wps:spPr>
                      <wps:txbx>
                        <w:txbxContent>
                          <w:p>
                            <w:pPr>
                              <w:pStyle w:val="Heading2"/>
                              <w:ind w:hanging="0" w:start="0"/>
                              <w:rPr/>
                            </w:pPr>
                            <w:r>
                              <w:rPr/>
                              <w:t>Associate and Analyst Programs</w:t>
                            </w:r>
                          </w:p>
                        </w:txbxContent>
                      </wps:txbx>
                      <wps:bodyPr anchor="t" lIns="92075" tIns="46355" rIns="92075" bIns="46355">
                        <a:noAutofit/>
                      </wps:bodyPr>
                    </wps:wsp>
                  </a:graphicData>
                </a:graphic>
              </wp:anchor>
            </w:drawing>
          </mc:Choice>
          <mc:Fallback>
            <w:pict>
              <v:rect fillcolor="#FFFFFF" style="position:absolute;rotation:-0;width:201.95pt;height:32.45pt;mso-wrap-distance-left:9.05pt;mso-wrap-distance-right:9.05pt;mso-wrap-distance-top:0pt;mso-wrap-distance-bottom:0pt;margin-top:-5.4pt;mso-position-vertical-relative:text;margin-left:-9pt;mso-position-horizontal-relative:text">
                <v:fill opacity="0f"/>
                <v:textbox inset="0.100694444444444in,0.0506944444444444in,0.100694444444444in,0.0506944444444444in">
                  <w:txbxContent>
                    <w:p>
                      <w:pPr>
                        <w:pStyle w:val="Heading2"/>
                        <w:ind w:hanging="0" w:start="0"/>
                        <w:rPr/>
                      </w:pPr>
                      <w:r>
                        <w:rPr/>
                        <w:t>Associate and Analyst Programs</w:t>
                      </w:r>
                    </w:p>
                  </w:txbxContent>
                </v:textbox>
                <w10:wrap type="square"/>
              </v:rect>
            </w:pict>
          </mc:Fallback>
        </mc:AlternateContent>
      </w:r>
    </w:p>
    <w:p>
      <w:pPr>
        <w:pStyle w:val="Heading"/>
        <w:rPr/>
      </w:pPr>
      <w:r>
        <w:rPr/>
      </w:r>
    </w:p>
    <w:p>
      <w:pPr>
        <w:pStyle w:val="Heading"/>
        <w:rPr>
          <w:lang w:val="en-CA"/>
        </w:rPr>
      </w:pPr>
      <w:r>
        <w:rPr>
          <w:lang w:val="en-CA"/>
        </w:rPr>
        <mc:AlternateContent>
          <mc:Choice Requires="wps">
            <w:drawing>
              <wp:anchor behindDoc="0" distT="0" distB="0" distL="114935" distR="114935" simplePos="0" locked="0" layoutInCell="0" allowOverlap="1" relativeHeight="2">
                <wp:simplePos x="0" y="0"/>
                <wp:positionH relativeFrom="column">
                  <wp:posOffset>-342900</wp:posOffset>
                </wp:positionH>
                <wp:positionV relativeFrom="paragraph">
                  <wp:posOffset>38100</wp:posOffset>
                </wp:positionV>
                <wp:extent cx="5715000" cy="0"/>
                <wp:effectExtent l="0" t="14605" r="0" b="14605"/>
                <wp:wrapTight wrapText="bothSides">
                  <wp:wrapPolygon edited="0">
                    <wp:start x="0" y="0"/>
                    <wp:lineTo x="21600" y="21600"/>
                    <wp:lineTo x="0" y="0"/>
                  </wp:wrapPolygon>
                </wp:wrapTight>
                <wp:docPr id="3"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7pt,3pt" to="422.95pt,3pt" stroked="t" o:allowincell="f" style="position:absolute">
                <v:stroke color="black" weight="28440" joinstyle="miter" endcap="flat"/>
                <v:fill o:detectmouseclick="t" on="false"/>
                <w10:wrap type="square"/>
              </v:line>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sz w:val="18"/>
              </w:rPr>
            </w:pPr>
            <w:r>
              <w:rPr>
                <w:sz w:val="18"/>
              </w:rPr>
              <w:t>Jeff Skilling, Steve Kean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sz w:val="18"/>
              </w:rPr>
            </w:pPr>
            <w:r>
              <w:rPr>
                <w:sz w:val="18"/>
              </w:rPr>
              <w:t>Charlene Jackson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sz w:val="18"/>
              </w:rPr>
            </w:pPr>
            <w:bookmarkStart w:id="0" w:name="From"/>
            <w:bookmarkEnd w:id="0"/>
            <w:r>
              <w:rPr>
                <w:sz w:val="18"/>
              </w:rPr>
              <w:t>Associate &amp; Analyst Dept.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sz w:val="18"/>
              </w:rPr>
            </w:pPr>
            <w:r>
              <w:rPr>
                <w:sz w:val="18"/>
              </w:rPr>
              <w:t>Associate &amp; Analyst Compensation Survey</w:t>
            </w:r>
          </w:p>
          <w:p>
            <w:pPr>
              <w:pStyle w:val="Subject"/>
              <w:rPr>
                <w:sz w:val="18"/>
              </w:rPr>
            </w:pPr>
            <w:r>
              <w:rPr>
                <w:sz w:val="18"/>
              </w:rPr>
              <w:t>and Bonus Range Increases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sz w:val="18"/>
              </w:rPr>
            </w:pP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tc>
      </w:tr>
    </w:tbl>
    <w:p>
      <w:pPr>
        <w:pStyle w:val="Body"/>
        <w:rPr/>
      </w:pPr>
      <w:r>
        <w:rPr/>
      </w:r>
      <w:bookmarkStart w:id="1" w:name="StartOfMemo"/>
      <w:bookmarkStart w:id="2" w:name="StartOfMemo"/>
      <w:bookmarkEnd w:id="2"/>
    </w:p>
    <w:p>
      <w:pPr>
        <w:pStyle w:val="Normal"/>
        <w:rPr>
          <w:sz w:val="20"/>
        </w:rPr>
      </w:pPr>
      <w:r>
        <w:rPr>
          <w:sz w:val="20"/>
        </w:rPr>
        <w:t xml:space="preserve">As you are aware there is concern about whether Enron’s compensation package for incoming Associates and Analysts is competitive.  I have completed a compensation survey, where I have reviewed energy companies, investment banks and McKinsey (survey attached).  Enron’s total compensation package (including the bonus potential) is actually richer than other energy companies, however, Enron’s base salary is considerably lower. </w:t>
      </w:r>
    </w:p>
    <w:p>
      <w:pPr>
        <w:pStyle w:val="Normal"/>
        <w:rPr>
          <w:sz w:val="20"/>
        </w:rPr>
      </w:pPr>
      <w:r>
        <w:rPr>
          <w:sz w:val="20"/>
        </w:rPr>
      </w:r>
    </w:p>
    <w:p>
      <w:pPr>
        <w:pStyle w:val="To"/>
        <w:rPr/>
      </w:pPr>
      <w:r>
        <w:rPr/>
        <w:t xml:space="preserve">There are two alternative ways in which to adjust the Enron package that would make it more competitive.  One is to increase the base salary and the other is to increase the sign-on bonus.  Both proposals are described below.  I have proposed changes to the current pool’s bonus range, which is also described below.  </w:t>
      </w:r>
    </w:p>
    <w:p>
      <w:pPr>
        <w:pStyle w:val="Normal"/>
        <w:rPr>
          <w:sz w:val="20"/>
        </w:rPr>
      </w:pPr>
      <w:r>
        <w:rPr>
          <w:sz w:val="20"/>
        </w:rPr>
      </w:r>
    </w:p>
    <w:p>
      <w:pPr>
        <w:pStyle w:val="Normal"/>
        <w:rPr>
          <w:sz w:val="20"/>
        </w:rPr>
      </w:pPr>
      <w:r>
        <w:rPr>
          <w:sz w:val="20"/>
        </w:rPr>
      </w:r>
    </w:p>
    <w:p>
      <w:pPr>
        <w:pStyle w:val="Heading2"/>
        <w:ind w:hanging="0" w:start="0"/>
        <w:rPr>
          <w:sz w:val="20"/>
        </w:rPr>
      </w:pPr>
      <w:r>
        <w:rPr>
          <w:sz w:val="20"/>
        </w:rPr>
        <w:t>Current Pool Participants – Increased Bonus Range</w:t>
      </w:r>
    </w:p>
    <w:p>
      <w:pPr>
        <w:pStyle w:val="To"/>
        <w:spacing w:before="120" w:after="0"/>
        <w:rPr/>
      </w:pPr>
      <w:r>
        <w:rPr/>
        <w:t xml:space="preserve">In June we made changes to the Analyst and Associate Programs.  One of the changes was to add an additional level for the Analysts.  Analysts are now promoted to the "3rd-year” Analyst position and they must complete three years prior to being promoted to Associate.  </w:t>
      </w:r>
    </w:p>
    <w:p>
      <w:pPr>
        <w:pStyle w:val="Normal"/>
        <w:spacing w:before="160" w:after="0"/>
        <w:rPr/>
      </w:pPr>
      <w:r>
        <w:rPr>
          <w:sz w:val="20"/>
        </w:rPr>
        <w:t>This change was made because in the past Analysts were promoted to Associates after completing 2 years in the Program but were not given the same compensation as incoming Associates with graduate degrees.  Additionally, there was concern among the business centers that the quality and maturity of individuals being promoted to Associate needed to be stronger.  As a result, we added the third level to the Analyst program and gave the Analysts who were “promoted” to “3</w:t>
      </w:r>
      <w:r>
        <w:rPr>
          <w:sz w:val="20"/>
          <w:vertAlign w:val="superscript"/>
        </w:rPr>
        <w:t>rd</w:t>
      </w:r>
      <w:r>
        <w:rPr>
          <w:sz w:val="20"/>
        </w:rPr>
        <w:t>-year Analyst” the same compensation they would have received if they had been promoted to Associate under the “old guidelines.”  We also decided to give those individuals who had completed a third year and were promoted to Associate the same compensation as incoming Associates with a graduate degree.</w:t>
      </w:r>
    </w:p>
    <w:p>
      <w:pPr>
        <w:pStyle w:val="Normal"/>
        <w:rPr>
          <w:sz w:val="20"/>
        </w:rPr>
      </w:pPr>
      <w:r>
        <w:rPr>
          <w:sz w:val="20"/>
        </w:rPr>
      </w:r>
    </w:p>
    <w:p>
      <w:pPr>
        <w:pStyle w:val="Normal"/>
        <w:rPr>
          <w:sz w:val="20"/>
        </w:rPr>
      </w:pPr>
      <w:r>
        <w:rPr>
          <w:sz w:val="20"/>
        </w:rPr>
        <w:t xml:space="preserve">The changes require adjustments in the bonus ranges.   The 1999 and proposed 2000 bonus ranges are attached.  The compensation representatives in the business centers are using the proposed ranges to estimate bonus pools.  They were provided with these figures about a month ago for planning purposes but were advised that the ranges were not approved. </w:t>
      </w:r>
    </w:p>
    <w:p>
      <w:pPr>
        <w:pStyle w:val="Normal"/>
        <w:rPr>
          <w:sz w:val="20"/>
        </w:rPr>
      </w:pPr>
      <w:r>
        <w:rPr>
          <w:sz w:val="20"/>
        </w:rPr>
      </w:r>
    </w:p>
    <w:p>
      <w:pPr>
        <w:pStyle w:val="Normal"/>
        <w:rPr/>
      </w:pPr>
      <w:r>
        <w:rPr/>
      </w:r>
    </w:p>
    <w:p>
      <w:pPr>
        <w:pStyle w:val="Heading2"/>
        <w:ind w:hanging="0" w:start="0"/>
        <w:rPr>
          <w:sz w:val="20"/>
        </w:rPr>
      </w:pPr>
      <w:r>
        <w:rPr>
          <w:sz w:val="20"/>
        </w:rPr>
        <w:t>Incoming Associate &amp; Analyst Compensation Package</w:t>
      </w:r>
    </w:p>
    <w:p>
      <w:pPr>
        <w:pStyle w:val="Normal"/>
        <w:spacing w:before="120" w:after="0"/>
        <w:rPr/>
      </w:pPr>
      <w:r>
        <w:rPr>
          <w:sz w:val="20"/>
        </w:rPr>
        <w:t>As of the most recent Super Saturday (December 9</w:t>
      </w:r>
      <w:r>
        <w:rPr>
          <w:sz w:val="20"/>
          <w:vertAlign w:val="superscript"/>
        </w:rPr>
        <w:t>th</w:t>
      </w:r>
      <w:r>
        <w:rPr>
          <w:sz w:val="20"/>
        </w:rPr>
        <w:t>) we have made a total of 159 offers to Associates (includes 25 Summer Associates) and 184 to Analysts (includes 30 Summer Analysts).  To date, 18 Associates have accepted and 5 have declined the offer.  Twenty-one Analysts have accepted and 11 have declined.</w:t>
      </w:r>
      <w:r>
        <w:br w:type="page"/>
      </w:r>
    </w:p>
    <w:p>
      <w:pPr>
        <w:pStyle w:val="Normal"/>
        <w:rPr>
          <w:sz w:val="20"/>
        </w:rPr>
      </w:pPr>
      <w:r>
        <w:rPr>
          <w:sz w:val="20"/>
        </w:rPr>
      </w:r>
    </w:p>
    <w:p>
      <w:pPr>
        <w:pStyle w:val="Normal"/>
        <w:rPr/>
      </w:pPr>
      <w:r>
        <w:rPr>
          <w:b/>
          <w:sz w:val="20"/>
        </w:rPr>
        <w:t>Proposal A.</w:t>
      </w:r>
      <w:r>
        <w:rPr>
          <w:sz w:val="20"/>
        </w:rPr>
        <w:t xml:space="preserve">  Because the candidates focus on the base salary rather than the total package, the preferable solution is to increase the base by $4,000 from $76,000 to $80,000 for Associates and by $5,000 from $40,000 to $45,000 for Analysts.  However, last year when the incoming Associates’ and Analysts’ base was increased, the current pools’ base was also increased.  Consequently, if we utilize this solution, there may be an expectation from the current pool that their base would be increased.  The total cost of increasing the base for the incoming Associates and Analysts is $780,000 (159 Associate offers; assume 50% acceptance rate; 80 x $4,000 = $320,000; 184 Analysts; 92 x $5,000 = $460,000).  If the base salary of the current pool is increased, the additional cost is approximately $2,350,000.  The total cost of this proposal could potentially be $3,130,000</w:t>
      </w:r>
    </w:p>
    <w:p>
      <w:pPr>
        <w:pStyle w:val="Normal"/>
        <w:rPr>
          <w:sz w:val="20"/>
        </w:rPr>
      </w:pPr>
      <w:r>
        <w:rPr>
          <w:sz w:val="20"/>
        </w:rPr>
      </w:r>
    </w:p>
    <w:p>
      <w:pPr>
        <w:pStyle w:val="Normal"/>
        <w:rPr>
          <w:sz w:val="20"/>
        </w:rPr>
      </w:pPr>
      <w:r>
        <w:rPr>
          <w:sz w:val="20"/>
        </w:rPr>
        <w:t>I would argue that it is not necessary to increase the base of the current pool for several reasons. (1) it was increased last year because it had not been increased for several years; (2) we will potentially be increasing the bonus ranges by 20 - 35% for the existing pool; and (3) other companies do not make internal equity adjustments for existing employees when responding to market conditions for new employees.  Additionally, increasing the base salary for the existing pool participants causes compression issues for the remaining Enron population specifically at the manager level.</w:t>
      </w:r>
    </w:p>
    <w:p>
      <w:pPr>
        <w:pStyle w:val="Normal"/>
        <w:rPr>
          <w:sz w:val="20"/>
        </w:rPr>
      </w:pPr>
      <w:r>
        <w:rPr>
          <w:sz w:val="20"/>
        </w:rPr>
      </w:r>
    </w:p>
    <w:p>
      <w:pPr>
        <w:pStyle w:val="Normal"/>
        <w:rPr/>
      </w:pPr>
      <w:r>
        <w:rPr>
          <w:b/>
          <w:sz w:val="20"/>
        </w:rPr>
        <w:t>Proposal B.</w:t>
      </w:r>
      <w:r>
        <w:rPr>
          <w:sz w:val="20"/>
        </w:rPr>
        <w:t xml:space="preserve">  Increase the sign-on bonus by $5,000 from $20,000 to $25,000 for the Associates and from $5,000 to $10,000 for the Analysts.  Total cost is estimated at $857,500 (343 offers; assume 50% acceptance rate; 172 x $5,000).</w:t>
      </w:r>
    </w:p>
    <w:p>
      <w:pPr>
        <w:pStyle w:val="Normal"/>
        <w:rPr>
          <w:sz w:val="20"/>
        </w:rPr>
      </w:pPr>
      <w:r>
        <w:rPr>
          <w:sz w:val="20"/>
        </w:rPr>
      </w:r>
    </w:p>
    <w:p>
      <w:pPr>
        <w:pStyle w:val="Heading3"/>
        <w:ind w:hanging="0" w:start="0"/>
        <w:rPr>
          <w:sz w:val="20"/>
        </w:rPr>
      </w:pPr>
      <w:r>
        <w:rPr>
          <w:sz w:val="20"/>
        </w:rPr>
      </w:r>
    </w:p>
    <w:p>
      <w:pPr>
        <w:pStyle w:val="Heading3"/>
        <w:ind w:hanging="0" w:start="0"/>
        <w:rPr/>
      </w:pPr>
      <w:r>
        <w:rPr/>
        <w:t>Recommendations</w:t>
      </w:r>
    </w:p>
    <w:p>
      <w:pPr>
        <w:pStyle w:val="Normal"/>
        <w:rPr>
          <w:b/>
          <w:sz w:val="20"/>
        </w:rPr>
      </w:pPr>
      <w:r>
        <w:rPr>
          <w:b/>
          <w:sz w:val="20"/>
        </w:rPr>
      </w:r>
    </w:p>
    <w:p>
      <w:pPr>
        <w:pStyle w:val="To"/>
        <w:rPr/>
      </w:pPr>
      <w:r>
        <w:rPr>
          <w:i/>
          <w:u w:val="single"/>
        </w:rPr>
        <w:t>Proposed bonus ranges</w:t>
      </w:r>
      <w:r>
        <w:rPr>
          <w:i/>
        </w:rPr>
        <w:t>:</w:t>
      </w:r>
      <w:r>
        <w:rPr/>
        <w:t xml:space="preserve"> Approve as requested.</w:t>
      </w:r>
    </w:p>
    <w:p>
      <w:pPr>
        <w:pStyle w:val="To"/>
        <w:rPr/>
      </w:pPr>
      <w:r>
        <w:rPr/>
      </w:r>
    </w:p>
    <w:p>
      <w:pPr>
        <w:pStyle w:val="Heading2"/>
        <w:ind w:hanging="0" w:start="0"/>
        <w:rPr/>
      </w:pPr>
      <w:r>
        <w:rPr>
          <w:b w:val="false"/>
          <w:i/>
          <w:sz w:val="20"/>
          <w:u w:val="single"/>
        </w:rPr>
        <w:t>Incoming Associate &amp; Analyst Compensation Package</w:t>
      </w:r>
      <w:r>
        <w:rPr>
          <w:b w:val="false"/>
          <w:i/>
          <w:sz w:val="20"/>
        </w:rPr>
        <w:t>:</w:t>
      </w:r>
      <w:r>
        <w:rPr>
          <w:b w:val="false"/>
          <w:sz w:val="20"/>
        </w:rPr>
        <w:t xml:space="preserve"> Increase base salary for incoming Associates and Analysts without increasing the base of the existing pool participants.  Although Enron’s total package is competitive, the perception is that Enron’s package is not because the base salary is considerably lower.  While increasing the sign-on effectively increases the package it does not dispel the perception that Enron is not competitive.</w:t>
      </w:r>
    </w:p>
    <w:p>
      <w:pPr>
        <w:pStyle w:val="Normal"/>
        <w:rPr>
          <w:b/>
          <w:sz w:val="20"/>
        </w:rPr>
      </w:pPr>
      <w:r>
        <w:rPr>
          <w:b/>
          <w:sz w:val="20"/>
        </w:rPr>
      </w:r>
    </w:p>
    <w:p>
      <w:pPr>
        <w:pStyle w:val="Heading2"/>
        <w:ind w:hanging="0" w:start="0"/>
        <w:rPr>
          <w:b w:val="false"/>
          <w:sz w:val="20"/>
        </w:rPr>
      </w:pPr>
      <w:r>
        <w:rPr>
          <w:b w:val="false"/>
          <w:sz w:val="20"/>
        </w:rPr>
      </w:r>
    </w:p>
    <w:p>
      <w:pPr>
        <w:pStyle w:val="Normal"/>
        <w:rPr>
          <w:b/>
          <w:sz w:val="20"/>
        </w:rPr>
      </w:pPr>
      <w:r>
        <w:rPr>
          <w:b/>
          <w:sz w:val="20"/>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0"/>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20"/>
    </w:rPr>
  </w:style>
  <w:style w:type="paragraph" w:styleId="From">
    <w:name w:val="From"/>
    <w:basedOn w:val="Normal"/>
    <w:qFormat/>
    <w:pPr/>
    <w:rPr>
      <w:sz w:val="20"/>
    </w:rPr>
  </w:style>
  <w:style w:type="paragraph" w:styleId="Department">
    <w:name w:val="Department"/>
    <w:basedOn w:val="Normal"/>
    <w:qFormat/>
    <w:pPr/>
    <w:rPr>
      <w:sz w:val="20"/>
    </w:rPr>
  </w:style>
  <w:style w:type="paragraph" w:styleId="Subject">
    <w:name w:val="Subject"/>
    <w:basedOn w:val="Normal"/>
    <w:qFormat/>
    <w:pPr/>
    <w:rPr>
      <w:sz w:val="20"/>
    </w:rPr>
  </w:style>
  <w:style w:type="paragraph" w:styleId="Date">
    <w:name w:val="Date"/>
    <w:basedOn w:val="Normal"/>
    <w:qFormat/>
    <w:pPr/>
    <w:rPr>
      <w:sz w:val="20"/>
    </w:rPr>
  </w:style>
  <w:style w:type="paragraph" w:styleId="Body">
    <w:name w:val="Body"/>
    <w:basedOn w:val="Normal"/>
    <w:qFormat/>
    <w:pPr>
      <w:ind w:hanging="0" w:start="72" w:end="0"/>
    </w:pPr>
    <w:rPr>
      <w:color w:val="000080"/>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2000-12-12T10:57:00Z</dcterms:created>
  <dc:creator>cjackso</dc:creator>
  <dc:description/>
  <dc:language>en-CA</dc:language>
  <cp:lastModifiedBy>CJacks2</cp:lastModifiedBy>
  <cp:lastPrinted>2000-12-10T21:48:00Z</cp:lastPrinted>
  <dcterms:modified xsi:type="dcterms:W3CDTF">2000-12-12T10:57:00Z</dcterms:modified>
  <cp:revision>2</cp:revision>
  <dc:subject/>
  <dc:title>As you are aware there has been concern about whether Enron’s compensation package is competitive for incoming Associates and Analysts</dc:title>
</cp:coreProperties>
</file>