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end"/>
        <w:rPr>
          <w:b/>
          <w:bCs/>
        </w:rPr>
      </w:pPr>
      <w:r>
        <w:rPr>
          <w:b/>
          <w:bCs/>
        </w:rPr>
        <w:t>Draft of September 13, 9:00 pm</w:t>
      </w:r>
    </w:p>
    <w:p>
      <w:pPr>
        <w:pStyle w:val="BodyText"/>
        <w:jc w:val="end"/>
        <w:rPr>
          <w:b/>
          <w:bCs/>
        </w:rPr>
      </w:pPr>
      <w:r>
        <w:rPr>
          <w:b/>
          <w:bCs/>
        </w:rPr>
      </w:r>
    </w:p>
    <w:p>
      <w:pPr>
        <w:pStyle w:val="BodyText"/>
        <w:rPr/>
      </w:pPr>
      <w:r>
        <w:rPr/>
        <w:t xml:space="preserve">A group of energy market participants and the International Swaps and Derivatives Association, Inc. (“ISDA”) met by conference call on September 13, 2001 to discuss how to address the market situation for specific energy products in light of the events of September 11, 2001. NYMEX and Platt’s have failed to announce or publish prices as a result of the World Trade Center bombings. </w:t>
      </w:r>
    </w:p>
    <w:p>
      <w:pPr>
        <w:pStyle w:val="BodyText"/>
        <w:rPr/>
      </w:pPr>
      <w:r>
        <w:rPr/>
      </w:r>
    </w:p>
    <w:p>
      <w:pPr>
        <w:pStyle w:val="BodyText"/>
        <w:rPr/>
      </w:pPr>
      <w:r>
        <w:rPr/>
        <w:t>In light of these events, ISDA issues the following statement of best practices for all parties to transactions involving certain energy products that were entered into before September 11, 2001.  It should be emphasized that ISDA is issuing this statement in light of the unique market conditions and is doing so in the interest of mitigation of market risk and promotion of orderly valuation and settlement of positions by participants in the energy market.  Parties are not obliged to follow the best practice guidelines below and may choose to negotiate an alternative means of addressing the events on a bilateral basis.</w:t>
      </w:r>
    </w:p>
    <w:p>
      <w:pPr>
        <w:pStyle w:val="BodyText"/>
        <w:rPr/>
      </w:pPr>
      <w:r>
        <w:rPr/>
      </w:r>
    </w:p>
    <w:p>
      <w:pPr>
        <w:pStyle w:val="BodyText"/>
        <w:rPr>
          <w:i/>
          <w:i/>
          <w:iCs/>
        </w:rPr>
      </w:pPr>
      <w:r>
        <w:rPr>
          <w:i/>
          <w:iCs/>
        </w:rPr>
        <w:t>Statement</w:t>
      </w:r>
    </w:p>
    <w:p>
      <w:pPr>
        <w:pStyle w:val="BodyText"/>
        <w:rPr>
          <w:szCs w:val="20"/>
        </w:rPr>
      </w:pPr>
      <w:r>
        <w:rPr/>
        <w:t xml:space="preserve">The Commodity Derivative Definitions (as supplemented by the 2000 Supplement to those definitions) reference NYMEX, COMEX, Platt’s Oilgram or Platt’s U.S. as Price Sources.  Where a Market Disruption Event has occurred and an alternate Commodity Reference Price has not been specified, the first relevant Disruption Fallback specified in the Definitions is Negotiated Fallback, which requires the negotiation in good faith to agree on a Relevant Price.  ISDA, in consultation with energy market participants, recommends the following method as the basis for a Negotiated Fallback for determining a Relevant Price for commodity derivative transactions affected by recent events.  </w:t>
      </w:r>
    </w:p>
    <w:p>
      <w:pPr>
        <w:pStyle w:val="Normal"/>
        <w:tabs>
          <w:tab w:val="clear" w:pos="720"/>
          <w:tab w:val="left" w:pos="1440" w:leader="none"/>
        </w:tabs>
        <w:jc w:val="both"/>
        <w:rPr>
          <w:szCs w:val="20"/>
        </w:rPr>
      </w:pPr>
      <w:r>
        <w:rPr>
          <w:szCs w:val="20"/>
        </w:rPr>
      </w:r>
    </w:p>
    <w:p>
      <w:pPr>
        <w:pStyle w:val="Normal"/>
        <w:tabs>
          <w:tab w:val="clear" w:pos="720"/>
          <w:tab w:val="left" w:pos="1440" w:leader="none"/>
        </w:tabs>
        <w:jc w:val="both"/>
        <w:rPr>
          <w:szCs w:val="20"/>
        </w:rPr>
      </w:pPr>
      <w:r>
        <w:rPr/>
        <w:t>1.  Provided that the Market Disruption Event does not continue for longer than five (5) Commodity Business Days:</w:t>
      </w:r>
    </w:p>
    <w:p>
      <w:pPr>
        <w:pStyle w:val="Normal"/>
        <w:jc w:val="both"/>
        <w:rPr>
          <w:szCs w:val="20"/>
        </w:rPr>
      </w:pPr>
      <w:r>
        <w:rPr>
          <w:szCs w:val="20"/>
        </w:rPr>
      </w:r>
    </w:p>
    <w:p>
      <w:pPr>
        <w:pStyle w:val="BodyTextIndent"/>
        <w:rPr>
          <w:szCs w:val="20"/>
        </w:rPr>
      </w:pPr>
      <w:r>
        <w:rPr/>
        <w:t>(a)</w:t>
        <w:tab/>
        <w:t xml:space="preserve">in the case of a transaction which references NYMEX or COMEX as the Price Source, the Relevant Price in respect of the specified Commodity Reference Price for each Pricing Date during the continuation of such Market Disruption Event shall be the Commodity Reference Price for the first Commodity Business Day on which:  (i) trading resumes through open outcry, NYMEX ACCESS or otherwise after the Market Disruption Event; and (ii) NYMEX announces a Settlement Price (daily closing price); or </w:t>
      </w:r>
    </w:p>
    <w:p>
      <w:pPr>
        <w:pStyle w:val="Normal"/>
        <w:ind w:start="1980" w:end="0"/>
        <w:jc w:val="both"/>
        <w:rPr>
          <w:szCs w:val="20"/>
        </w:rPr>
      </w:pPr>
      <w:r>
        <w:rPr>
          <w:szCs w:val="20"/>
        </w:rPr>
      </w:r>
    </w:p>
    <w:p>
      <w:pPr>
        <w:pStyle w:val="BodyTextIndent"/>
        <w:rPr>
          <w:szCs w:val="20"/>
        </w:rPr>
      </w:pPr>
      <w:r>
        <w:rPr/>
        <w:t>(b)</w:t>
        <w:tab/>
        <w:t xml:space="preserve">in the case of a transaction which references Platt’s Oilgram or Platt’s U.S., the Relevant Price in respect of the specified Commodity Reference Price for each Pricing Date shall be determined by excluding as a Pricing Date any Commodity Business Day on which Platt’s did not publish the Commodity Reference Price (i.e., the Relevant Price(s) in any such transaction shall be determined by reference only to those Commodity Reference Price(s) actually announced or published by Platt’s for the Pricing Dates for the transaction on which there is no Market Disruption Event that has occurred and is continuing); or </w:t>
      </w:r>
    </w:p>
    <w:p>
      <w:pPr>
        <w:pStyle w:val="Normal"/>
        <w:ind w:hanging="540" w:start="1980" w:end="0"/>
        <w:jc w:val="both"/>
        <w:rPr>
          <w:szCs w:val="20"/>
        </w:rPr>
      </w:pPr>
      <w:r>
        <w:rPr>
          <w:szCs w:val="20"/>
        </w:rPr>
      </w:r>
    </w:p>
    <w:p>
      <w:pPr>
        <w:pStyle w:val="BodyTextIndent"/>
        <w:rPr>
          <w:szCs w:val="20"/>
        </w:rPr>
      </w:pPr>
      <w:r>
        <w:rPr/>
        <w:t>(c)</w:t>
        <w:tab/>
        <w:t xml:space="preserve">in the case of a transaction which references:  (i) NYMEX or COMEX; and (ii) Platt’s Oilgram or Platt’s U.S. as Price Sources, the Relevant Price in respect of the specified Commodity Reference Price for each Pricing Date shall be determined by excluding as a Pricing Date any Commodity Business Day on which Platt's did not publish a price (i.e., the Relevant Price(s) in any such transaction shall be determined by reference only to those Commodity Reference Price(s) actually announced or published by Platt’s for each Pricing Date for the transaction on which there is no Market Disruption Event that has occurred and is continuing).   </w:t>
      </w:r>
    </w:p>
    <w:p>
      <w:pPr>
        <w:pStyle w:val="Normal"/>
        <w:ind w:start="1980" w:end="0"/>
        <w:jc w:val="both"/>
        <w:rPr>
          <w:szCs w:val="20"/>
        </w:rPr>
      </w:pPr>
      <w:r>
        <w:rPr>
          <w:szCs w:val="20"/>
        </w:rPr>
      </w:r>
    </w:p>
    <w:p>
      <w:pPr>
        <w:pStyle w:val="BodyText"/>
        <w:rPr>
          <w:szCs w:val="20"/>
        </w:rPr>
      </w:pPr>
      <w:r>
        <w:rPr/>
        <w:t>2.  The Relevant Price in Paragraph 1(a) above shall apply regardless of whether NYMEX or COMEX announces a daily closing price for any Pricing Date on which there was a Market Disruption Event.</w:t>
      </w:r>
    </w:p>
    <w:p>
      <w:pPr>
        <w:pStyle w:val="Normal"/>
        <w:jc w:val="both"/>
        <w:rPr>
          <w:szCs w:val="20"/>
        </w:rPr>
      </w:pPr>
      <w:r>
        <w:rPr>
          <w:szCs w:val="20"/>
        </w:rPr>
      </w:r>
    </w:p>
    <w:p>
      <w:pPr>
        <w:pStyle w:val="BodyTextIndent2"/>
        <w:ind w:hanging="0" w:start="0" w:end="0"/>
        <w:rPr>
          <w:szCs w:val="20"/>
        </w:rPr>
      </w:pPr>
      <w:r>
        <w:rPr/>
        <w:t>3.  In the event that the Market Disruption Event continues for longer than five (5) Commodity Business Days, the Disruption Fallback shall be determined in accordance with or as specified in the agreement between the parties unless otherwise specified.</w:t>
      </w:r>
    </w:p>
    <w:p>
      <w:pPr>
        <w:pStyle w:val="Normal"/>
        <w:jc w:val="both"/>
        <w:rPr>
          <w:szCs w:val="20"/>
        </w:rPr>
      </w:pPr>
      <w:r>
        <w:rPr>
          <w:szCs w:val="20"/>
        </w:rPr>
      </w:r>
    </w:p>
    <w:p>
      <w:pPr>
        <w:pStyle w:val="BodyText"/>
        <w:rPr>
          <w:i/>
          <w:i/>
          <w:iCs/>
        </w:rPr>
      </w:pPr>
      <w:r>
        <w:rPr>
          <w:i/>
          <w:iCs/>
        </w:rPr>
        <w:t>Average Price Options</w:t>
      </w:r>
    </w:p>
    <w:p>
      <w:pPr>
        <w:pStyle w:val="BodyText"/>
        <w:rPr/>
      </w:pPr>
      <w:r>
        <w:rPr/>
        <w:t xml:space="preserve">In the event parties have provided in their swaps documentation that, in the event of a Market Disruption Event, the parties must determine a negotiated rate for the days the market is disrupted, it is recommended that the date for the determination roll forward to rates for the next business day on which a rate is available. </w:t>
      </w:r>
    </w:p>
    <w:p>
      <w:pPr>
        <w:pStyle w:val="NormalWeb"/>
        <w:jc w:val="both"/>
        <w:rPr/>
      </w:pPr>
      <w:r>
        <w:rPr/>
        <w:t>ISDA welcomes the further input of participants in the energy sector regarding issues arising out the events of September 11, 2001.</w:t>
      </w:r>
    </w:p>
    <w:p>
      <w:pPr>
        <w:pStyle w:val="NormalWeb"/>
        <w:jc w:val="both"/>
        <w:rPr/>
      </w:pPr>
      <w:r>
        <w:rPr/>
        <w:t> </w:t>
      </w:r>
    </w:p>
    <w:p>
      <w:pPr>
        <w:pStyle w:val="BodyText"/>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BodyTextIndent">
    <w:name w:val="Body Text Indent"/>
    <w:basedOn w:val="Normal"/>
    <w:pPr>
      <w:ind w:hanging="720" w:start="1440" w:end="0"/>
      <w:jc w:val="both"/>
    </w:pPr>
    <w:rPr/>
  </w:style>
  <w:style w:type="paragraph" w:styleId="BodyTextIndent2">
    <w:name w:val="Body Text Indent 2"/>
    <w:basedOn w:val="Normal"/>
    <w:qFormat/>
    <w:pPr>
      <w:ind w:hanging="720" w:start="72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2001-09-13T19:47:00Z</dcterms:created>
  <dc:creator>VALUED SONY CUSTOMER</dc:creator>
  <dc:description/>
  <dc:language>en-CA</dc:language>
  <cp:lastModifiedBy>VALUED SONY CUSTOMER</cp:lastModifiedBy>
  <cp:lastPrinted>2001-09-13T17:55:00Z</cp:lastPrinted>
  <dcterms:modified xsi:type="dcterms:W3CDTF">2001-09-13T22:24:00Z</dcterms:modified>
  <cp:revision>7</cp:revision>
  <dc:subject/>
  <dc:title>A large group of major market participants has met to determine how to address the market situation for specific energy produc</dc:title>
</cp:coreProperties>
</file>