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2"/>
        </w:rPr>
      </w:pPr>
      <w:r>
        <w:rPr>
          <w:sz w:val="22"/>
        </w:rPr>
        <w:t>General Guidelines for Electric Commodity RFP</w:t>
      </w:r>
    </w:p>
    <w:p>
      <w:pPr>
        <w:pStyle w:val="Heading"/>
        <w:rPr>
          <w:sz w:val="22"/>
        </w:rPr>
      </w:pPr>
      <w:r>
        <w:rPr>
          <w:sz w:val="22"/>
        </w:rPr>
      </w:r>
    </w:p>
    <w:p>
      <w:pPr>
        <w:pStyle w:val="Heading"/>
        <w:jc w:val="both"/>
        <w:rPr>
          <w:sz w:val="22"/>
          <w:u w:val="none"/>
        </w:rPr>
      </w:pPr>
      <w:r>
        <w:rPr>
          <w:sz w:val="22"/>
          <w:u w:val="none"/>
        </w:rPr>
        <w:t xml:space="preserve">In general, we like loose language with few restrictions in commodity RFPs.  Ideally, just give us the sites, the consumption data and let us come up with the optimal solution for the customer.  An evaluation based on total $ savings over the term of the contract is what we suggest for the #1 award criteria.  We realize that many customers have a detailed sense of what they want.  If so, then state these priority items, but be open to alternate ways to structure a contract that may be more advantageous if the customer is flexible enough to accept them.  Seriously evaluate proposals that may differ significantly from each other.  This is the best way to achieve the largest savings.   </w:t>
      </w:r>
    </w:p>
    <w:p>
      <w:pPr>
        <w:pStyle w:val="Heading"/>
        <w:ind w:start="360" w:end="0"/>
        <w:jc w:val="both"/>
        <w:rPr>
          <w:sz w:val="22"/>
          <w:u w:val="none"/>
        </w:rPr>
      </w:pPr>
      <w:r>
        <w:rPr>
          <w:sz w:val="22"/>
          <w:u w:val="none"/>
        </w:rPr>
      </w:r>
    </w:p>
    <w:p>
      <w:pPr>
        <w:pStyle w:val="Heading"/>
        <w:ind w:start="360" w:end="0"/>
        <w:jc w:val="both"/>
        <w:rPr>
          <w:sz w:val="22"/>
          <w:u w:val="none"/>
        </w:rPr>
      </w:pPr>
      <w:r>
        <w:rPr>
          <w:sz w:val="22"/>
        </w:rPr>
        <w:t>Term of contract</w:t>
      </w:r>
    </w:p>
    <w:p>
      <w:pPr>
        <w:pStyle w:val="Heading"/>
        <w:ind w:start="360" w:end="0"/>
        <w:jc w:val="both"/>
        <w:rPr>
          <w:sz w:val="22"/>
          <w:u w:val="none"/>
        </w:rPr>
      </w:pPr>
      <w:r>
        <w:rPr>
          <w:sz w:val="22"/>
          <w:u w:val="none"/>
        </w:rPr>
        <w:t xml:space="preserve">We suggest a five to ten-year term contract.  This mirrors what is currently being done in the commercial marketplace.  </w:t>
      </w:r>
    </w:p>
    <w:p>
      <w:pPr>
        <w:pStyle w:val="BodyTextIndent3"/>
        <w:rPr>
          <w:sz w:val="22"/>
          <w:u w:val="none"/>
        </w:rPr>
      </w:pPr>
      <w:r>
        <w:rPr>
          <w:sz w:val="22"/>
          <w:u w:val="none"/>
        </w:rPr>
      </w:r>
    </w:p>
    <w:p>
      <w:pPr>
        <w:pStyle w:val="BodyTextIndent3"/>
        <w:numPr>
          <w:ilvl w:val="0"/>
          <w:numId w:val="1"/>
        </w:numPr>
        <w:tabs>
          <w:tab w:val="left" w:pos="720" w:leader="none"/>
        </w:tabs>
        <w:ind w:hanging="360" w:start="720" w:end="0"/>
        <w:rPr>
          <w:sz w:val="22"/>
        </w:rPr>
      </w:pPr>
      <w:r>
        <w:rPr>
          <w:sz w:val="22"/>
        </w:rPr>
        <w:t xml:space="preserve">Longer-term contracts are common practice in the power business because it addresses “Price Volatility” associated with deregulation.  Short-term contracts expose the customer to surging prices in the out years.   If a customer is looking for price certainty, with a supplier that guarantees its discounted price, a long-term agreement is needed. </w:t>
      </w:r>
    </w:p>
    <w:p>
      <w:pPr>
        <w:pStyle w:val="BodyTextIndent3"/>
        <w:tabs>
          <w:tab w:val="left" w:pos="720" w:leader="none"/>
        </w:tabs>
        <w:ind w:start="720" w:end="0"/>
        <w:rPr>
          <w:sz w:val="22"/>
        </w:rPr>
      </w:pPr>
      <w:r>
        <w:rPr>
          <w:sz w:val="22"/>
        </w:rPr>
      </w:r>
    </w:p>
    <w:p>
      <w:pPr>
        <w:pStyle w:val="BodyTextIndent3"/>
        <w:numPr>
          <w:ilvl w:val="0"/>
          <w:numId w:val="1"/>
        </w:numPr>
        <w:tabs>
          <w:tab w:val="left" w:pos="720" w:leader="none"/>
        </w:tabs>
        <w:ind w:hanging="360" w:start="720" w:end="0"/>
        <w:rPr>
          <w:sz w:val="22"/>
        </w:rPr>
      </w:pPr>
      <w:r>
        <w:rPr>
          <w:sz w:val="22"/>
        </w:rPr>
        <w:t xml:space="preserve">Longer-term contracts allow discounts that may occur in later years of a contract, but are not yet available to a customer, to become distributed evenly over the course of the contract.  This is the hedge needed against price volatility.  </w:t>
      </w:r>
    </w:p>
    <w:p>
      <w:pPr>
        <w:pStyle w:val="Heading"/>
        <w:tabs>
          <w:tab w:val="left" w:pos="720" w:leader="none"/>
        </w:tabs>
        <w:ind w:start="720" w:end="0"/>
        <w:jc w:val="both"/>
        <w:rPr>
          <w:sz w:val="22"/>
          <w:u w:val="none"/>
        </w:rPr>
      </w:pPr>
      <w:r>
        <w:rPr>
          <w:sz w:val="22"/>
          <w:u w:val="none"/>
        </w:rPr>
      </w:r>
    </w:p>
    <w:p>
      <w:pPr>
        <w:pStyle w:val="Heading"/>
        <w:numPr>
          <w:ilvl w:val="0"/>
          <w:numId w:val="1"/>
        </w:numPr>
        <w:tabs>
          <w:tab w:val="left" w:pos="720" w:leader="none"/>
        </w:tabs>
        <w:ind w:hanging="360" w:start="720" w:end="0"/>
        <w:jc w:val="both"/>
        <w:rPr>
          <w:sz w:val="22"/>
          <w:u w:val="none"/>
        </w:rPr>
      </w:pPr>
      <w:r>
        <w:rPr>
          <w:sz w:val="22"/>
          <w:u w:val="none"/>
        </w:rPr>
        <w:t>An Energy Service Provider (ESP) has an inherent risk in holding this firm discount and guaranteeing to provide it over the term of the contract.  This structure allows more value, in the form of increased discount and decreased volatility, to flow to the customer, and also allows an ESP time to mitigate the risk with innovative risk management techniques.</w:t>
      </w:r>
    </w:p>
    <w:p>
      <w:pPr>
        <w:pStyle w:val="Heading"/>
        <w:jc w:val="both"/>
        <w:rPr>
          <w:sz w:val="22"/>
          <w:u w:val="none"/>
        </w:rPr>
      </w:pPr>
      <w:r>
        <w:rPr>
          <w:sz w:val="22"/>
          <w:u w:val="none"/>
        </w:rPr>
      </w:r>
    </w:p>
    <w:p>
      <w:pPr>
        <w:pStyle w:val="Heading"/>
        <w:ind w:start="360" w:end="0"/>
        <w:jc w:val="both"/>
        <w:rPr>
          <w:sz w:val="22"/>
        </w:rPr>
      </w:pPr>
      <w:r>
        <w:rPr>
          <w:sz w:val="22"/>
        </w:rPr>
        <w:t>Customer</w:t>
      </w:r>
    </w:p>
    <w:p>
      <w:pPr>
        <w:pStyle w:val="Heading"/>
        <w:ind w:start="360" w:end="0"/>
        <w:jc w:val="both"/>
        <w:rPr>
          <w:sz w:val="22"/>
          <w:u w:val="none"/>
        </w:rPr>
      </w:pPr>
      <w:r>
        <w:rPr>
          <w:sz w:val="22"/>
          <w:u w:val="none"/>
        </w:rPr>
        <w:t xml:space="preserve">&gt; 20 kW average peak demand load at each facility.  (CA) </w:t>
      </w:r>
    </w:p>
    <w:p>
      <w:pPr>
        <w:pStyle w:val="Heading"/>
        <w:ind w:start="360" w:end="0"/>
        <w:jc w:val="both"/>
        <w:rPr>
          <w:sz w:val="22"/>
          <w:u w:val="none"/>
        </w:rPr>
      </w:pPr>
      <w:r>
        <w:rPr>
          <w:sz w:val="22"/>
          <w:u w:val="none"/>
        </w:rPr>
      </w:r>
    </w:p>
    <w:p>
      <w:pPr>
        <w:pStyle w:val="Heading"/>
        <w:ind w:start="360" w:end="0"/>
        <w:jc w:val="both"/>
        <w:rPr>
          <w:sz w:val="22"/>
          <w:u w:val="none"/>
        </w:rPr>
      </w:pPr>
      <w:r>
        <w:rPr>
          <w:sz w:val="22"/>
        </w:rPr>
        <w:t>Price</w:t>
      </w:r>
    </w:p>
    <w:p>
      <w:pPr>
        <w:pStyle w:val="Heading"/>
        <w:ind w:start="360" w:end="0"/>
        <w:jc w:val="both"/>
        <w:rPr>
          <w:sz w:val="22"/>
          <w:u w:val="none"/>
        </w:rPr>
      </w:pPr>
      <w:r>
        <w:rPr>
          <w:sz w:val="22"/>
          <w:u w:val="none"/>
        </w:rPr>
        <w:t>In deregulated markets, the price to beat should not be the PX rate. Instead, an RFP should specify the structure of the pricing i.e. fixed or variable, and the customer’s risk preference levels.  Ideally, the RFP should be as unrestrictive as possible, allowing the Supplier to propose its best offer, unencumbered by the RFP.  However, one common example of a best value structure for a customer is achieved through a fixed price. Specifically, the fixed price should be in the form of a percentage discount off current tariff i.e.:</w:t>
      </w:r>
    </w:p>
    <w:p>
      <w:pPr>
        <w:pStyle w:val="Heading"/>
        <w:ind w:start="360" w:end="0"/>
        <w:jc w:val="both"/>
        <w:rPr>
          <w:sz w:val="22"/>
          <w:u w:val="none"/>
        </w:rPr>
      </w:pPr>
      <w:r>
        <w:rPr>
          <w:sz w:val="22"/>
          <w:u w:val="none"/>
        </w:rPr>
      </w:r>
    </w:p>
    <w:p>
      <w:pPr>
        <w:pStyle w:val="Heading"/>
        <w:ind w:start="360" w:end="0"/>
        <w:jc w:val="both"/>
        <w:rPr>
          <w:rFonts w:ascii="Book Antiqua" w:hAnsi="Book Antiqua" w:cs="Book Antiqua"/>
          <w:sz w:val="24"/>
          <w:u w:val="none"/>
        </w:rPr>
      </w:pPr>
      <w:r>
        <w:rPr>
          <w:rFonts w:cs="Book Antiqua" w:ascii="Book Antiqua" w:hAnsi="Book Antiqua"/>
          <w:sz w:val="24"/>
          <w:u w:val="none"/>
        </w:rPr>
        <w:t>For each twelve month period after the Commencement Date (each a “Contract Year”) _______ percent (___%) discount from the "Benchmark Bundled Rate."  The Benchmark Bundled Rate is the rate that Customer would have paid for the same service and kWh usage under the tariff rate of the electric utility company serving Customer’s facility ("Utility") in effect as of (X Month) in (X Year) (exclusive of taxes) regardless of how that tariff may be changed by Utility over time.  This price applies whether Customer is receiving energy supply service from its Utility or from TPS as a Third Party Supplier. (TPS)</w:t>
      </w:r>
    </w:p>
    <w:p>
      <w:pPr>
        <w:pStyle w:val="Heading"/>
        <w:ind w:start="360" w:end="0"/>
        <w:jc w:val="both"/>
        <w:rPr>
          <w:rFonts w:ascii="Book Antiqua" w:hAnsi="Book Antiqua" w:cs="Book Antiqua"/>
          <w:sz w:val="24"/>
          <w:u w:val="none"/>
        </w:rPr>
      </w:pPr>
      <w:r>
        <w:rPr>
          <w:rFonts w:cs="Book Antiqua" w:ascii="Book Antiqua" w:hAnsi="Book Antiqua"/>
          <w:sz w:val="24"/>
          <w:u w:val="none"/>
        </w:rPr>
      </w:r>
    </w:p>
    <w:p>
      <w:pPr>
        <w:pStyle w:val="Heading"/>
        <w:ind w:start="360" w:end="0"/>
        <w:jc w:val="both"/>
        <w:rPr>
          <w:sz w:val="22"/>
          <w:u w:val="none"/>
        </w:rPr>
      </w:pPr>
      <w:r>
        <w:rPr>
          <w:sz w:val="22"/>
          <w:u w:val="none"/>
        </w:rPr>
        <w:t xml:space="preserve">In addition, customer should be open to all alternative pricing structures that offer best value.  </w:t>
      </w:r>
    </w:p>
    <w:p>
      <w:pPr>
        <w:pStyle w:val="Heading"/>
        <w:ind w:start="360" w:end="0"/>
        <w:jc w:val="both"/>
        <w:rPr>
          <w:sz w:val="22"/>
          <w:u w:val="none"/>
        </w:rPr>
      </w:pPr>
      <w:r>
        <w:rPr>
          <w:sz w:val="22"/>
          <w:u w:val="none"/>
        </w:rPr>
      </w:r>
    </w:p>
    <w:p>
      <w:pPr>
        <w:pStyle w:val="Heading"/>
        <w:ind w:start="360" w:end="0"/>
        <w:jc w:val="both"/>
        <w:rPr>
          <w:sz w:val="22"/>
          <w:u w:val="none"/>
        </w:rPr>
      </w:pPr>
      <w:r>
        <w:rPr>
          <w:sz w:val="22"/>
        </w:rPr>
        <w:t>Billing</w:t>
      </w:r>
    </w:p>
    <w:p>
      <w:pPr>
        <w:pStyle w:val="Heading"/>
        <w:ind w:start="360" w:end="0"/>
        <w:jc w:val="both"/>
        <w:rPr>
          <w:sz w:val="22"/>
          <w:u w:val="none"/>
        </w:rPr>
      </w:pPr>
      <w:r>
        <w:rPr>
          <w:sz w:val="22"/>
          <w:u w:val="none"/>
        </w:rPr>
        <w:t xml:space="preserve">Ideally, metering costs should be separated as a different line item.  RFP should specify the type of billing arrangement preferred, but should be open to the option that provides best value to the customer, whether billing is done by the TPS or the local utility.     </w:t>
      </w:r>
    </w:p>
    <w:p>
      <w:pPr>
        <w:pStyle w:val="Subtitle"/>
        <w:ind w:start="0" w:end="0"/>
        <w:rPr>
          <w:rFonts w:ascii="Times New Roman" w:hAnsi="Times New Roman" w:cs="Times New Roman"/>
          <w:b w:val="false"/>
          <w:sz w:val="22"/>
          <w:u w:val="single"/>
        </w:rPr>
      </w:pPr>
      <w:r>
        <w:rPr>
          <w:rFonts w:cs="Times New Roman" w:ascii="Times New Roman" w:hAnsi="Times New Roman"/>
          <w:b w:val="false"/>
          <w:sz w:val="22"/>
          <w:u w:val="single"/>
        </w:rPr>
      </w:r>
    </w:p>
    <w:p>
      <w:pPr>
        <w:pStyle w:val="Subtitle"/>
        <w:rPr>
          <w:rFonts w:ascii="Times New Roman" w:hAnsi="Times New Roman" w:cs="Times New Roman"/>
          <w:b w:val="false"/>
          <w:sz w:val="22"/>
          <w:u w:val="single"/>
        </w:rPr>
      </w:pPr>
      <w:r>
        <w:rPr>
          <w:rFonts w:cs="Times New Roman" w:ascii="Times New Roman" w:hAnsi="Times New Roman"/>
          <w:b w:val="false"/>
          <w:sz w:val="22"/>
          <w:u w:val="single"/>
        </w:rPr>
        <w:t>Supply</w:t>
      </w:r>
    </w:p>
    <w:p>
      <w:pPr>
        <w:pStyle w:val="Subtitle"/>
        <w:rPr>
          <w:rFonts w:ascii="Times New Roman" w:hAnsi="Times New Roman" w:cs="Times New Roman"/>
          <w:b w:val="false"/>
          <w:sz w:val="22"/>
        </w:rPr>
      </w:pPr>
      <w:r>
        <w:rPr>
          <w:rFonts w:cs="Times New Roman" w:ascii="Times New Roman" w:hAnsi="Times New Roman"/>
          <w:b w:val="false"/>
          <w:sz w:val="22"/>
        </w:rPr>
        <w:t>RFP should allow option to either physically supply the commodity, or provide a financial product in its place i.e:</w:t>
      </w:r>
    </w:p>
    <w:p>
      <w:pPr>
        <w:pStyle w:val="Subtitle"/>
        <w:rPr>
          <w:rFonts w:ascii="Times New Roman" w:hAnsi="Times New Roman" w:cs="Times New Roman"/>
          <w:b w:val="false"/>
          <w:sz w:val="22"/>
        </w:rPr>
      </w:pPr>
      <w:r>
        <w:rPr>
          <w:rFonts w:cs="Times New Roman" w:ascii="Times New Roman" w:hAnsi="Times New Roman"/>
          <w:b w:val="false"/>
          <w:sz w:val="22"/>
        </w:rPr>
      </w:r>
    </w:p>
    <w:p>
      <w:pPr>
        <w:pStyle w:val="Subtitle"/>
        <w:rPr>
          <w:b w:val="false"/>
        </w:rPr>
      </w:pPr>
      <w:r>
        <w:rPr>
          <w:b w:val="false"/>
        </w:rPr>
        <w:t>Bill Payment</w:t>
        <w:tab/>
      </w:r>
    </w:p>
    <w:p>
      <w:pPr>
        <w:pStyle w:val="BodyTextIndent"/>
        <w:rPr>
          <w:b/>
        </w:rPr>
      </w:pPr>
      <w:r>
        <w:rPr/>
        <w:t>Prior to electing to supply energy to Customer, TPS will pay Customer's bundled electric utility bill to Utility, including the costs of generation, transmission and distribution ("T&amp;D"), competitive transition charges ("CTC") and other utility charges (collectively, "Distribution Charges"), and taxes.</w:t>
      </w:r>
    </w:p>
    <w:p>
      <w:pPr>
        <w:pStyle w:val="Heading"/>
        <w:ind w:start="360" w:end="0"/>
        <w:jc w:val="both"/>
        <w:rPr>
          <w:rFonts w:ascii="Book Antiqua" w:hAnsi="Book Antiqua" w:cs="Book Antiqua"/>
          <w:b/>
          <w:sz w:val="24"/>
          <w:u w:val="none"/>
        </w:rPr>
      </w:pPr>
      <w:r>
        <w:rPr>
          <w:rFonts w:cs="Book Antiqua" w:ascii="Book Antiqua" w:hAnsi="Book Antiqua"/>
          <w:b/>
          <w:sz w:val="24"/>
          <w:u w:val="none"/>
        </w:rPr>
      </w:r>
    </w:p>
    <w:p>
      <w:pPr>
        <w:pStyle w:val="Heading"/>
        <w:ind w:start="360" w:end="0"/>
        <w:jc w:val="both"/>
        <w:rPr>
          <w:rFonts w:ascii="Book Antiqua" w:hAnsi="Book Antiqua" w:cs="Book Antiqua"/>
          <w:sz w:val="24"/>
          <w:u w:val="none"/>
        </w:rPr>
      </w:pPr>
      <w:r>
        <w:rPr>
          <w:rFonts w:cs="Book Antiqua" w:ascii="Book Antiqua" w:hAnsi="Book Antiqua"/>
          <w:sz w:val="24"/>
          <w:u w:val="none"/>
        </w:rPr>
        <w:t>Limited Agency</w:t>
        <w:tab/>
      </w:r>
    </w:p>
    <w:p>
      <w:pPr>
        <w:pStyle w:val="Heading"/>
        <w:ind w:start="360" w:end="0"/>
        <w:jc w:val="both"/>
        <w:rPr>
          <w:rFonts w:ascii="Book Antiqua" w:hAnsi="Book Antiqua" w:cs="Book Antiqua"/>
          <w:sz w:val="24"/>
          <w:u w:val="none"/>
        </w:rPr>
      </w:pPr>
      <w:r>
        <w:rPr>
          <w:rFonts w:cs="Book Antiqua" w:ascii="Book Antiqua" w:hAnsi="Book Antiqua"/>
          <w:sz w:val="24"/>
          <w:u w:val="none"/>
        </w:rPr>
        <w:t>TPS shall be entitled to, among other things, select, from time to time, Customer's rate classification and tariff, negotiate with Utility with respect to billing errors and adjustments and retain any refunds, rebates, credits or other such items provided to Customer on account of its electric service throughout the Term.</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rPr>
          <w:rFonts w:ascii="Book Antiqua" w:hAnsi="Book Antiqua" w:cs="Book Antiqua"/>
          <w:b/>
          <w:sz w:val="24"/>
          <w:u w:val="none"/>
        </w:rPr>
      </w:pPr>
      <w:r>
        <w:rPr>
          <w:rFonts w:cs="Book Antiqua" w:ascii="Book Antiqua" w:hAnsi="Book Antiqua"/>
          <w:b/>
          <w:sz w:val="24"/>
          <w:u w:val="none"/>
        </w:rPr>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2880" w:start="3240" w:end="0"/>
        <w:rPr>
          <w:rFonts w:ascii="Book Antiqua" w:hAnsi="Book Antiqua" w:cs="Book Antiqua"/>
          <w:sz w:val="24"/>
        </w:rPr>
      </w:pPr>
      <w:r>
        <w:rPr>
          <w:rFonts w:cs="Book Antiqua" w:ascii="Book Antiqua" w:hAnsi="Book Antiqua"/>
          <w:sz w:val="24"/>
        </w:rPr>
        <w:t>Energy Sales</w:t>
        <w:tab/>
        <w:tab/>
      </w:r>
    </w:p>
    <w:p>
      <w:pPr>
        <w:pStyle w:val="BodyText"/>
        <w:ind w:start="360" w:end="0"/>
        <w:rPr/>
      </w:pPr>
      <w:r>
        <w:rPr/>
        <w:t>At any time after Customer becomes eligible to select a TPS, TPS shall have the option, but not the obligation, to switch Customer from Utility's energy service and instead sell energy directly to Customer, for all or part of the load at one or more of Customer's facilities.  TPS shall also be entitled to switch Customer back to Utility service for energy supply, from time to time as it may elect during the Term, consistent with the Utility's tariff, the Act and the rules and regulations promulgated thereunder.  TPS shall pay or reimburse Customer for any "switching fees."  TPS shall sell electricity to the Customer at least once during the contract term.</w:t>
      </w:r>
    </w:p>
    <w:p>
      <w:pPr>
        <w:pStyle w:val="Heading"/>
        <w:ind w:start="360" w:end="0"/>
        <w:jc w:val="both"/>
        <w:rPr>
          <w:sz w:val="22"/>
        </w:rPr>
      </w:pPr>
      <w:r>
        <w:rPr>
          <w:sz w:val="22"/>
        </w:rPr>
      </w:r>
    </w:p>
    <w:p>
      <w:pPr>
        <w:pStyle w:val="Heading"/>
        <w:ind w:start="360" w:end="0"/>
        <w:jc w:val="both"/>
        <w:rPr>
          <w:sz w:val="22"/>
        </w:rPr>
      </w:pPr>
      <w:r>
        <w:rPr>
          <w:sz w:val="22"/>
        </w:rPr>
        <w:t>Taxes</w:t>
      </w:r>
    </w:p>
    <w:p>
      <w:pPr>
        <w:pStyle w:val="Heading"/>
        <w:ind w:start="360" w:end="0"/>
        <w:jc w:val="both"/>
        <w:rPr>
          <w:rFonts w:ascii="Book Antiqua" w:hAnsi="Book Antiqua" w:cs="Book Antiqua"/>
          <w:sz w:val="24"/>
          <w:u w:val="none"/>
        </w:rPr>
      </w:pPr>
      <w:r>
        <w:rPr>
          <w:rFonts w:cs="Book Antiqua" w:ascii="Book Antiqua" w:hAnsi="Book Antiqua"/>
          <w:sz w:val="24"/>
          <w:u w:val="none"/>
        </w:rPr>
        <w:t>The price and the discount from the Benchmark Bundled Rate is exclusive of taxes and Customer shall be responsible for all taxes imposed on energy, distribution and related services, except taxes based on the net income of TPS.</w:t>
      </w:r>
    </w:p>
    <w:p>
      <w:pPr>
        <w:pStyle w:val="Heading"/>
        <w:ind w:start="360" w:end="0"/>
        <w:jc w:val="both"/>
        <w:rPr>
          <w:rFonts w:ascii="Book Antiqua" w:hAnsi="Book Antiqua" w:cs="Book Antiqua"/>
          <w:sz w:val="24"/>
          <w:u w:val="none"/>
        </w:rPr>
      </w:pPr>
      <w:r>
        <w:rPr>
          <w:rFonts w:cs="Book Antiqua" w:ascii="Book Antiqua" w:hAnsi="Book Antiqua"/>
          <w:sz w:val="24"/>
          <w:u w:val="none"/>
        </w:rPr>
      </w:r>
    </w:p>
    <w:p>
      <w:pPr>
        <w:pStyle w:val="Heading"/>
        <w:ind w:start="360" w:end="0"/>
        <w:jc w:val="both"/>
        <w:rPr>
          <w:sz w:val="22"/>
        </w:rPr>
      </w:pPr>
      <w:r>
        <w:rPr>
          <w:sz w:val="22"/>
        </w:rPr>
        <w:t>Adjustments</w:t>
      </w:r>
    </w:p>
    <w:p>
      <w:pPr>
        <w:pStyle w:val="Heading"/>
        <w:ind w:start="360" w:end="0"/>
        <w:jc w:val="both"/>
        <w:rPr>
          <w:sz w:val="22"/>
        </w:rPr>
      </w:pPr>
      <w:r>
        <w:rPr>
          <w:rFonts w:cs="Book Antiqua" w:ascii="Book Antiqua" w:hAnsi="Book Antiqua"/>
          <w:sz w:val="24"/>
          <w:u w:val="none"/>
        </w:rPr>
        <w:t>The price payable by Customer is subject to adjustment for, among other things, (a) failure to timely notify TPS of material changes in usage, (b) failure to use a minimum amount of energy each contract year after the first year (to be set based upon actual usage during the first twelve months of the contract) and (c) use in excess of certain maximum amounts for each contract year after the first year.</w:t>
      </w:r>
    </w:p>
    <w:p>
      <w:pPr>
        <w:pStyle w:val="Heading"/>
        <w:ind w:start="360" w:end="0"/>
        <w:jc w:val="both"/>
        <w:rPr>
          <w:sz w:val="22"/>
        </w:rPr>
      </w:pPr>
      <w:r>
        <w:rPr>
          <w:sz w:val="22"/>
        </w:rPr>
      </w:r>
    </w:p>
    <w:p>
      <w:pPr>
        <w:pStyle w:val="Heading"/>
        <w:ind w:start="360" w:end="0"/>
        <w:jc w:val="both"/>
        <w:rPr>
          <w:sz w:val="22"/>
        </w:rPr>
      </w:pPr>
      <w:r>
        <w:rPr>
          <w:sz w:val="22"/>
        </w:rPr>
        <w:t>Termination</w:t>
      </w:r>
    </w:p>
    <w:p>
      <w:pPr>
        <w:pStyle w:val="Heading"/>
        <w:ind w:start="360" w:end="0"/>
        <w:jc w:val="both"/>
        <w:rPr>
          <w:rFonts w:ascii="Book Antiqua" w:hAnsi="Book Antiqua" w:cs="Book Antiqua"/>
          <w:sz w:val="24"/>
          <w:u w:val="none"/>
        </w:rPr>
      </w:pPr>
      <w:r>
        <w:rPr>
          <w:rFonts w:cs="Book Antiqua" w:ascii="Book Antiqua" w:hAnsi="Book Antiqua"/>
          <w:sz w:val="24"/>
          <w:u w:val="none"/>
        </w:rPr>
        <w:t>Terminable by either party upon standard events of default requiring termination payment calculated based upon expected value of contract over the remaining Term as against, in the case of TPS, certain indices and, in the case of Customer, "cover" damages.    Also terminable by TPS upon illegality or changes in law, regulation or Utility delivery services (other than the price thereof) under the Electric Discount and Energy Competition Act that adversely affect TPS or its affiliates.</w:t>
      </w:r>
    </w:p>
    <w:p>
      <w:pPr>
        <w:pStyle w:val="Heading"/>
        <w:ind w:start="360" w:end="0"/>
        <w:jc w:val="both"/>
        <w:rPr>
          <w:rFonts w:ascii="Book Antiqua" w:hAnsi="Book Antiqua" w:cs="Book Antiqua"/>
          <w:sz w:val="24"/>
          <w:u w:val="none"/>
        </w:rPr>
      </w:pPr>
      <w:r>
        <w:rPr>
          <w:rFonts w:cs="Book Antiqua" w:ascii="Book Antiqua" w:hAnsi="Book Antiqua"/>
          <w:sz w:val="24"/>
          <w:u w:val="none"/>
        </w:rPr>
      </w:r>
    </w:p>
    <w:p>
      <w:pPr>
        <w:pStyle w:val="Heading"/>
        <w:ind w:start="360" w:end="0"/>
        <w:jc w:val="both"/>
        <w:rPr>
          <w:sz w:val="22"/>
        </w:rPr>
      </w:pPr>
      <w:r>
        <w:rPr>
          <w:sz w:val="22"/>
        </w:rPr>
        <w:t>Certain Conditions</w:t>
      </w:r>
    </w:p>
    <w:p>
      <w:pPr>
        <w:pStyle w:val="Heading"/>
        <w:ind w:start="360" w:end="0"/>
        <w:jc w:val="both"/>
        <w:rPr>
          <w:rFonts w:ascii="Book Antiqua" w:hAnsi="Book Antiqua" w:cs="Book Antiqua"/>
          <w:sz w:val="24"/>
          <w:u w:val="none"/>
        </w:rPr>
      </w:pPr>
      <w:r>
        <w:rPr>
          <w:rFonts w:cs="Book Antiqua" w:ascii="Book Antiqua" w:hAnsi="Book Antiqua"/>
          <w:sz w:val="24"/>
          <w:u w:val="none"/>
        </w:rPr>
        <w:t xml:space="preserve">TPS shall be allowed to sell energy without being regulated as a public utility.  </w:t>
      </w:r>
    </w:p>
    <w:p>
      <w:pPr>
        <w:pStyle w:val="Normal"/>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start="360" w:end="0"/>
        <w:rPr>
          <w:rFonts w:ascii="Book Antiqua" w:hAnsi="Book Antiqua" w:cs="Book Antiqua"/>
          <w:sz w:val="24"/>
          <w:u w:val="none"/>
        </w:rPr>
      </w:pPr>
      <w:r>
        <w:rPr>
          <w:rFonts w:cs="Book Antiqua" w:ascii="Book Antiqua" w:hAnsi="Book Antiqua"/>
          <w:sz w:val="24"/>
          <w:u w:val="none"/>
        </w:rPr>
      </w:r>
    </w:p>
    <w:p>
      <w:pPr>
        <w:pStyle w:val="Heading"/>
        <w:ind w:start="360" w:end="0"/>
        <w:jc w:val="both"/>
        <w:rPr>
          <w:rFonts w:ascii="Book Antiqua" w:hAnsi="Book Antiqua" w:cs="Book Antiqua"/>
          <w:sz w:val="24"/>
          <w:u w:val="none"/>
        </w:rPr>
      </w:pPr>
      <w:r>
        <w:rPr>
          <w:rFonts w:cs="Book Antiqua" w:ascii="Book Antiqua" w:hAnsi="Book Antiqua"/>
          <w:sz w:val="24"/>
          <w:u w:val="none"/>
        </w:rPr>
      </w:r>
    </w:p>
    <w:p>
      <w:pPr>
        <w:pStyle w:val="Normal"/>
        <w:tabs>
          <w:tab w:val="left" w:pos="72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2880" w:start="3240" w:end="0"/>
        <w:jc w:val="both"/>
        <w:rPr>
          <w:rFonts w:ascii="Book Antiqua" w:hAnsi="Book Antiqua" w:cs="Book Antiqua"/>
          <w:b/>
          <w:sz w:val="24"/>
          <w:u w:val="none"/>
        </w:rPr>
      </w:pPr>
      <w:r>
        <w:rPr>
          <w:rFonts w:cs="Book Antiqua" w:ascii="Book Antiqua" w:hAnsi="Book Antiqua"/>
          <w:b/>
          <w:sz w:val="24"/>
          <w:u w:val="none"/>
        </w:rPr>
      </w:r>
    </w:p>
    <w:p>
      <w:pPr>
        <w:pStyle w:val="Heading"/>
        <w:ind w:start="360" w:end="0"/>
        <w:jc w:val="both"/>
        <w:rPr>
          <w:rFonts w:ascii="Book Antiqua" w:hAnsi="Book Antiqua" w:cs="Book Antiqua"/>
          <w:b/>
          <w:sz w:val="22"/>
          <w:u w:val="none"/>
        </w:rPr>
      </w:pPr>
      <w:r>
        <w:rPr>
          <w:rFonts w:cs="Book Antiqua" w:ascii="Book Antiqua" w:hAnsi="Book Antiqua"/>
          <w:b/>
          <w:sz w:val="22"/>
          <w:u w:val="none"/>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Book Antiqu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360"/>
        </w:tabs>
        <w:ind w:start="360" w:hanging="360"/>
      </w:pPr>
      <w:rPr>
        <w:rFonts w:ascii="Symbol" w:hAnsi="Symbol" w:cs="Symbol" w:hint="default"/>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jc w:val="center"/>
    </w:pPr>
    <w:rPr>
      <w:u w:val="single"/>
    </w:rPr>
  </w:style>
  <w:style w:type="paragraph" w:styleId="BodyText">
    <w:name w:val="Body Text"/>
    <w:basedOn w:val="Normal"/>
    <w:p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jc w:val="both"/>
    </w:pPr>
    <w:rPr>
      <w:rFonts w:ascii="Book Antiqua" w:hAnsi="Book Antiqua" w:cs="Book Antiqu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WPDefaults">
    <w:name w:val="WP Defaults"/>
    <w:basedOn w:val="Normal"/>
    <w:qFormat/>
    <w:pPr/>
    <w:rPr>
      <w:sz w:val="24"/>
    </w:rPr>
  </w:style>
  <w:style w:type="paragraph" w:styleId="Subtitle">
    <w:name w:val="Subtitle"/>
    <w:basedOn w:val="Normal"/>
    <w:next w:val="BodyText"/>
    <w:qFormat/>
    <w:p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360" w:end="0"/>
    </w:pPr>
    <w:rPr>
      <w:rFonts w:ascii="Book Antiqua" w:hAnsi="Book Antiqua" w:cs="Book Antiqua"/>
      <w:b/>
      <w:sz w:val="24"/>
    </w:rPr>
  </w:style>
  <w:style w:type="paragraph" w:styleId="BodyTextIndent">
    <w:name w:val="Body Text Indent"/>
    <w:basedOn w:val="Normal"/>
    <w:p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360" w:end="0"/>
      <w:jc w:val="both"/>
    </w:pPr>
    <w:rPr>
      <w:rFonts w:ascii="Book Antiqua" w:hAnsi="Book Antiqua" w:cs="Book Antiqua"/>
      <w:sz w:val="24"/>
    </w:rPr>
  </w:style>
  <w:style w:type="paragraph" w:styleId="BodyTextIndent2">
    <w:name w:val="Body Text Indent 2"/>
    <w:basedOn w:val="Normal"/>
    <w:qFormat/>
    <w:pPr>
      <w:tabs>
        <w:tab w:val="left" w:pos="720" w:leader="none"/>
        <w:tab w:val="left" w:pos="144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 w:val="left" w:pos="10080" w:leader="none"/>
        <w:tab w:val="left" w:pos="10800" w:leader="none"/>
        <w:tab w:val="left" w:pos="11520" w:leader="none"/>
        <w:tab w:val="left" w:pos="12240" w:leader="none"/>
        <w:tab w:val="left" w:pos="12960" w:leader="none"/>
        <w:tab w:val="left" w:pos="13680" w:leader="none"/>
        <w:tab w:val="left" w:pos="14400" w:leader="none"/>
        <w:tab w:val="left" w:pos="15120" w:leader="none"/>
        <w:tab w:val="left" w:pos="15840" w:leader="none"/>
        <w:tab w:val="left" w:pos="16560" w:leader="none"/>
      </w:tabs>
      <w:ind w:hanging="0" w:start="360" w:end="0"/>
    </w:pPr>
    <w:rPr>
      <w:rFonts w:ascii="Book Antiqua" w:hAnsi="Book Antiqua" w:cs="Book Antiqua"/>
      <w:sz w:val="24"/>
    </w:rPr>
  </w:style>
  <w:style w:type="paragraph" w:styleId="BodyTextIndent3">
    <w:name w:val="Body Text Indent 3"/>
    <w:basedOn w:val="Normal"/>
    <w:qFormat/>
    <w:pPr>
      <w:spacing w:lineRule="atLeast" w:line="240"/>
      <w:ind w:hanging="0" w:start="360" w:end="0"/>
      <w:jc w:val="both"/>
    </w:pPr>
    <w:rPr>
      <w:color w:val="000000"/>
      <w:lang w:eastAsia="en-U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166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1999-11-01T16:23:00Z</dcterms:created>
  <dc:creator>acarol</dc:creator>
  <dc:description/>
  <dc:language>en-CA</dc:language>
  <cp:lastModifiedBy>acarol</cp:lastModifiedBy>
  <cp:lastPrinted>1999-11-01T14:20:00Z</cp:lastPrinted>
  <dcterms:modified xsi:type="dcterms:W3CDTF">1999-11-01T21:00:00Z</dcterms:modified>
  <cp:revision>26</cp:revision>
  <dc:subject/>
  <dc:title>Key Points for Electric Commodity RFPs</dc:title>
</cp:coreProperties>
</file>