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 xml:space="preserve">AGREEMENT RELATING TO </w:t>
      </w:r>
    </w:p>
    <w:p>
      <w:pPr>
        <w:pStyle w:val="Heading8"/>
        <w:ind w:hanging="0" w:start="0"/>
        <w:rPr/>
      </w:pPr>
      <w:r>
        <w:rPr/>
        <w:t>POWER TRANSACTIONS CONFIRMED THROUGH COMMODITYLOGIC</w:t>
      </w:r>
    </w:p>
    <w:p>
      <w:pPr>
        <w:pStyle w:val="Normal"/>
        <w:rPr/>
      </w:pPr>
      <w:r>
        <w:rPr/>
      </w:r>
    </w:p>
    <w:p>
      <w:pPr>
        <w:pStyle w:val="BodyText2"/>
        <w:rPr/>
      </w:pPr>
      <w:r>
        <w:rPr/>
        <w:tab/>
        <w:t xml:space="preserve">This Agreement Relating to Confirmation of Transactions through CommodityLogic (the “Agreement”) is entered into by and among Enron Power Marketing, Inc. (“EPMI”) and Dynegy Power Marketing, Inc. (“Counterparty”) effective as of ____________________, 2001 (the “Effective Date”).  </w:t>
      </w:r>
    </w:p>
    <w:p>
      <w:pPr>
        <w:pStyle w:val="Normal"/>
        <w:jc w:val="both"/>
        <w:rPr/>
      </w:pPr>
      <w:r>
        <w:rPr/>
      </w:r>
    </w:p>
    <w:p>
      <w:pPr>
        <w:pStyle w:val="Normal"/>
        <w:ind w:firstLine="720" w:end="0"/>
        <w:jc w:val="both"/>
        <w:rPr/>
      </w:pPr>
      <w:r>
        <w:rPr>
          <w:b/>
          <w:bCs/>
        </w:rPr>
        <w:t>WHEREAS</w:t>
      </w:r>
      <w:r>
        <w:rPr/>
        <w:t>, EPMI and Counterparty have entered into that certain Master Energy Purchase and Sale Agreement dated effective as of February 1, 1999 (the “Power Master”); and</w:t>
      </w:r>
    </w:p>
    <w:p>
      <w:pPr>
        <w:pStyle w:val="Normal"/>
        <w:jc w:val="both"/>
        <w:rPr/>
      </w:pPr>
      <w:r>
        <w:rPr/>
      </w:r>
    </w:p>
    <w:p>
      <w:pPr>
        <w:pStyle w:val="Normal"/>
        <w:ind w:firstLine="720" w:end="0"/>
        <w:jc w:val="both"/>
        <w:rPr/>
      </w:pPr>
      <w:r>
        <w:rPr>
          <w:b/>
          <w:bCs/>
        </w:rPr>
        <w:t>WHEREAS</w:t>
      </w:r>
      <w:r>
        <w:rPr/>
        <w:t xml:space="preserve">, both EPMI and Counterparty have each separately entered into certain terms and conditions governing use of the ConfirmLogic Module (collectively, the “CommodityLogic Agreement”) with CommodityLogic, LLC (“CommodityLogic") pursuant to which both EPMI and Counterparty have agreed to use an Internet-based CommodityLogic product more commonly referred to as “ConfirmLogic” to electronically confirm the economic terms of certain Commodity Transactions between Enron and Counterparty; and </w:t>
      </w:r>
    </w:p>
    <w:p>
      <w:pPr>
        <w:pStyle w:val="Normal"/>
        <w:jc w:val="both"/>
        <w:rPr/>
      </w:pPr>
      <w:r>
        <w:rPr/>
      </w:r>
    </w:p>
    <w:p>
      <w:pPr>
        <w:pStyle w:val="Normal"/>
        <w:ind w:firstLine="720" w:end="0"/>
        <w:jc w:val="both"/>
        <w:rPr/>
      </w:pPr>
      <w:r>
        <w:rPr>
          <w:b/>
          <w:bCs/>
        </w:rPr>
        <w:t>WHEREAS</w:t>
      </w:r>
      <w:r>
        <w:rPr/>
        <w:t>, EPMI and Counterparty now desire to agree to certain additional terms of confirmation to be applicable to each Commodity Transaction confirmed through the ConfirmLogic Module, which information shall be deemed to be included within the Commodity Information presented within ConfirmLogic;</w:t>
      </w:r>
    </w:p>
    <w:p>
      <w:pPr>
        <w:pStyle w:val="Normal"/>
        <w:jc w:val="both"/>
        <w:rPr/>
      </w:pPr>
      <w:r>
        <w:rPr/>
      </w:r>
    </w:p>
    <w:p>
      <w:pPr>
        <w:pStyle w:val="Normal"/>
        <w:ind w:firstLine="720" w:end="0"/>
        <w:jc w:val="both"/>
        <w:rPr/>
      </w:pPr>
      <w:r>
        <w:rPr>
          <w:b/>
          <w:bCs/>
        </w:rPr>
        <w:t>NOW THEREFORE</w:t>
      </w:r>
      <w:r>
        <w:rPr/>
        <w:t>, in consideration of the mutual consents and agreements contained herein and for other good and valuable consideration, the sufficiency of which is hereby acknowledged, EPMI and Counterparty (with each referred to herein as a “Party” and collectively as the “Parties”) agree as follows:</w:t>
      </w:r>
    </w:p>
    <w:p>
      <w:pPr>
        <w:pStyle w:val="Normal"/>
        <w:jc w:val="both"/>
        <w:rPr>
          <w:u w:val="single"/>
        </w:rPr>
      </w:pPr>
      <w:r>
        <w:rPr>
          <w:u w:val="single"/>
        </w:rPr>
      </w:r>
    </w:p>
    <w:p>
      <w:pPr>
        <w:pStyle w:val="BodyText2"/>
        <w:numPr>
          <w:ilvl w:val="0"/>
          <w:numId w:val="2"/>
        </w:numPr>
        <w:rPr/>
      </w:pPr>
      <w:r>
        <w:rPr/>
        <w:t>Terms not otherwise defined in this Agreement shall have the respective meanings set forth for such terms in the CommodityLogic Agreement or ConfirmLogic.  The following defined terms shall have the meanings set forth below:</w:t>
      </w:r>
    </w:p>
    <w:p>
      <w:pPr>
        <w:pStyle w:val="BodyText2"/>
        <w:ind w:start="360" w:end="0"/>
        <w:rPr/>
      </w:pPr>
      <w:r>
        <w:rPr/>
      </w:r>
    </w:p>
    <w:p>
      <w:pPr>
        <w:pStyle w:val="BodyText2"/>
        <w:numPr>
          <w:ilvl w:val="1"/>
          <w:numId w:val="2"/>
        </w:numPr>
        <w:rPr/>
      </w:pPr>
      <w:r>
        <w:rPr/>
        <w:t>“</w:t>
      </w:r>
      <w:r>
        <w:rPr/>
        <w:t xml:space="preserve">Business Day” shall have the meaning set forth for such term in the Power Master.  </w:t>
      </w:r>
    </w:p>
    <w:p>
      <w:pPr>
        <w:pStyle w:val="BodyText2"/>
        <w:ind w:start="1080" w:end="0"/>
        <w:rPr/>
      </w:pPr>
      <w:r>
        <w:rPr/>
      </w:r>
    </w:p>
    <w:p>
      <w:pPr>
        <w:pStyle w:val="BodyText2"/>
        <w:numPr>
          <w:ilvl w:val="1"/>
          <w:numId w:val="2"/>
        </w:numPr>
        <w:rPr/>
      </w:pPr>
      <w:r>
        <w:rPr/>
        <w:t>“</w:t>
      </w:r>
      <w:r>
        <w:rPr/>
        <w:t>Delivery Day” shall mean a day specified within ConfirmLogic during the period of delivery for the Commodity Transaction.</w:t>
      </w:r>
    </w:p>
    <w:p>
      <w:pPr>
        <w:pStyle w:val="BodyText2"/>
        <w:rPr/>
      </w:pPr>
      <w:r>
        <w:rPr/>
      </w:r>
    </w:p>
    <w:p>
      <w:pPr>
        <w:pStyle w:val="BodyText2"/>
        <w:numPr>
          <w:ilvl w:val="1"/>
          <w:numId w:val="2"/>
        </w:numPr>
        <w:rPr/>
      </w:pPr>
      <w:r>
        <w:rPr/>
        <w:t>“</w:t>
      </w:r>
      <w:r>
        <w:rPr/>
        <w:t xml:space="preserve">Interest Rate” shall have the meaning set forth for such term in the Power Master.  </w:t>
      </w:r>
    </w:p>
    <w:p>
      <w:pPr>
        <w:pStyle w:val="BodyText2"/>
        <w:rPr/>
      </w:pPr>
      <w:r>
        <w:rPr/>
      </w:r>
    </w:p>
    <w:p>
      <w:pPr>
        <w:pStyle w:val="BodyText2"/>
        <w:numPr>
          <w:ilvl w:val="1"/>
          <w:numId w:val="2"/>
        </w:numPr>
        <w:rPr/>
      </w:pPr>
      <w:r>
        <w:rPr/>
        <w:t>“</w:t>
      </w:r>
      <w:r>
        <w:rPr/>
        <w:t>NERC Business Day” shall have the meaning set forth for such term in the Power Master.  In the absence thereof, “NERC Business Day” shall mean any day, except a Saturday, Sunday or holiday as defined by the North American Electric Reliability Council or any successor organization thereto, from 8:00 a.m. to 5:00 p.m. local time for the relevant Party’s principal place of business.  The relevant Party, in each instance unless otherwise specified, shall be the Party from whom the notice, payment or delivery is being sent and by whom the notice or payment or delivery is to be received.</w:t>
      </w:r>
    </w:p>
    <w:p>
      <w:pPr>
        <w:pStyle w:val="BodyText2"/>
        <w:ind w:start="360" w:end="0"/>
        <w:rPr/>
      </w:pPr>
      <w:r>
        <w:rPr/>
      </w:r>
    </w:p>
    <w:p>
      <w:pPr>
        <w:pStyle w:val="BodyText2"/>
        <w:numPr>
          <w:ilvl w:val="0"/>
          <w:numId w:val="2"/>
        </w:numPr>
        <w:rPr/>
      </w:pPr>
      <w:r>
        <w:rPr/>
        <w:t>Notwithstanding any contrary provisions in the Power Master or on the Website, any conflict between this Agreement and the Power Master or any terms and conditions posted on the Website, except the Enron Terms (as defined below), shall be resolved in favor of this Agreement.</w:t>
      </w:r>
    </w:p>
    <w:p>
      <w:pPr>
        <w:pStyle w:val="BodyText2"/>
        <w:rPr/>
      </w:pPr>
      <w:r>
        <w:rPr/>
      </w:r>
    </w:p>
    <w:p>
      <w:pPr>
        <w:pStyle w:val="BodyText2"/>
        <w:numPr>
          <w:ilvl w:val="0"/>
          <w:numId w:val="2"/>
        </w:numPr>
        <w:rPr/>
      </w:pPr>
      <w:r>
        <w:rPr/>
        <w:t>The Parties hereto expressly agree that certain terms presented within ConfirmLogic may be defined in a glossary or other terms and conditions of confirmation posted in an Enron public or private folder on the Website (the “Enron Terms”).  EPMI shall give the Counterparty written notice of such Enron Terms in accordance with the notice provisions of the Power Master.  Unless the Counterparty provides written objection to such Enron Terms within seven (7) days of its receipt of notice, such Enron Terms shall be deemed to be included within the Commodity Information presented within ConfirmLogic.  Any conflict between this Agreement and Enron Terms shall be resolved in favor of the Enron Terms.</w:t>
      </w:r>
    </w:p>
    <w:p>
      <w:pPr>
        <w:pStyle w:val="BodyText2"/>
        <w:rPr/>
      </w:pPr>
      <w:r>
        <w:rPr/>
      </w:r>
    </w:p>
    <w:p>
      <w:pPr>
        <w:pStyle w:val="BodyText2"/>
        <w:numPr>
          <w:ilvl w:val="0"/>
          <w:numId w:val="2"/>
        </w:numPr>
        <w:rPr/>
      </w:pPr>
      <w:r>
        <w:rPr>
          <w:b/>
          <w:bCs/>
        </w:rPr>
        <w:t>Confirmation of Commodity Transactions with ConfirmLogic.</w:t>
      </w:r>
    </w:p>
    <w:p>
      <w:pPr>
        <w:pStyle w:val="BodyText2"/>
        <w:rPr/>
      </w:pPr>
      <w:r>
        <w:rPr/>
      </w:r>
    </w:p>
    <w:p>
      <w:pPr>
        <w:pStyle w:val="BodyText2"/>
        <w:numPr>
          <w:ilvl w:val="1"/>
          <w:numId w:val="2"/>
        </w:numPr>
        <w:rPr>
          <w:sz w:val="22"/>
        </w:rPr>
      </w:pPr>
      <w:r>
        <w:rPr/>
        <w:t>The Parties agree that the requirement of Section 1.2 of the Power Master that the Parties exchange Confirmations shall for all purposes be deemed satisfied by an electronic confirmation through ConfirmLogic in accordance with the terms of the CommodityLogic Agreement.</w:t>
      </w:r>
    </w:p>
    <w:p>
      <w:pPr>
        <w:pStyle w:val="BodyText2"/>
        <w:ind w:start="1080" w:end="0"/>
        <w:rPr>
          <w:sz w:val="22"/>
        </w:rPr>
      </w:pPr>
      <w:r>
        <w:rPr/>
        <w:t xml:space="preserve"> </w:t>
      </w:r>
    </w:p>
    <w:p>
      <w:pPr>
        <w:pStyle w:val="BodyText2"/>
        <w:numPr>
          <w:ilvl w:val="1"/>
          <w:numId w:val="2"/>
        </w:numPr>
        <w:rPr/>
      </w:pPr>
      <w:r>
        <w:rPr/>
        <w:t>To the extent that the Parties agree to confirm any Transaction using the ConfirmLogic Module and such Transaction is classified within the ConfirmLogic Module as “Inquired” then Seller shall have the right but not the obligation to send a Confirmation to Buyer in accordance with Section 1.2 of the Power Master.  If Seller elects to send a Confirmation in accordance with Section 1.2 of the Power Master pursuant to this Section 4(b), the Commodity Transaction shall not be confirmed or deemed confirmed using the ConfirmLogic Module unless both Parties subsequently agree to do so in writing.</w:t>
      </w:r>
    </w:p>
    <w:p>
      <w:pPr>
        <w:pStyle w:val="BodyText2"/>
        <w:rPr/>
      </w:pPr>
      <w:r>
        <w:rPr/>
      </w:r>
    </w:p>
    <w:p>
      <w:pPr>
        <w:pStyle w:val="BodyText2"/>
        <w:numPr>
          <w:ilvl w:val="1"/>
          <w:numId w:val="2"/>
        </w:numPr>
        <w:rPr/>
      </w:pPr>
      <w:r>
        <w:rPr/>
        <w:t>If a Party does not have access to the ConfirmLogic Module for a period of 48 hours or more during the Pending Period then such Party shall notify the other Party of such unavailability, and Seller shall send a Confirmation to Buyer in accordance with the procedures set forth in Section 1.2 of the Power Master within three (3) Business Days after receipt of such notice.  In such case, the Commodity Transaction shall not be confirmed or deemed confirmed using the ConfirmLogic Module unless both Parties subsequently agree to do so in writing.</w:t>
      </w:r>
    </w:p>
    <w:p>
      <w:pPr>
        <w:pStyle w:val="BodyText2"/>
        <w:rPr/>
      </w:pPr>
      <w:r>
        <w:rPr/>
      </w:r>
    </w:p>
    <w:p>
      <w:pPr>
        <w:pStyle w:val="Normal"/>
        <w:numPr>
          <w:ilvl w:val="0"/>
          <w:numId w:val="2"/>
        </w:numPr>
        <w:jc w:val="both"/>
        <w:rPr/>
      </w:pPr>
      <w:r>
        <w:rPr>
          <w:b/>
          <w:bCs/>
        </w:rPr>
        <w:t>Product Definitions</w:t>
      </w:r>
      <w:r>
        <w:rPr/>
        <w:t>.  The following product definitions shall be deemed to be included within the Commodity Information for all Commodity Transactions that include the particular product:</w:t>
      </w:r>
    </w:p>
    <w:p>
      <w:pPr>
        <w:pStyle w:val="Normal"/>
        <w:jc w:val="both"/>
        <w:rPr/>
      </w:pPr>
      <w:r>
        <w:rPr/>
      </w:r>
    </w:p>
    <w:p>
      <w:pPr>
        <w:pStyle w:val="Normal"/>
        <w:numPr>
          <w:ilvl w:val="1"/>
          <w:numId w:val="2"/>
        </w:numPr>
        <w:jc w:val="both"/>
        <w:rPr/>
      </w:pPr>
      <w:r>
        <w:rPr/>
        <w:t>“</w:t>
      </w:r>
      <w:r>
        <w:rPr/>
        <w:t>CAISO Energy” means with respect to a Commodity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Normal"/>
        <w:ind w:start="1080" w:end="0"/>
        <w:jc w:val="both"/>
        <w:rPr/>
      </w:pPr>
      <w:r>
        <w:rPr/>
      </w:r>
    </w:p>
    <w:p>
      <w:pPr>
        <w:pStyle w:val="Normal"/>
        <w:numPr>
          <w:ilvl w:val="1"/>
          <w:numId w:val="2"/>
        </w:numPr>
        <w:jc w:val="both"/>
        <w:rPr/>
      </w:pPr>
      <w:r>
        <w:rPr>
          <w:szCs w:val="20"/>
        </w:rPr>
        <w:t>“</w:t>
      </w:r>
      <w:r>
        <w:rPr>
          <w:szCs w:val="20"/>
        </w:rPr>
        <w:t xml:space="preserve">Firm (LD) Energy” </w:t>
      </w:r>
      <w:r>
        <w:rPr/>
        <w:t xml:space="preserve">means with respect to a Commodity Transaction, a product under which the Seller shall sell and the Buyer shall purchase a quantity of energy equal to the hourly quantity </w:t>
      </w:r>
      <w:r>
        <w:rPr>
          <w:szCs w:val="20"/>
        </w:rPr>
        <w:t>in accordance with the terms of the “Firm (LD)” definition in Schedule P of the Edison Electric Institute Master Power Purchase and Sale Agreement Version 2.1 (modified 4/25/00), including, without limitation, any defined terms contained therein, notwithstanding anything to the contrary in the master agreement, if any, that governs the Commodity Transaction.</w:t>
      </w:r>
    </w:p>
    <w:p>
      <w:pPr>
        <w:pStyle w:val="Normal"/>
        <w:ind w:start="1080" w:end="0"/>
        <w:jc w:val="both"/>
        <w:rPr/>
      </w:pPr>
      <w:r>
        <w:rPr/>
      </w:r>
    </w:p>
    <w:p>
      <w:pPr>
        <w:pStyle w:val="Normal"/>
        <w:numPr>
          <w:ilvl w:val="1"/>
          <w:numId w:val="2"/>
        </w:numPr>
        <w:jc w:val="both"/>
        <w:rPr/>
      </w:pPr>
      <w:r>
        <w:rPr/>
        <w:t>“</w:t>
      </w:r>
      <w:r>
        <w:rPr/>
        <w:t>Installed Capability” means with respect to a Commodity Transaction, Installed Capability (subject to liquidated damages) eligible for ICAP credit toward meeting a Participant’s Installed Capability Responsibility (as such terms are defined in the Restated New England Power Pool Agreement in effect as of the trade date).</w:t>
      </w:r>
    </w:p>
    <w:p>
      <w:pPr>
        <w:pStyle w:val="Normal"/>
        <w:jc w:val="both"/>
        <w:rPr/>
      </w:pPr>
      <w:r>
        <w:rPr/>
      </w:r>
    </w:p>
    <w:p>
      <w:pPr>
        <w:pStyle w:val="Normal"/>
        <w:numPr>
          <w:ilvl w:val="1"/>
          <w:numId w:val="2"/>
        </w:numPr>
        <w:jc w:val="both"/>
        <w:rPr/>
      </w:pPr>
      <w:r>
        <w:rPr/>
        <w:t>“</w:t>
      </w:r>
      <w:r>
        <w:rPr/>
        <w:t>West Firm Energy” means with respect to a Commodity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the Power Agreement, if Seller exercises its right to interrupt to meet its public utility or statutory obligations, Seller shall be responsible for payment of damages for failure to deliver firm energy as provided in the applicable cover remedy section(s) of the Power Agreement or otherwise in this Agreement.  “WSPP Agreement" means the Western Systems Power Pool Agreement as amended from time to time.  “WSCC” means the Western Systems Coordinating Council.</w:t>
      </w:r>
    </w:p>
    <w:p>
      <w:pPr>
        <w:pStyle w:val="Normal"/>
        <w:tabs>
          <w:tab w:val="left" w:pos="720" w:leader="none"/>
          <w:tab w:val="left" w:pos="1440" w:leader="none"/>
          <w:tab w:val="left" w:pos="2160" w:leader="none"/>
          <w:tab w:val="left" w:pos="5040" w:leader="none"/>
          <w:tab w:val="left" w:pos="5760" w:leader="none"/>
          <w:tab w:val="left" w:pos="6480" w:leader="none"/>
        </w:tabs>
        <w:ind w:end="-345"/>
        <w:jc w:val="both"/>
        <w:rPr>
          <w:rFonts w:ascii="Arial" w:hAnsi="Arial" w:cs="Arial"/>
          <w:sz w:val="18"/>
        </w:rPr>
      </w:pPr>
      <w:r>
        <w:rPr>
          <w:rFonts w:cs="Arial" w:ascii="Arial" w:hAnsi="Arial"/>
          <w:sz w:val="18"/>
        </w:rPr>
      </w:r>
    </w:p>
    <w:p>
      <w:pPr>
        <w:pStyle w:val="Normal"/>
        <w:numPr>
          <w:ilvl w:val="0"/>
          <w:numId w:val="2"/>
        </w:numPr>
        <w:jc w:val="both"/>
        <w:rPr/>
      </w:pPr>
      <w:r>
        <w:rPr>
          <w:b/>
          <w:bCs/>
        </w:rPr>
        <w:t>Location Language</w:t>
      </w:r>
      <w:r>
        <w:rPr/>
        <w:t>.  The following provisions shall be deemed to be included within the Commodity Information for all Commodity Transactions that include the respective Locations:</w:t>
      </w:r>
    </w:p>
    <w:p>
      <w:pPr>
        <w:pStyle w:val="Normal"/>
        <w:ind w:start="360" w:end="0"/>
        <w:jc w:val="both"/>
        <w:rPr/>
      </w:pPr>
      <w:r>
        <w:rPr/>
      </w:r>
    </w:p>
    <w:p>
      <w:pPr>
        <w:pStyle w:val="Normal"/>
        <w:numPr>
          <w:ilvl w:val="1"/>
          <w:numId w:val="2"/>
        </w:numPr>
        <w:jc w:val="both"/>
        <w:rPr/>
      </w:pPr>
      <w:r>
        <w:rPr/>
        <w:t>ERCOT:  The transaction is for delivery or receipt of energy to any points within the Electric Reliability Council of Texas, Inc. (“ERCOT”) at Seller’s daily election.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ind w:start="1080" w:end="0"/>
        <w:jc w:val="both"/>
        <w:rPr/>
      </w:pPr>
      <w:r>
        <w:rPr/>
      </w:r>
    </w:p>
    <w:p>
      <w:pPr>
        <w:pStyle w:val="Normal"/>
        <w:numPr>
          <w:ilvl w:val="1"/>
          <w:numId w:val="2"/>
        </w:numPr>
        <w:jc w:val="both"/>
        <w:rPr/>
      </w:pPr>
      <w:r>
        <w:rPr/>
        <w:t>ERCOT North 2001 Zone:  The transaction is for delivery or receipt of energy to any points within the North 2001 Zone, as finalized pursuant to the action on April 17, 2001 by the Electric Reliability Council of Texas, Inc.</w:t>
      </w:r>
      <w:r>
        <w:rPr>
          <w:color w:val="000000"/>
        </w:rPr>
        <w:t xml:space="preserve"> </w:t>
      </w:r>
      <w:r>
        <w:rPr/>
        <w:t>("ERCOT") Board of Directors, at Seller’s daily election.  If such North 2001 Zone is superseded by a zone or zones of different boundaries, Seller shall nevertheless be required, unless otherwise agreed by the parties, to deliver the energy to any points within the geographical area coextensive with the originally defined North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numPr>
          <w:ilvl w:val="1"/>
          <w:numId w:val="2"/>
        </w:numPr>
        <w:jc w:val="both"/>
        <w:rPr/>
      </w:pPr>
      <w:r>
        <w:rPr/>
        <w:t>ERCOT South 2001 Zone:  The transaction is for delivery or receipt of energy to any points within the South 2001 Zone, as finalized pursuant to the action on April 17, 2001 by the Electric Reliability Council of Texas, Inc.</w:t>
      </w:r>
      <w:r>
        <w:rPr>
          <w:color w:val="000000"/>
        </w:rPr>
        <w:t xml:space="preserve"> </w:t>
      </w:r>
      <w:r>
        <w:rPr/>
        <w:t>("ERCOT") Board of Directors, at Seller’s daily election.  If such South 2001 Zone is superseded by a zone or zones of different boundaries, Seller shall nevertheless be required, unless otherwise agreed by the parties, to deliver the energy to any point within the geographical area coextensive with the originally defined South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numPr>
          <w:ilvl w:val="1"/>
          <w:numId w:val="2"/>
        </w:numPr>
        <w:jc w:val="both"/>
        <w:rPr/>
      </w:pPr>
      <w:r>
        <w:rPr/>
        <w:t>ERCOT West 2001 Zone:  The transaction is for delivery or receipt of energy to any points within the West 2001 Zone, as finalized pursuant to the action on April 17, 2001 by the Electric Reliability Council of Texas, Inc.</w:t>
      </w:r>
      <w:r>
        <w:rPr>
          <w:color w:val="000000"/>
        </w:rPr>
        <w:t xml:space="preserve"> </w:t>
      </w:r>
      <w:r>
        <w:rPr/>
        <w:t>("ERCOT") Board of Directors, at Seller’s daily election.  If such West 2001 Zone is superseded by a zone or zones of different boundaries, Seller shall nevertheless be required, unless otherwise agreed by the parties, to deliver the energy to any points within the geographical area coextensive with the originally defined West 2001 Zone.  If and when possible for Seller to designate under pertinent ERCOT scheduling practices, any</w:t>
      </w:r>
      <w:r>
        <w:rPr>
          <w:b/>
          <w:bCs/>
        </w:rPr>
        <w:t xml:space="preserve"> </w:t>
      </w:r>
      <w:r>
        <w:rPr/>
        <w:t>such points shall be connected to the ERCOT Transmission Grid by Transmission Facilities (as such terms are defined in the ERCOT Protocols) operated at or above 138kV.</w:t>
      </w:r>
    </w:p>
    <w:p>
      <w:pPr>
        <w:pStyle w:val="Normal"/>
        <w:jc w:val="both"/>
        <w:rPr/>
      </w:pPr>
      <w:r>
        <w:rPr/>
      </w:r>
    </w:p>
    <w:p>
      <w:pPr>
        <w:pStyle w:val="Normal"/>
        <w:jc w:val="both"/>
        <w:rPr>
          <w:b/>
          <w:bCs/>
        </w:rPr>
      </w:pPr>
      <w:r>
        <w:rPr>
          <w:b/>
          <w:bCs/>
        </w:rPr>
        <w:t>ERCOT 2002 TO COME</w:t>
      </w:r>
    </w:p>
    <w:p>
      <w:pPr>
        <w:pStyle w:val="Normal"/>
        <w:jc w:val="both"/>
        <w:rPr>
          <w:b/>
          <w:bCs/>
        </w:rPr>
      </w:pPr>
      <w:r>
        <w:rPr>
          <w:b/>
          <w:bCs/>
        </w:rPr>
      </w:r>
    </w:p>
    <w:p>
      <w:pPr>
        <w:pStyle w:val="Normal"/>
        <w:numPr>
          <w:ilvl w:val="1"/>
          <w:numId w:val="2"/>
        </w:numPr>
        <w:jc w:val="both"/>
        <w:rPr/>
      </w:pPr>
      <w:r>
        <w:rPr/>
        <w:t>[</w:t>
      </w:r>
      <w:r>
        <w:rPr>
          <w:highlight w:val="yellow"/>
        </w:rPr>
        <w:t>Delivery Point</w:t>
      </w:r>
      <w:r>
        <w:rPr/>
        <w:t>] (Into):  The delivery point shall be any point Into [______________] at Seller’s daily election.</w:t>
      </w:r>
    </w:p>
    <w:p>
      <w:pPr>
        <w:pStyle w:val="Normal"/>
        <w:jc w:val="both"/>
        <w:rPr/>
      </w:pPr>
      <w:r>
        <w:rPr/>
      </w:r>
    </w:p>
    <w:p>
      <w:pPr>
        <w:pStyle w:val="Normal"/>
        <w:numPr>
          <w:ilvl w:val="1"/>
          <w:numId w:val="2"/>
        </w:numPr>
        <w:jc w:val="both"/>
        <w:rPr>
          <w:u w:val="single"/>
          <w:lang w:val="en-CA" w:eastAsia="en-CA"/>
        </w:rPr>
      </w:pPr>
      <w:r>
        <w:rPr/>
        <w:fldChar w:fldCharType="begin"/>
      </w:r>
      <w:r>
        <w:rPr/>
        <w:instrText xml:space="preserve"> MERGEFIELD DeliveryPoint </w:instrText>
      </w:r>
      <w:r>
        <w:rPr/>
        <w:fldChar w:fldCharType="separate"/>
      </w:r>
      <w:r>
        <w:rPr/>
        <w:t>NEPOOL PTF: The delivery point shall be NEPOOL PTF, provided that at and after the date a system of locational marginal pricing goes into effect within the NEPOOL control area (anticipated to occur no sooner than January 1, 2003), the delivery point shall be any point(s) within the NEPOOL control area (as such NEPOOL control area is configured as of the trade date) as selected by Seller on a daily prescheduled basis.</w:t>
      </w:r>
      <w:r>
        <w:rPr/>
        <w:fldChar w:fldCharType="end"/>
      </w:r>
    </w:p>
    <w:p>
      <w:pPr>
        <w:pStyle w:val="Normal"/>
        <w:jc w:val="both"/>
        <w:rPr>
          <w:u w:val="single"/>
          <w:lang w:val="en-CA" w:eastAsia="en-CA"/>
        </w:rPr>
      </w:pPr>
      <w:r>
        <w:rPr>
          <w:u w:val="single"/>
          <w:lang w:val="en-CA" w:eastAsia="en-CA"/>
        </w:rPr>
      </w:r>
    </w:p>
    <w:p>
      <w:pPr>
        <w:pStyle w:val="Normal"/>
        <w:numPr>
          <w:ilvl w:val="1"/>
          <w:numId w:val="2"/>
        </w:numPr>
        <w:jc w:val="both"/>
        <w:rPr/>
      </w:pPr>
      <w:r>
        <w:rPr/>
        <w:t>“</w:t>
      </w:r>
      <w:r>
        <w:rPr/>
        <w:t>Out of” [</w:t>
      </w:r>
      <w:r>
        <w:rPr>
          <w:highlight w:val="yellow"/>
        </w:rPr>
        <w:t>Delivery Point</w:t>
      </w:r>
      <w:r>
        <w:rPr/>
        <w:t>]:  The delivery point shall be any point Out of [</w:t>
      </w:r>
      <w:r>
        <w:rPr>
          <w:b/>
          <w:bCs/>
        </w:rPr>
        <w:t>________________</w:t>
      </w:r>
      <w:r>
        <w:rPr/>
        <w:t xml:space="preserve">] at </w:t>
      </w:r>
      <w:r>
        <w:rPr>
          <w:highlight w:val="yellow"/>
        </w:rPr>
        <w:t>Buyer</w:t>
      </w:r>
      <w:r>
        <w:rPr/>
        <w:t>’s daily election.</w:t>
      </w:r>
      <w:r>
        <w:rPr>
          <w:u w:val="single"/>
        </w:rPr>
        <w:fldChar w:fldCharType="begin"/>
      </w:r>
      <w:r>
        <w:rPr>
          <w:u w:val="single"/>
        </w:rPr>
        <w:instrText xml:space="preserve"> MERGEFIELD ScheduleLanguage </w:instrText>
      </w:r>
      <w:r>
        <w:rPr>
          <w:u w:val="single"/>
        </w:rPr>
        <w:fldChar w:fldCharType="separate"/>
      </w:r>
      <w:r>
        <w:rPr>
          <w:u w:val="single"/>
        </w:rPr>
        <w:t>PJM Western Hub:  The delivery point shall be the PJM Western Hub.  Buyer assumes all risks associated with transmission of the energy away from the PJM Western Hub.  Seller makes no representations that the energy can be moved out of the PJM Western Hub and shall have no liability if Buyer is unable to move the energy out of the PJM Western Hub.</w:t>
      </w:r>
      <w:r>
        <w:rPr>
          <w:u w:val="single"/>
        </w:rPr>
        <w:fldChar w:fldCharType="end"/>
      </w:r>
    </w:p>
    <w:p>
      <w:pPr>
        <w:pStyle w:val="Normal"/>
        <w:jc w:val="both"/>
        <w:rPr/>
      </w:pPr>
      <w:r>
        <w:rPr/>
      </w:r>
    </w:p>
    <w:p>
      <w:pPr>
        <w:pStyle w:val="Normal"/>
        <w:numPr>
          <w:ilvl w:val="1"/>
          <w:numId w:val="2"/>
        </w:numPr>
        <w:jc w:val="both"/>
        <w:rPr/>
      </w:pPr>
      <w:r>
        <w:rPr>
          <w:lang w:val="en-CA" w:eastAsia="en-CA"/>
        </w:rPr>
        <w:t xml:space="preserve">NP-15:  NP-15 as defined as of the trade date.  If the definition of NP-15 changes or the zone ceases to exist, then the delivery point shall be that zone, or any physical location or bus, that reasonably resembles, in terms of liquidity and homogeneity and physical location, PGE3, specifically excluding, however, the proposed “North Bay and Greater Bay Area Zones” as identified in Figure 1 on page 10 of Appendix H (located at http://www.caiso.com/docs/09003a6080/06/ec/09003a608006ec61.pdf) to the document entitled “Congestion Management Reform Recommendations” (Draft Proposal) dated July 28, 2000 issued by the California ISO on its official website: </w:t>
      </w:r>
      <w:hyperlink r:id="rId2">
        <w:r>
          <w:rPr>
            <w:rStyle w:val="Hyperlink"/>
            <w:lang w:val="en-CA" w:eastAsia="en-CA"/>
          </w:rPr>
          <w:t>http://www.caiso.com</w:t>
        </w:r>
      </w:hyperlink>
      <w:r>
        <w:rPr>
          <w:lang w:val="en-CA" w:eastAsia="en-CA"/>
        </w:rPr>
        <w:t>.</w:t>
      </w:r>
      <w:r>
        <w:rPr/>
        <w:fldChar w:fldCharType="begin"/>
      </w:r>
      <w:r>
        <w:rPr/>
        <w:instrText xml:space="preserve"> MERGEFIELD DeliveryPoint </w:instrText>
      </w:r>
      <w:r>
        <w:rPr/>
        <w:fldChar w:fldCharType="separate"/>
      </w:r>
      <w:r>
        <w:rPr/>
        <w:t>SP-15:  SP-15 as defined as of the trade date.  If the definition of SP-15 changes or the zone ceases to exist, then the delivery point shall be that zone, or any physical location or bus, that reasonably resembles, in terms of liquidity and homogeneity and physical location, SCE1, specifically excluding, however, the proposed Zones “LA Basin Area Excluding LADWP” and “San Diego,” as identified in Figure 1 on page 10 of Appendix H (located at  &lt;http://www.caiso.com/docs/09003a6080/06/ec/09003a608006ec61.pdf&gt;) to the document entitled “Congestion Management Reform Recommendations” (Draft Proposal) dated July 28, 2000 issued by the California ISO on its official website: http://www.caiso.com.</w:t>
      </w:r>
      <w:r>
        <w:rPr/>
        <w:fldChar w:fldCharType="end"/>
      </w:r>
    </w:p>
    <w:p>
      <w:pPr>
        <w:pStyle w:val="Normal"/>
        <w:jc w:val="both"/>
        <w:rPr/>
      </w:pPr>
      <w:r>
        <w:rPr/>
      </w:r>
    </w:p>
    <w:p>
      <w:pPr>
        <w:pStyle w:val="Normal"/>
        <w:numPr>
          <w:ilvl w:val="0"/>
          <w:numId w:val="2"/>
        </w:numPr>
        <w:jc w:val="both"/>
        <w:rPr/>
      </w:pPr>
      <w:r>
        <w:rPr>
          <w:b/>
          <w:bCs/>
        </w:rPr>
        <w:t>Scheduling Language</w:t>
      </w:r>
      <w:r>
        <w:rPr/>
        <w:t>.  The following provisions shall be deemed to be included within the Commodity Information for all Commodity Transactions that involve the purchase or sale of physical power:</w:t>
      </w:r>
    </w:p>
    <w:p>
      <w:pPr>
        <w:pStyle w:val="Normal"/>
        <w:ind w:start="360" w:end="0"/>
        <w:jc w:val="both"/>
        <w:rPr/>
      </w:pPr>
      <w:r>
        <w:rPr/>
      </w:r>
    </w:p>
    <w:p>
      <w:pPr>
        <w:pStyle w:val="Normal"/>
        <w:numPr>
          <w:ilvl w:val="1"/>
          <w:numId w:val="2"/>
        </w:numPr>
        <w:jc w:val="both"/>
        <w:rPr/>
      </w:pPr>
      <w:r>
        <w:rPr/>
        <w:t>Power deliveries shall be scheduled in accordance with the then-current applicable tariffs, protocols, operating procedures and scheduling practices for the relevant region.  For example, as of the date of this Agreement, the scheduling deadlines for the following regions are as follows:</w:t>
      </w:r>
    </w:p>
    <w:p>
      <w:pPr>
        <w:pStyle w:val="Normal"/>
        <w:ind w:start="1080" w:end="0"/>
        <w:jc w:val="both"/>
        <w:rPr/>
      </w:pPr>
      <w:r>
        <w:rPr/>
      </w:r>
    </w:p>
    <w:p>
      <w:pPr>
        <w:pStyle w:val="Normal"/>
        <w:numPr>
          <w:ilvl w:val="2"/>
          <w:numId w:val="2"/>
        </w:numPr>
        <w:jc w:val="both"/>
        <w:rPr/>
      </w:pPr>
      <w:r>
        <w:rPr/>
        <w:t>PJM Western Hub: Daily preschedule by 12:00 pm EPT on the NERC Business Day prior to delivery.</w:t>
      </w:r>
    </w:p>
    <w:p>
      <w:pPr>
        <w:pStyle w:val="Normal"/>
        <w:numPr>
          <w:ilvl w:val="2"/>
          <w:numId w:val="2"/>
        </w:numPr>
        <w:jc w:val="both"/>
        <w:rPr/>
      </w:pPr>
      <w:r>
        <w:rPr/>
        <w:t xml:space="preserve">Into TVA/Cinergy/Entergy/ComEd/Ameren/SOCO: Daily preschedule by 11:00 am CPT on the NERC Business Day prior to delivery. </w:t>
      </w:r>
    </w:p>
    <w:p>
      <w:pPr>
        <w:pStyle w:val="Normal"/>
        <w:numPr>
          <w:ilvl w:val="2"/>
          <w:numId w:val="2"/>
        </w:numPr>
        <w:jc w:val="both"/>
        <w:rPr/>
      </w:pPr>
      <w:r>
        <w:rPr/>
        <w:t>ERCOT: Daily preschedule by 10:00 am CPT on the NERC Business Day prior to delivery.</w:t>
      </w:r>
    </w:p>
    <w:p>
      <w:pPr>
        <w:pStyle w:val="Normal"/>
        <w:ind w:start="1080" w:end="0"/>
        <w:jc w:val="both"/>
        <w:rPr/>
      </w:pPr>
      <w:r>
        <w:rPr/>
      </w:r>
    </w:p>
    <w:p>
      <w:pPr>
        <w:pStyle w:val="Normal"/>
        <w:numPr>
          <w:ilvl w:val="1"/>
          <w:numId w:val="2"/>
        </w:numPr>
        <w:jc w:val="both"/>
        <w:rPr/>
      </w:pPr>
      <w:r>
        <w:rPr/>
        <w:t>Scheduling Contacts for East:</w:t>
      </w:r>
    </w:p>
    <w:p>
      <w:pPr>
        <w:pStyle w:val="Normal"/>
        <w:jc w:val="both"/>
        <w:rPr/>
      </w:pPr>
      <w:r>
        <w:rPr/>
      </w:r>
    </w:p>
    <w:p>
      <w:pPr>
        <w:pStyle w:val="Normal"/>
        <w:numPr>
          <w:ilvl w:val="2"/>
          <w:numId w:val="2"/>
        </w:numPr>
        <w:jc w:val="both"/>
        <w:rPr/>
      </w:pPr>
      <w:r>
        <w:rPr/>
        <w:t>EPMI Real Time Operations:  1-800-349-5527</w:t>
      </w:r>
    </w:p>
    <w:p>
      <w:pPr>
        <w:pStyle w:val="Normal"/>
        <w:numPr>
          <w:ilvl w:val="2"/>
          <w:numId w:val="2"/>
        </w:numPr>
        <w:jc w:val="both"/>
        <w:rPr/>
      </w:pPr>
      <w:r>
        <w:rPr/>
        <w:t>[Counterparty]:  ___________________-</w:t>
      </w:r>
    </w:p>
    <w:p>
      <w:pPr>
        <w:pStyle w:val="Normal"/>
        <w:ind w:start="1980" w:end="0"/>
        <w:jc w:val="both"/>
        <w:rPr/>
      </w:pPr>
      <w:r>
        <w:rPr/>
      </w:r>
    </w:p>
    <w:p>
      <w:pPr>
        <w:pStyle w:val="Normal"/>
        <w:numPr>
          <w:ilvl w:val="1"/>
          <w:numId w:val="2"/>
        </w:numPr>
        <w:jc w:val="both"/>
        <w:rPr/>
      </w:pPr>
      <w:r>
        <w:rPr/>
        <w:t>Scheduling Contacts for West:</w:t>
      </w:r>
    </w:p>
    <w:p>
      <w:pPr>
        <w:pStyle w:val="Normal"/>
        <w:jc w:val="both"/>
        <w:rPr/>
      </w:pPr>
      <w:r>
        <w:rPr/>
      </w:r>
    </w:p>
    <w:p>
      <w:pPr>
        <w:pStyle w:val="Normal"/>
        <w:numPr>
          <w:ilvl w:val="2"/>
          <w:numId w:val="2"/>
        </w:numPr>
        <w:jc w:val="both"/>
        <w:rPr/>
      </w:pPr>
      <w:r>
        <w:rPr/>
        <w:t>EPMI Real Time Operations:  1-800-684-1336</w:t>
      </w:r>
    </w:p>
    <w:p>
      <w:pPr>
        <w:pStyle w:val="Normal"/>
        <w:numPr>
          <w:ilvl w:val="2"/>
          <w:numId w:val="2"/>
        </w:numPr>
        <w:jc w:val="both"/>
        <w:rPr/>
      </w:pPr>
      <w:r>
        <w:rPr/>
        <w:t>[Counterparty]:_________________________</w:t>
      </w:r>
    </w:p>
    <w:p>
      <w:pPr>
        <w:pStyle w:val="Normal"/>
        <w:ind w:start="1080" w:end="0"/>
        <w:jc w:val="both"/>
        <w:rPr/>
      </w:pPr>
      <w:r>
        <w:rPr/>
      </w:r>
    </w:p>
    <w:p>
      <w:pPr>
        <w:pStyle w:val="Normal"/>
        <w:numPr>
          <w:ilvl w:val="0"/>
          <w:numId w:val="2"/>
        </w:numPr>
        <w:jc w:val="both"/>
        <w:rPr/>
      </w:pPr>
      <w:r>
        <w:rPr>
          <w:b/>
          <w:bCs/>
        </w:rPr>
        <w:t>Options under the Power Master</w:t>
      </w:r>
      <w:r>
        <w:rPr/>
        <w:t>.  The following provisions shall be deemed to be included within the Commodity Information for all Commodity Transactions that involve the purchase or sale of an option under the Power Master:</w:t>
      </w:r>
    </w:p>
    <w:p>
      <w:pPr>
        <w:pStyle w:val="Normal"/>
        <w:ind w:start="360" w:end="0"/>
        <w:jc w:val="both"/>
        <w:rPr/>
      </w:pPr>
      <w:r>
        <w:rPr/>
      </w:r>
    </w:p>
    <w:p>
      <w:pPr>
        <w:pStyle w:val="Normal"/>
        <w:numPr>
          <w:ilvl w:val="1"/>
          <w:numId w:val="2"/>
        </w:numPr>
        <w:jc w:val="both"/>
        <w:rPr/>
      </w:pPr>
      <w:r>
        <w:rPr/>
        <w:t>The Premium shall be paid within two (2) Business Days from date of the Commodity Transaction.</w:t>
      </w:r>
    </w:p>
    <w:p>
      <w:pPr>
        <w:pStyle w:val="Normal"/>
        <w:ind w:start="1080" w:end="0"/>
        <w:jc w:val="both"/>
        <w:rPr/>
      </w:pPr>
      <w:r>
        <w:rPr/>
      </w:r>
    </w:p>
    <w:p>
      <w:pPr>
        <w:pStyle w:val="Normal"/>
        <w:numPr>
          <w:ilvl w:val="1"/>
          <w:numId w:val="2"/>
        </w:numPr>
        <w:jc w:val="both"/>
        <w:rPr/>
      </w:pPr>
      <w:r>
        <w:rPr/>
        <w:t xml:space="preserve">A Call Option Buyer has the right, but not the obligation, to elect on the Option Expiry Date to </w:t>
      </w:r>
      <w:r>
        <w:rPr>
          <w:color w:val="000000"/>
        </w:rPr>
        <w:t xml:space="preserve">schedule, receive and pay for at the Contract Price, and the Call Option Seller would have the obligation to schedule and deliver, a quantity of the Product equal to the Volume for each applicable hour during the Term of the Commodity Transaction.  </w:t>
      </w:r>
      <w:r>
        <w:rPr/>
        <w:t xml:space="preserve">A Put Option Buyer has the right, but not the obligation, to elect on the Option Expiry Date to schedule, sell and deliver, and the Put Option Seller would have the obligation to schedule, receive and pay for at the Contract Price </w:t>
      </w:r>
      <w:r>
        <w:rPr>
          <w:color w:val="000000"/>
        </w:rPr>
        <w:t>a quantity of the Product equal to the Volume for each applicable hour during the Term of the Commodity Transaction</w:t>
      </w:r>
      <w:r>
        <w:rPr/>
        <w:t xml:space="preserve">.  </w:t>
      </w:r>
    </w:p>
    <w:p>
      <w:pPr>
        <w:pStyle w:val="Normal"/>
        <w:jc w:val="both"/>
        <w:rPr/>
      </w:pPr>
      <w:r>
        <w:rPr/>
      </w:r>
    </w:p>
    <w:p>
      <w:pPr>
        <w:pStyle w:val="Normal"/>
        <w:numPr>
          <w:ilvl w:val="1"/>
          <w:numId w:val="2"/>
        </w:numPr>
        <w:jc w:val="both"/>
        <w:rPr/>
      </w:pPr>
      <w:r>
        <w:rPr/>
        <w:t>If the Option is properly exercised, the Parties shall be obligated to schedule, deliver and receive the Volume for the period for which the Option is exercised.</w:t>
      </w:r>
    </w:p>
    <w:p>
      <w:pPr>
        <w:pStyle w:val="Normal"/>
        <w:jc w:val="both"/>
        <w:rPr/>
      </w:pPr>
      <w:r>
        <w:rPr/>
      </w:r>
    </w:p>
    <w:p>
      <w:pPr>
        <w:pStyle w:val="Normal"/>
        <w:numPr>
          <w:ilvl w:val="1"/>
          <w:numId w:val="2"/>
        </w:numPr>
        <w:jc w:val="both"/>
        <w:rPr/>
      </w:pPr>
      <w:r>
        <w:rPr/>
        <w:t xml:space="preserve">In order to exercise its option, the Option Buyer must provide telephone notice to the Option Seller on an Option Expiry Date no later than time set out below for the relevant Location, unless otherwise stated within ConfirmLogic, in which case the time set out in ConfirmLogic will control.  </w:t>
      </w:r>
    </w:p>
    <w:p>
      <w:pPr>
        <w:pStyle w:val="Normal"/>
        <w:jc w:val="both"/>
        <w:rPr/>
      </w:pPr>
      <w:r>
        <w:rPr/>
      </w:r>
    </w:p>
    <w:p>
      <w:pPr>
        <w:pStyle w:val="Normal"/>
        <w:numPr>
          <w:ilvl w:val="2"/>
          <w:numId w:val="2"/>
        </w:numPr>
        <w:jc w:val="both"/>
        <w:rPr/>
      </w:pPr>
      <w:r>
        <w:rPr/>
        <w:t>Monthly Options:</w:t>
      </w:r>
    </w:p>
    <w:p>
      <w:pPr>
        <w:pStyle w:val="Normal"/>
        <w:numPr>
          <w:ilvl w:val="3"/>
          <w:numId w:val="2"/>
        </w:numPr>
        <w:jc w:val="both"/>
        <w:rPr/>
      </w:pPr>
      <w:r>
        <w:rPr/>
        <w:t>Any Location in the Eastern time zone:  10:00 am EPT</w:t>
      </w:r>
    </w:p>
    <w:p>
      <w:pPr>
        <w:pStyle w:val="Normal"/>
        <w:numPr>
          <w:ilvl w:val="3"/>
          <w:numId w:val="2"/>
        </w:numPr>
        <w:jc w:val="both"/>
        <w:rPr/>
      </w:pPr>
      <w:r>
        <w:rPr/>
        <w:t>Any Location in the Central time zone:  10:00 am CPT</w:t>
      </w:r>
    </w:p>
    <w:p>
      <w:pPr>
        <w:pStyle w:val="Normal"/>
        <w:numPr>
          <w:ilvl w:val="3"/>
          <w:numId w:val="2"/>
        </w:numPr>
        <w:jc w:val="both"/>
        <w:rPr/>
      </w:pPr>
      <w:r>
        <w:rPr/>
        <w:t>Any Location in the Pacific time zone:  2:00 pm PPT</w:t>
      </w:r>
    </w:p>
    <w:p>
      <w:pPr>
        <w:pStyle w:val="Normal"/>
        <w:numPr>
          <w:ilvl w:val="2"/>
          <w:numId w:val="2"/>
        </w:numPr>
        <w:jc w:val="both"/>
        <w:rPr/>
      </w:pPr>
      <w:r>
        <w:rPr/>
        <w:t>Daily Options:</w:t>
      </w:r>
    </w:p>
    <w:p>
      <w:pPr>
        <w:pStyle w:val="Normal"/>
        <w:numPr>
          <w:ilvl w:val="3"/>
          <w:numId w:val="2"/>
        </w:numPr>
        <w:jc w:val="both"/>
        <w:rPr/>
      </w:pPr>
      <w:r>
        <w:rPr/>
        <w:t xml:space="preserve"> </w:t>
      </w:r>
      <w:r>
        <w:rPr/>
        <w:t>Any Location in the Eastern time zone:  10:00 am EPT</w:t>
      </w:r>
    </w:p>
    <w:p>
      <w:pPr>
        <w:pStyle w:val="Normal"/>
        <w:numPr>
          <w:ilvl w:val="3"/>
          <w:numId w:val="2"/>
        </w:numPr>
        <w:jc w:val="both"/>
        <w:rPr/>
      </w:pPr>
      <w:r>
        <w:rPr/>
        <w:t>Any Location in Central time zone, except ERCOT:  9:15 am CPT</w:t>
      </w:r>
    </w:p>
    <w:p>
      <w:pPr>
        <w:pStyle w:val="Normal"/>
        <w:numPr>
          <w:ilvl w:val="3"/>
          <w:numId w:val="2"/>
        </w:numPr>
        <w:jc w:val="both"/>
        <w:rPr/>
      </w:pPr>
      <w:r>
        <w:rPr/>
        <w:t>ERCOT:  10:00 am CPT</w:t>
      </w:r>
    </w:p>
    <w:p>
      <w:pPr>
        <w:pStyle w:val="Normal"/>
        <w:numPr>
          <w:ilvl w:val="3"/>
          <w:numId w:val="2"/>
        </w:numPr>
        <w:jc w:val="both"/>
        <w:rPr/>
      </w:pPr>
      <w:r>
        <w:rPr/>
        <w:t>Any Location in the Pacific time zone:  6:30 am</w:t>
      </w:r>
    </w:p>
    <w:p>
      <w:pPr>
        <w:pStyle w:val="Normal"/>
        <w:jc w:val="both"/>
        <w:rPr/>
      </w:pPr>
      <w:r>
        <w:rPr/>
      </w:r>
    </w:p>
    <w:p>
      <w:pPr>
        <w:pStyle w:val="Normal"/>
        <w:numPr>
          <w:ilvl w:val="1"/>
          <w:numId w:val="2"/>
        </w:numPr>
        <w:jc w:val="both"/>
        <w:rPr/>
      </w:pPr>
      <w:r>
        <w:rPr/>
        <w:t xml:space="preserve">For a daily option, the Exercise Date shall be the NERC Business Day prior to the Delivery Day for which the Option is exercised.  For a monthly option, the Exercise Date shall be the date set forth within ConfirmLogic, or in the absence thereof, </w:t>
      </w:r>
      <w:r>
        <w:rPr>
          <w:color w:val="000000"/>
        </w:rPr>
        <w:t>the penultimate NERC Business Day of the month prior to the delivery month for which the monthly option is being exercised</w:t>
      </w:r>
      <w:r>
        <w:rPr/>
        <w:t xml:space="preserve">.  </w:t>
      </w:r>
    </w:p>
    <w:p>
      <w:pPr>
        <w:pStyle w:val="Normal"/>
        <w:ind w:start="1080" w:end="0"/>
        <w:jc w:val="both"/>
        <w:rPr/>
      </w:pPr>
      <w:r>
        <w:rPr/>
      </w:r>
    </w:p>
    <w:p>
      <w:pPr>
        <w:pStyle w:val="Normal"/>
        <w:numPr>
          <w:ilvl w:val="1"/>
          <w:numId w:val="2"/>
        </w:numPr>
        <w:jc w:val="both"/>
        <w:rPr/>
      </w:pPr>
      <w:r>
        <w:rPr/>
        <w:t>Contact Information for exercise of Option:</w:t>
      </w:r>
    </w:p>
    <w:p>
      <w:pPr>
        <w:pStyle w:val="Normal"/>
        <w:jc w:val="both"/>
        <w:rPr/>
      </w:pPr>
      <w:r>
        <w:rPr/>
      </w:r>
    </w:p>
    <w:p>
      <w:pPr>
        <w:pStyle w:val="Normal"/>
        <w:numPr>
          <w:ilvl w:val="2"/>
          <w:numId w:val="2"/>
        </w:numPr>
        <w:jc w:val="both"/>
        <w:rPr/>
      </w:pPr>
      <w:r>
        <w:rPr/>
        <w:t>East</w:t>
      </w:r>
    </w:p>
    <w:p>
      <w:pPr>
        <w:pStyle w:val="Normal"/>
        <w:numPr>
          <w:ilvl w:val="3"/>
          <w:numId w:val="2"/>
        </w:numPr>
        <w:jc w:val="both"/>
        <w:rPr/>
      </w:pPr>
      <w:r>
        <w:rPr/>
        <w:t xml:space="preserve">Enron:  1-877-367-6601  </w:t>
      </w:r>
    </w:p>
    <w:p>
      <w:pPr>
        <w:pStyle w:val="Normal"/>
        <w:numPr>
          <w:ilvl w:val="3"/>
          <w:numId w:val="2"/>
        </w:numPr>
        <w:jc w:val="both"/>
        <w:rPr/>
      </w:pPr>
      <w:r>
        <w:rPr/>
        <w:t>Counterparty:</w:t>
      </w:r>
    </w:p>
    <w:p>
      <w:pPr>
        <w:pStyle w:val="Normal"/>
        <w:numPr>
          <w:ilvl w:val="2"/>
          <w:numId w:val="2"/>
        </w:numPr>
        <w:jc w:val="both"/>
        <w:rPr/>
      </w:pPr>
      <w:r>
        <w:rPr/>
        <w:t>West:</w:t>
      </w:r>
    </w:p>
    <w:p>
      <w:pPr>
        <w:pStyle w:val="Normal"/>
        <w:numPr>
          <w:ilvl w:val="3"/>
          <w:numId w:val="2"/>
        </w:numPr>
        <w:jc w:val="both"/>
        <w:rPr/>
      </w:pPr>
      <w:r>
        <w:rPr/>
        <w:t>Enron:  1-800-684-1336</w:t>
      </w:r>
    </w:p>
    <w:p>
      <w:pPr>
        <w:pStyle w:val="Normal"/>
        <w:numPr>
          <w:ilvl w:val="3"/>
          <w:numId w:val="2"/>
        </w:numPr>
        <w:jc w:val="both"/>
        <w:rPr/>
      </w:pPr>
      <w:r>
        <w:rPr/>
        <w:t>Counterparty:</w:t>
      </w:r>
    </w:p>
    <w:p>
      <w:pPr>
        <w:pStyle w:val="Normal"/>
        <w:ind w:start="2520" w:end="0"/>
        <w:jc w:val="both"/>
        <w:rPr/>
      </w:pPr>
      <w:r>
        <w:rPr/>
      </w:r>
    </w:p>
    <w:p>
      <w:pPr>
        <w:pStyle w:val="Normal"/>
        <w:numPr>
          <w:ilvl w:val="0"/>
          <w:numId w:val="2"/>
        </w:numPr>
        <w:jc w:val="both"/>
        <w:rPr/>
      </w:pPr>
      <w:r>
        <w:rPr>
          <w:b/>
          <w:bCs/>
        </w:rPr>
        <w:t>Floating Price Language</w:t>
      </w:r>
      <w:r>
        <w:rPr/>
        <w:t>.  The following provisions shall be deemed to be included within the Commodity Information for all Commodity Transactions that include a Floating Price:</w:t>
      </w:r>
    </w:p>
    <w:p>
      <w:pPr>
        <w:pStyle w:val="Normal"/>
        <w:ind w:start="360" w:end="0"/>
        <w:jc w:val="both"/>
        <w:rPr/>
      </w:pPr>
      <w:r>
        <w:rPr/>
      </w:r>
    </w:p>
    <w:p>
      <w:pPr>
        <w:pStyle w:val="Normal"/>
        <w:numPr>
          <w:ilvl w:val="1"/>
          <w:numId w:val="2"/>
        </w:numPr>
        <w:jc w:val="both"/>
        <w:rPr/>
      </w:pPr>
      <w:r>
        <w:rPr/>
        <w:t xml:space="preserve">Market Disruption.  If a Market Disruption Event has occurred and is continuing during the Determination Period, the Floating Price for the affected Trading Day shall be determined pursuant to the index specified in the Commodity Transaction for the </w:t>
      </w:r>
      <w:r>
        <w:rPr>
          <w:bCs/>
        </w:rPr>
        <w:t>first Trading Day thereafter on which no Market Disruption Event exists</w:t>
      </w:r>
      <w:r>
        <w:rPr/>
        <w:t xml:space="preserve">; </w:t>
      </w:r>
      <w:r>
        <w:rPr>
          <w:u w:val="single"/>
        </w:rPr>
        <w:t>provided</w:t>
      </w:r>
      <w:r>
        <w:rPr/>
        <w:t xml:space="preserve">, </w:t>
      </w:r>
      <w:r>
        <w:rPr>
          <w:u w:val="single"/>
        </w:rPr>
        <w:t>however</w:t>
      </w:r>
      <w:r>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ind w:start="1080" w:end="0"/>
        <w:jc w:val="both"/>
        <w:rPr/>
      </w:pPr>
      <w:r>
        <w:rPr/>
      </w:r>
    </w:p>
    <w:p>
      <w:pPr>
        <w:pStyle w:val="Normal"/>
        <w:numPr>
          <w:ilvl w:val="2"/>
          <w:numId w:val="2"/>
        </w:numPr>
        <w:jc w:val="both"/>
        <w:rPr/>
      </w:pPr>
      <w:r>
        <w:rPr/>
        <w:t>"</w:t>
      </w:r>
      <w:r>
        <w:rPr>
          <w:u w:val="single"/>
        </w:rPr>
        <w:t>Determination Period</w:t>
      </w:r>
      <w:r>
        <w:rPr/>
        <w:t>" means each calendar month during the Term of the relevant Commodity Transaction; provided that if the Term of the Commodity Transaction is less than one calendar month the Determination Period shall be the Term of the Commodity Transaction.</w:t>
      </w:r>
    </w:p>
    <w:p>
      <w:pPr>
        <w:pStyle w:val="Normal"/>
        <w:ind w:start="1980" w:end="0"/>
        <w:jc w:val="both"/>
        <w:rPr/>
      </w:pPr>
      <w:r>
        <w:rPr/>
      </w:r>
    </w:p>
    <w:p>
      <w:pPr>
        <w:pStyle w:val="Normal"/>
        <w:numPr>
          <w:ilvl w:val="2"/>
          <w:numId w:val="2"/>
        </w:numPr>
        <w:jc w:val="both"/>
        <w:rPr/>
      </w:pPr>
      <w:r>
        <w:rPr/>
        <w:t>"</w:t>
      </w:r>
      <w:r>
        <w:rPr>
          <w:u w:val="single"/>
        </w:rPr>
        <w:t>Floating Price</w:t>
      </w:r>
      <w:r>
        <w:rPr/>
        <w:t>" means the price specified in the Commodity Transaction as being based upon a specified index.</w:t>
      </w:r>
    </w:p>
    <w:p>
      <w:pPr>
        <w:pStyle w:val="Normal"/>
        <w:jc w:val="both"/>
        <w:rPr/>
      </w:pPr>
      <w:r>
        <w:rPr/>
      </w:r>
    </w:p>
    <w:p>
      <w:pPr>
        <w:pStyle w:val="Normal"/>
        <w:numPr>
          <w:ilvl w:val="2"/>
          <w:numId w:val="2"/>
        </w:numPr>
        <w:jc w:val="both"/>
        <w:rPr/>
      </w:pPr>
      <w:r>
        <w:rPr>
          <w:u w:val="single"/>
        </w:rPr>
        <w:t>"Market Disruption Event</w:t>
      </w:r>
      <w:r>
        <w:rPr/>
        <w:t>" means, with respect to an index, any of the following events (the existence of which shall be determined in good faith by Enron):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jc w:val="both"/>
        <w:rPr/>
      </w:pPr>
      <w:r>
        <w:rPr/>
      </w:r>
    </w:p>
    <w:p>
      <w:pPr>
        <w:pStyle w:val="Normal"/>
        <w:numPr>
          <w:ilvl w:val="2"/>
          <w:numId w:val="2"/>
        </w:numPr>
        <w:jc w:val="both"/>
        <w:rPr/>
      </w:pPr>
      <w:r>
        <w:rPr/>
        <w:t>"</w:t>
      </w:r>
      <w:r>
        <w:rPr>
          <w:u w:val="single"/>
        </w:rPr>
        <w:t>Trading Day</w:t>
      </w:r>
      <w:r>
        <w:rPr/>
        <w:t>" means a day in respect of which the relevant price source published the relevant price.</w:t>
      </w:r>
    </w:p>
    <w:p>
      <w:pPr>
        <w:pStyle w:val="Normal"/>
        <w:ind w:start="1980" w:end="0"/>
        <w:jc w:val="both"/>
        <w:rPr/>
      </w:pPr>
      <w:r>
        <w:rPr/>
      </w:r>
    </w:p>
    <w:p>
      <w:pPr>
        <w:pStyle w:val="Normal"/>
        <w:numPr>
          <w:ilvl w:val="1"/>
          <w:numId w:val="2"/>
        </w:numPr>
        <w:jc w:val="both"/>
        <w:rPr/>
      </w:pPr>
      <w:r>
        <w:rPr/>
        <w:t>Corrections to Published Prices</w:t>
      </w:r>
      <w:r>
        <w:rPr>
          <w:b/>
          <w:bCs/>
        </w:rPr>
        <w:t>.</w:t>
      </w:r>
      <w:r>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ind w:start="1080" w:end="0"/>
        <w:jc w:val="both"/>
        <w:rPr/>
      </w:pPr>
      <w:r>
        <w:rPr/>
      </w:r>
    </w:p>
    <w:p>
      <w:pPr>
        <w:pStyle w:val="Normal"/>
        <w:numPr>
          <w:ilvl w:val="1"/>
          <w:numId w:val="2"/>
        </w:numPr>
        <w:jc w:val="both"/>
        <w:rPr/>
      </w:pPr>
      <w:r>
        <w:rPr/>
        <w:t>Calculation of Floating Price.  For the purposes of the calculation of a Floating Price, all numbers shall be rounded to three (3) decimal places.  If the fourth (4</w:t>
      </w:r>
      <w:r>
        <w:rPr>
          <w:vertAlign w:val="superscript"/>
        </w:rPr>
        <w:t>th</w:t>
      </w:r>
      <w:r>
        <w:rPr/>
        <w:t>) decimal number is five (5) or greater, then the third (3</w:t>
      </w:r>
      <w:r>
        <w:rPr>
          <w:vertAlign w:val="superscript"/>
        </w:rPr>
        <w:t>rd</w:t>
      </w:r>
      <w:r>
        <w:rPr/>
        <w:t>) decimal number shall be increased by one (1), and if the fourth (4</w:t>
      </w:r>
      <w:r>
        <w:rPr>
          <w:vertAlign w:val="superscript"/>
        </w:rPr>
        <w:t>th</w:t>
      </w:r>
      <w:r>
        <w:rPr/>
        <w:t>) decimal number is less than five (5), then the third (3</w:t>
      </w:r>
      <w:r>
        <w:rPr>
          <w:vertAlign w:val="superscript"/>
        </w:rPr>
        <w:t>rd</w:t>
      </w:r>
      <w:r>
        <w:rPr/>
        <w:t>) decimal number shall remain unchanged.</w:t>
      </w:r>
    </w:p>
    <w:p>
      <w:pPr>
        <w:pStyle w:val="Normal"/>
        <w:ind w:start="360" w:end="0"/>
        <w:jc w:val="both"/>
        <w:rPr/>
      </w:pPr>
      <w:r>
        <w:rPr/>
      </w:r>
    </w:p>
    <w:p>
      <w:pPr>
        <w:pStyle w:val="Normal"/>
        <w:numPr>
          <w:ilvl w:val="0"/>
          <w:numId w:val="2"/>
        </w:numPr>
        <w:jc w:val="both"/>
        <w:rPr/>
      </w:pPr>
      <w:r>
        <w:rPr>
          <w:b/>
          <w:bCs/>
        </w:rPr>
        <w:t>Index Language</w:t>
      </w:r>
      <w:r>
        <w:rPr/>
        <w:t>.  For purposes of all Commodity Transactions that include a Floating Price, the term “Determination Period” shall mean a “Calculation Period” as such term is defined under any applicable agreement between the Parties hereto.  The following provisions shall be deemed to be included within the Commodity Information for all Commodity Transactions that include a Floating Price:</w:t>
      </w:r>
    </w:p>
    <w:p>
      <w:pPr>
        <w:pStyle w:val="Normal"/>
        <w:ind w:start="360" w:end="0"/>
        <w:jc w:val="both"/>
        <w:rPr/>
      </w:pPr>
      <w:r>
        <w:rPr/>
      </w:r>
    </w:p>
    <w:p>
      <w:pPr>
        <w:pStyle w:val="Normal"/>
        <w:numPr>
          <w:ilvl w:val="1"/>
          <w:numId w:val="2"/>
        </w:numPr>
        <w:jc w:val="both"/>
        <w:rPr/>
      </w:pPr>
      <w:r>
        <w:rPr/>
        <w:t>East:</w:t>
      </w:r>
    </w:p>
    <w:p>
      <w:pPr>
        <w:pStyle w:val="Normal"/>
        <w:spacing w:lineRule="atLeast" w:line="240"/>
        <w:rPr>
          <w:b/>
        </w:rPr>
      </w:pPr>
      <w:r>
        <w:rPr>
          <w:b/>
        </w:rPr>
      </w:r>
    </w:p>
    <w:p>
      <w:pPr>
        <w:pStyle w:val="Heading5"/>
        <w:spacing w:lineRule="atLeast" w:line="240"/>
        <w:ind w:hanging="0" w:start="1080" w:end="0"/>
        <w:rPr>
          <w:bCs/>
          <w:sz w:val="24"/>
          <w:szCs w:val="24"/>
        </w:rPr>
      </w:pPr>
      <w:r>
        <w:rPr>
          <w:bCs/>
          <w:sz w:val="24"/>
          <w:szCs w:val="24"/>
        </w:rPr>
        <w:t>ERCOT Zone North 2001</w:t>
      </w:r>
    </w:p>
    <w:p>
      <w:pPr>
        <w:pStyle w:val="Normal"/>
        <w:spacing w:lineRule="atLeast" w:line="240"/>
        <w:rPr>
          <w:bCs/>
          <w:sz w:val="24"/>
          <w:szCs w:val="24"/>
        </w:rPr>
      </w:pPr>
      <w:r>
        <w:rPr>
          <w:bCs/>
          <w:sz w:val="24"/>
          <w:szCs w:val="24"/>
        </w:rPr>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North 2001" for electricity delivered during the applicable hours for the applicable Determination Period.</w:t>
      </w:r>
      <w:r>
        <w:rPr/>
        <w:fldChar w:fldCharType="end"/>
      </w:r>
    </w:p>
    <w:p>
      <w:pPr>
        <w:pStyle w:val="Normal"/>
        <w:spacing w:lineRule="atLeast" w:line="240"/>
        <w:ind w:start="1080" w:end="0"/>
        <w:rPr/>
      </w:pPr>
      <w:r>
        <w:rPr/>
      </w:r>
    </w:p>
    <w:p>
      <w:pPr>
        <w:pStyle w:val="Heading5"/>
        <w:spacing w:lineRule="atLeast" w:line="240"/>
        <w:ind w:hanging="0" w:start="1080" w:end="0"/>
        <w:rPr>
          <w:bCs/>
          <w:sz w:val="24"/>
          <w:szCs w:val="24"/>
        </w:rPr>
      </w:pPr>
      <w:r>
        <w:rPr>
          <w:bCs/>
          <w:sz w:val="24"/>
          <w:szCs w:val="24"/>
        </w:rPr>
        <w:t>ERCOT Zone South 2001</w:t>
      </w:r>
    </w:p>
    <w:p>
      <w:pPr>
        <w:pStyle w:val="Normal"/>
        <w:spacing w:lineRule="atLeast" w:line="240"/>
        <w:rPr>
          <w:bCs/>
          <w:sz w:val="24"/>
          <w:szCs w:val="24"/>
        </w:rPr>
      </w:pPr>
      <w:r>
        <w:rPr>
          <w:bCs/>
          <w:sz w:val="24"/>
          <w:szCs w:val="24"/>
        </w:rPr>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South 2001" for electricity delivered during the applicable hours for the applicable Determination Period.</w:t>
      </w:r>
      <w:r>
        <w:rPr/>
        <w:fldChar w:fldCharType="end"/>
      </w:r>
    </w:p>
    <w:p>
      <w:pPr>
        <w:pStyle w:val="Normal"/>
        <w:spacing w:lineRule="atLeast" w:line="240"/>
        <w:ind w:start="1080" w:end="0"/>
        <w:rPr/>
      </w:pPr>
      <w:r>
        <w:rPr/>
      </w:r>
    </w:p>
    <w:p>
      <w:pPr>
        <w:pStyle w:val="Heading5"/>
        <w:spacing w:lineRule="atLeast" w:line="240"/>
        <w:ind w:hanging="0" w:start="1080" w:end="0"/>
        <w:rPr>
          <w:bCs/>
          <w:sz w:val="24"/>
          <w:szCs w:val="24"/>
        </w:rPr>
      </w:pPr>
      <w:r>
        <w:rPr>
          <w:bCs/>
          <w:sz w:val="24"/>
          <w:szCs w:val="24"/>
        </w:rPr>
        <w:t>ERCOT Zone West 2001</w:t>
      </w:r>
    </w:p>
    <w:p>
      <w:pPr>
        <w:pStyle w:val="Normal"/>
        <w:spacing w:lineRule="atLeast" w:line="240"/>
        <w:rPr>
          <w:bCs/>
          <w:sz w:val="24"/>
          <w:szCs w:val="24"/>
        </w:rPr>
      </w:pPr>
      <w:r>
        <w:rPr>
          <w:bCs/>
          <w:sz w:val="24"/>
          <w:szCs w:val="24"/>
        </w:rPr>
      </w:r>
    </w:p>
    <w:p>
      <w:pPr>
        <w:pStyle w:val="Normal"/>
        <w:spacing w:lineRule="atLeast" w:line="240"/>
        <w:ind w:start="1080" w:end="0"/>
        <w:rPr/>
      </w:pPr>
      <w:r>
        <w:rPr/>
        <w:fldChar w:fldCharType="begin"/>
      </w:r>
      <w:r>
        <w:rPr/>
        <w:instrText xml:space="preserve"> MERGEFIELD FloatPrice </w:instrText>
      </w:r>
      <w:r>
        <w:rPr/>
        <w:fldChar w:fldCharType="separate"/>
      </w:r>
      <w:r>
        <w:rPr/>
        <w:t>The average of the quarterly hour prices as published by the Electric Reliability Council of Texas, Inc. (“ERCOT”) on ERCOT's official web site currently located at http://mospublic.ercot.com/ercot/jsp/balancing_services_mcp.jsp, or any successor thereto, under the heading “Balancing Services MCP"; "Zone West 2001" for electricity delivered during the applicable hours for the applicable Determination Period.</w:t>
      </w:r>
      <w:r>
        <w:rPr/>
        <w:fldChar w:fldCharType="end"/>
      </w:r>
    </w:p>
    <w:p>
      <w:pPr>
        <w:pStyle w:val="Normal"/>
        <w:spacing w:lineRule="atLeast" w:line="240"/>
        <w:ind w:start="1080" w:end="0"/>
        <w:rPr>
          <w:b/>
        </w:rPr>
      </w:pPr>
      <w:r>
        <w:rPr>
          <w:b/>
        </w:rPr>
      </w:r>
    </w:p>
    <w:p>
      <w:pPr>
        <w:pStyle w:val="BodyText"/>
        <w:ind w:start="1080" w:end="0"/>
        <w:jc w:val="both"/>
        <w:rPr>
          <w:b/>
          <w:sz w:val="24"/>
        </w:rPr>
      </w:pPr>
      <w:r>
        <w:rPr>
          <w:b/>
          <w:sz w:val="24"/>
        </w:rPr>
        <w:t>Megawatt Daily Index Daily</w:t>
      </w:r>
    </w:p>
    <w:p>
      <w:pPr>
        <w:pStyle w:val="BodyText"/>
        <w:ind w:start="1080" w:end="0"/>
        <w:jc w:val="both"/>
        <w:rPr>
          <w:b/>
          <w:sz w:val="24"/>
        </w:rPr>
      </w:pPr>
      <w:r>
        <w:rPr>
          <w:b/>
          <w:sz w:val="24"/>
        </w:rPr>
      </w:r>
    </w:p>
    <w:p>
      <w:pPr>
        <w:pStyle w:val="Normal"/>
        <w:ind w:start="1080" w:end="0"/>
        <w:jc w:val="both"/>
        <w:rPr/>
      </w:pPr>
      <w:r>
        <w:rPr/>
        <w:t xml:space="preserve">The hourly-weighted average of the daily prices as published in Megawatt Daily’s Market Report under the headings "Trades for Standard 16-Hour Daily Products; Weighted Average Index; </w:t>
      </w:r>
      <w:r>
        <w:rPr>
          <w:highlight w:val="yellow"/>
        </w:rPr>
        <w:t>[Delivery Point]</w:t>
      </w:r>
      <w:r>
        <w:rPr/>
        <w:t>" for electricity delivered during the applicable hours for the applicable Determination Period.</w:t>
      </w:r>
    </w:p>
    <w:p>
      <w:pPr>
        <w:pStyle w:val="Normal"/>
        <w:ind w:start="1080" w:end="0"/>
        <w:jc w:val="both"/>
        <w:rPr/>
      </w:pPr>
      <w:r>
        <w:rPr/>
      </w:r>
    </w:p>
    <w:p>
      <w:pPr>
        <w:pStyle w:val="BodyText"/>
        <w:ind w:start="1080" w:end="0"/>
        <w:jc w:val="both"/>
        <w:rPr>
          <w:b/>
          <w:sz w:val="24"/>
        </w:rPr>
      </w:pPr>
      <w:r>
        <w:rPr>
          <w:b/>
          <w:sz w:val="24"/>
        </w:rPr>
        <w:t>Megawatt Daily Index Forward</w:t>
      </w:r>
    </w:p>
    <w:p>
      <w:pPr>
        <w:pStyle w:val="BodyText"/>
        <w:ind w:start="1080" w:end="0"/>
        <w:jc w:val="both"/>
        <w:rPr>
          <w:b/>
          <w:sz w:val="24"/>
        </w:rPr>
      </w:pPr>
      <w:r>
        <w:rPr>
          <w:b/>
          <w:sz w:val="24"/>
        </w:rPr>
      </w:r>
    </w:p>
    <w:p>
      <w:pPr>
        <w:pStyle w:val="Normal"/>
        <w:ind w:start="1080" w:end="0"/>
        <w:jc w:val="both"/>
        <w:rPr/>
      </w:pPr>
      <w:r>
        <w:rPr/>
        <w:t>The hourly-weighted average of the average of the daily high and low prices as published in Megawatt Daily’s Market Report under the headings "Trades for Standard Forward Products; [</w:t>
      </w:r>
      <w:r>
        <w:rPr>
          <w:highlight w:val="yellow"/>
        </w:rPr>
        <w:t>BOW/Next Week/Prompt Month, as applicable</w:t>
      </w:r>
      <w:r>
        <w:rPr/>
        <w:t>]; Low; and High; [</w:t>
      </w:r>
      <w:r>
        <w:rPr>
          <w:highlight w:val="yellow"/>
        </w:rPr>
        <w:t>Delivery Point</w:t>
      </w:r>
      <w:r>
        <w:rPr/>
        <w:t>]" for electricity delivered during the applicable hours for the applicable Determination Period,</w:t>
      </w:r>
    </w:p>
    <w:p>
      <w:pPr>
        <w:pStyle w:val="Normal"/>
        <w:ind w:start="1080" w:end="0"/>
        <w:jc w:val="both"/>
        <w:rPr>
          <w:b/>
        </w:rPr>
      </w:pPr>
      <w:r>
        <w:rPr>
          <w:b/>
        </w:rPr>
      </w:r>
    </w:p>
    <w:p>
      <w:pPr>
        <w:pStyle w:val="Heading2"/>
        <w:ind w:hanging="0" w:start="1080" w:end="0"/>
        <w:jc w:val="both"/>
        <w:rPr>
          <w:rFonts w:ascii="Times New Roman" w:hAnsi="Times New Roman" w:cs="Times New Roman"/>
          <w:lang w:val="en-CA" w:eastAsia="en-CA"/>
        </w:rPr>
      </w:pPr>
      <w:r>
        <w:rPr>
          <w:rFonts w:cs="Times New Roman" w:ascii="Times New Roman" w:hAnsi="Times New Roman"/>
          <w:lang w:val="en-CA" w:eastAsia="en-CA"/>
        </w:rPr>
        <w:t>New England Power Pool</w:t>
      </w:r>
    </w:p>
    <w:p>
      <w:pPr>
        <w:pStyle w:val="Normal"/>
        <w:ind w:start="1080" w:end="0"/>
        <w:jc w:val="both"/>
        <w:rPr>
          <w:rFonts w:ascii="Times New Roman" w:hAnsi="Times New Roman" w:cs="Times New Roman"/>
          <w:lang w:val="en-CA" w:eastAsia="en-CA"/>
        </w:rPr>
      </w:pPr>
      <w:r>
        <w:rPr>
          <w:rFonts w:cs="Times New Roman"/>
          <w:lang w:val="en-CA" w:eastAsia="en-CA"/>
        </w:rPr>
      </w:r>
    </w:p>
    <w:p>
      <w:pPr>
        <w:pStyle w:val="Normal"/>
        <w:ind w:start="1080" w:end="0"/>
        <w:jc w:val="both"/>
        <w:rPr/>
      </w:pPr>
      <w:r>
        <w:rPr/>
        <w:t xml:space="preserve">The hourly-weighted average of the hourly prices as published by the ISO New England Inc. on its official web site currently located at </w:t>
      </w:r>
      <w:hyperlink r:id="rId3">
        <w:r>
          <w:rPr>
            <w:rStyle w:val="Hyperlink"/>
          </w:rPr>
          <w:t>http://iso-ne.com/market_info/</w:t>
        </w:r>
      </w:hyperlink>
      <w:r>
        <w:rPr/>
        <w:t>, or any successor thereto, under the headings “Hourly Clearing Prices:  Energy” for electricity delivered  during the applicable hours for the applicable  Determination Period.</w:t>
      </w:r>
    </w:p>
    <w:p>
      <w:pPr>
        <w:pStyle w:val="Normal"/>
        <w:spacing w:lineRule="atLeast" w:line="240"/>
        <w:ind w:start="1080" w:end="0"/>
        <w:jc w:val="both"/>
        <w:rPr>
          <w:b/>
        </w:rPr>
      </w:pPr>
      <w:r>
        <w:rPr>
          <w:b/>
        </w:rPr>
      </w:r>
    </w:p>
    <w:p>
      <w:pPr>
        <w:pStyle w:val="Heading2"/>
        <w:ind w:hanging="0" w:start="1080" w:end="0"/>
        <w:jc w:val="both"/>
        <w:rPr>
          <w:rFonts w:ascii="Times New Roman" w:hAnsi="Times New Roman" w:cs="Times New Roman"/>
        </w:rPr>
      </w:pPr>
      <w:r>
        <w:rPr>
          <w:rFonts w:cs="Times New Roman" w:ascii="Times New Roman" w:hAnsi="Times New Roman"/>
        </w:rPr>
        <w:t>NY Zone A (WEST) Time Weighted Real Time</w:t>
      </w:r>
    </w:p>
    <w:p>
      <w:pPr>
        <w:pStyle w:val="Normal"/>
        <w:ind w:start="1080" w:end="0"/>
        <w:jc w:val="both"/>
        <w:rPr>
          <w:rFonts w:ascii="Times New Roman" w:hAnsi="Times New Roman" w:cs="Times New Roman"/>
        </w:rPr>
      </w:pPr>
      <w:r>
        <w:rPr>
          <w:rFonts w:cs="Times New Roman"/>
        </w:rPr>
      </w:r>
    </w:p>
    <w:p>
      <w:pPr>
        <w:pStyle w:val="Normal"/>
        <w:ind w:start="1080" w:end="0"/>
        <w:jc w:val="both"/>
        <w:rPr/>
      </w:pP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West (61752)” (Zone A)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NY Zone A (WEST)</w:t>
      </w:r>
    </w:p>
    <w:p>
      <w:pPr>
        <w:pStyle w:val="Normal"/>
        <w:ind w:start="1080" w:end="0"/>
        <w:jc w:val="both"/>
        <w:rPr>
          <w:b/>
          <w:bCs/>
        </w:rPr>
      </w:pPr>
      <w:r>
        <w:rPr>
          <w:b/>
          <w:bCs/>
        </w:rPr>
      </w:r>
    </w:p>
    <w:p>
      <w:pPr>
        <w:pStyle w:val="Normal"/>
        <w:ind w:start="1080" w:end="0"/>
        <w:jc w:val="both"/>
        <w:rPr/>
      </w:pPr>
      <w:r>
        <w:rPr/>
        <w:t xml:space="preserve">The hourly-weighted average of the hourly day-ahead prices as published by the New York Independent System Operator (the “NYISO”) on the NYISO’s official web site currently located at </w:t>
      </w:r>
      <w:hyperlink r:id="rId4">
        <w:r>
          <w:rPr>
            <w:rStyle w:val="Hyperlink"/>
          </w:rPr>
          <w:t xml:space="preserve"> www.nyiso.com/oasis/index.html</w:t>
        </w:r>
      </w:hyperlink>
      <w:r>
        <w:rPr/>
        <w:t>, or any successor thereto, under the headings “Day Ahead Market LBMP – Zonal; LBMP ($/MWHr); West (61752)” (Zone A) for electricity delivered during the applicable hours for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rPr>
      </w:pPr>
      <w:r>
        <w:rPr>
          <w:rFonts w:cs="Times New Roman" w:ascii="Times New Roman" w:hAnsi="Times New Roman"/>
        </w:rPr>
        <w:t>NY Zone G (HUD-VL) Time Weighted Real Time</w:t>
      </w:r>
    </w:p>
    <w:p>
      <w:pPr>
        <w:pStyle w:val="Normal"/>
        <w:ind w:start="1080" w:end="0"/>
        <w:jc w:val="both"/>
        <w:rPr>
          <w:rFonts w:ascii="Times New Roman" w:hAnsi="Times New Roman" w:cs="Times New Roman"/>
        </w:rPr>
      </w:pPr>
      <w:r>
        <w:rPr>
          <w:rFonts w:cs="Times New Roman"/>
        </w:rPr>
      </w:r>
    </w:p>
    <w:p>
      <w:pPr>
        <w:pStyle w:val="Normal"/>
        <w:ind w:start="1080" w:end="0"/>
        <w:jc w:val="both"/>
        <w:rPr/>
      </w:pP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HUD VL (61758)” (Zone G)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NY Zone G (HUD VL)</w:t>
      </w:r>
    </w:p>
    <w:p>
      <w:pPr>
        <w:pStyle w:val="Normal"/>
        <w:ind w:start="1080" w:end="0"/>
        <w:jc w:val="both"/>
        <w:rPr>
          <w:b/>
          <w:bCs/>
        </w:rPr>
      </w:pPr>
      <w:r>
        <w:rPr>
          <w:b/>
          <w:bCs/>
        </w:rPr>
      </w:r>
    </w:p>
    <w:p>
      <w:pPr>
        <w:pStyle w:val="Normal"/>
        <w:ind w:start="1080" w:end="0"/>
        <w:jc w:val="both"/>
        <w:rPr/>
      </w:pPr>
      <w:r>
        <w:rPr/>
        <w:t xml:space="preserve">The hourly-weighted average of the hourly day-ahead prices as published by the New York Independent System Operator (the “NYISO”) on the NYISO’s official web site currently located at </w:t>
      </w:r>
      <w:hyperlink r:id="rId5">
        <w:r>
          <w:rPr>
            <w:rStyle w:val="Hyperlink"/>
          </w:rPr>
          <w:t>http://www.nyiso/oasis/index.html</w:t>
        </w:r>
      </w:hyperlink>
      <w:r>
        <w:rPr/>
        <w:t>, or any successor thereto, under the headings “Day Ahead Market LBMP – Zonal; LBMP ($/MWHr); HUD VL (61758)” (Zone G) for electricity delivered during the applicable hours for the applicable Determination Period.</w:t>
      </w:r>
    </w:p>
    <w:p>
      <w:pPr>
        <w:pStyle w:val="Normal"/>
        <w:ind w:start="1080" w:end="0"/>
        <w:jc w:val="both"/>
        <w:rPr/>
      </w:pPr>
      <w:r>
        <w:rPr/>
      </w:r>
    </w:p>
    <w:p>
      <w:pPr>
        <w:pStyle w:val="Normal"/>
        <w:ind w:start="1080" w:end="0"/>
        <w:jc w:val="both"/>
        <w:rPr>
          <w:b/>
          <w:bCs/>
        </w:rPr>
      </w:pPr>
      <w:r>
        <w:rPr>
          <w:b/>
          <w:bCs/>
        </w:rPr>
        <w:t xml:space="preserve">NYISO ZONE J </w:t>
      </w:r>
    </w:p>
    <w:p>
      <w:pPr>
        <w:pStyle w:val="Normal"/>
        <w:ind w:start="1080" w:end="0"/>
        <w:jc w:val="both"/>
        <w:rPr>
          <w:b/>
          <w:bCs/>
        </w:rPr>
      </w:pPr>
      <w:r>
        <w:rPr>
          <w:b/>
          <w:bCs/>
        </w:rPr>
      </w:r>
    </w:p>
    <w:p>
      <w:pPr>
        <w:pStyle w:val="Normal"/>
        <w:ind w:start="1080" w:end="0"/>
        <w:jc w:val="both"/>
        <w:rPr/>
      </w:pPr>
      <w:r>
        <w:rPr/>
        <w:fldChar w:fldCharType="begin"/>
      </w:r>
      <w:r>
        <w:rPr/>
        <w:instrText xml:space="preserve"> MERGEFIELD FloatPrice </w:instrText>
      </w:r>
      <w:r>
        <w:rPr/>
        <w:fldChar w:fldCharType="separate"/>
      </w:r>
      <w:r>
        <w:rPr/>
        <w:t>The hourly-weighted average of the hourly day-ahead prices as published by the New York Independent System Operator (the “NYISO”) on the NYISO’s official web site currently located at http:// www.nyiso.com/oasis/index.html, or any successor thereto, under the headings “Day Ahead Market LBMP - Zonal; LBMP ($/MWHr); N.Y.C. (61761)" (Zone J) for electricity delivered during the applicable hours for the applicable Determination Period.</w:t>
      </w:r>
      <w:r>
        <w:rPr/>
        <w:fldChar w:fldCharType="end"/>
      </w:r>
      <w:r>
        <w:rPr>
          <w:b/>
          <w:bCs/>
        </w:rPr>
        <w:t>NYISO ZONE J  Time Weighted Real Time Index:</w:t>
      </w:r>
    </w:p>
    <w:p>
      <w:pPr>
        <w:pStyle w:val="Normal"/>
        <w:ind w:start="1080" w:end="0"/>
        <w:jc w:val="both"/>
        <w:rPr>
          <w:b/>
          <w:bCs/>
        </w:rPr>
      </w:pPr>
      <w:r>
        <w:rPr>
          <w:b/>
          <w:bCs/>
        </w:rPr>
      </w:r>
    </w:p>
    <w:p>
      <w:pPr>
        <w:pStyle w:val="Normal"/>
        <w:ind w:start="1080" w:end="0"/>
        <w:jc w:val="both"/>
        <w:rPr/>
      </w:pPr>
      <w:r>
        <w:rPr/>
        <w:fldChar w:fldCharType="begin"/>
      </w:r>
      <w:r>
        <w:rPr/>
        <w:instrText xml:space="preserve"> MERGEFIELD FloatPrice </w:instrText>
      </w:r>
      <w:r>
        <w:rPr/>
        <w:fldChar w:fldCharType="separate"/>
      </w:r>
      <w:r>
        <w:rPr/>
        <w:t>The hourly-weighted average of the hourly prices as published by the New York Independent System Operator (the “NYISO”) on the NYISO’s official web site currently located at http://www.nyiso.com/oasis/index.html, or any successor thereto, under the headings “Balancing Market Advisory Information; Time Weighted/Integrated Real Time Market LBMP - Zonal; LBMP ($/MWHr); N.Y.C. (61761)” (Zone J) for the applicable hours during the applicable Determination Period.</w:t>
      </w:r>
      <w:r>
        <w:rPr/>
        <w:fldChar w:fldCharType="end"/>
      </w:r>
    </w:p>
    <w:p>
      <w:pPr>
        <w:pStyle w:val="Normal"/>
        <w:ind w:start="1080" w:end="0"/>
        <w:jc w:val="both"/>
        <w:rPr/>
      </w:pPr>
      <w:r>
        <w:rPr/>
      </w:r>
    </w:p>
    <w:p>
      <w:pPr>
        <w:pStyle w:val="Normal"/>
        <w:spacing w:lineRule="atLeast" w:line="240"/>
        <w:ind w:start="1080" w:end="0"/>
        <w:jc w:val="both"/>
        <w:rPr>
          <w:color w:val="000000"/>
        </w:rPr>
      </w:pPr>
      <w:r>
        <w:rPr>
          <w:b/>
        </w:rPr>
        <w:t>PJM On-Peak (Western Hub) Day Ahead</w:t>
      </w:r>
    </w:p>
    <w:p>
      <w:pPr>
        <w:pStyle w:val="Normal"/>
        <w:ind w:start="1080" w:end="0"/>
        <w:jc w:val="both"/>
        <w:rPr>
          <w:color w:val="000000"/>
        </w:rPr>
      </w:pPr>
      <w:r>
        <w:rPr>
          <w:color w:val="000000"/>
        </w:rPr>
      </w:r>
    </w:p>
    <w:p>
      <w:pPr>
        <w:pStyle w:val="Normal"/>
        <w:ind w:start="1080" w:end="0"/>
        <w:jc w:val="both"/>
        <w:rPr/>
      </w:pPr>
      <w:r>
        <w:rPr/>
        <w:t xml:space="preserve">The hourly-weighted average of the hourly prices </w:t>
      </w:r>
      <w:r>
        <w:rPr>
          <w:color w:val="000000"/>
          <w:szCs w:val="22"/>
        </w:rPr>
        <w:t xml:space="preserve">as published by PJM Interconnection, LLC (“PJM”) on PJM’s official web site currently located at </w:t>
      </w:r>
      <w:r>
        <w:rPr/>
        <w:t xml:space="preserve">https://emrkt.pjm.com/mkt/public/mkt_gui.showframes, or any successor thereto, under the headings "Prices; Day Ahead Prices by Portfolio Hubs; Western Hub"  for electricity delivered during the applicable hours for the applicable Determination Period.  </w:t>
      </w:r>
    </w:p>
    <w:p>
      <w:pPr>
        <w:pStyle w:val="Normal"/>
        <w:ind w:start="1080" w:end="0"/>
        <w:jc w:val="both"/>
        <w:rPr>
          <w:b/>
        </w:rPr>
      </w:pPr>
      <w:r>
        <w:rPr>
          <w:b/>
        </w:rPr>
      </w:r>
    </w:p>
    <w:p>
      <w:pPr>
        <w:pStyle w:val="Normal"/>
        <w:ind w:start="1080" w:end="0"/>
        <w:jc w:val="both"/>
        <w:rPr>
          <w:b/>
        </w:rPr>
      </w:pPr>
      <w:r>
        <w:rPr>
          <w:b/>
        </w:rPr>
        <w:t>PJM On-Peak (Western Hub) Real Time</w:t>
      </w:r>
    </w:p>
    <w:p>
      <w:pPr>
        <w:pStyle w:val="Normal"/>
        <w:spacing w:lineRule="atLeast" w:line="240"/>
        <w:ind w:start="1080" w:end="0"/>
        <w:jc w:val="both"/>
        <w:rPr>
          <w:color w:val="000000"/>
        </w:rPr>
      </w:pPr>
      <w:r>
        <w:rPr>
          <w:color w:val="000000"/>
        </w:rPr>
      </w:r>
    </w:p>
    <w:p>
      <w:pPr>
        <w:pStyle w:val="Normal"/>
        <w:spacing w:lineRule="atLeast" w:line="240"/>
        <w:ind w:start="1080" w:end="0"/>
        <w:jc w:val="both"/>
        <w:rPr/>
      </w:pPr>
      <w:r>
        <w:rPr>
          <w:color w:val="000000"/>
        </w:rPr>
        <w:t xml:space="preserve">The hourly-weighted average of the hourly prices as published by PJM Interconnection, LLC (“PJM”) on PJM’s official web site currently located at </w:t>
      </w:r>
      <w:r>
        <w:rPr>
          <w:color w:val="000000"/>
          <w:u w:val="single"/>
        </w:rPr>
        <w:t>ftp://www.pjm.com/pub/account/lmp/index.html</w:t>
      </w:r>
      <w:r>
        <w:rPr>
          <w:color w:val="000000"/>
        </w:rPr>
        <w:t xml:space="preserve">, or any successor thereto, under the headings “PJM – Daily Real-Time Locational Marginal Pricing Files; </w:t>
      </w:r>
      <w:r>
        <w:rPr>
          <w:color w:val="000000"/>
          <w:highlight w:val="yellow"/>
        </w:rPr>
        <w:t>Western Hub</w:t>
      </w:r>
      <w:r>
        <w:rPr>
          <w:color w:val="000000"/>
        </w:rPr>
        <w:t xml:space="preserve">” for electricity delivered during the applicable hours for the applicable Determination Period. </w:t>
      </w:r>
    </w:p>
    <w:p>
      <w:pPr>
        <w:pStyle w:val="Normal"/>
        <w:spacing w:lineRule="atLeast" w:line="240"/>
        <w:ind w:start="1080" w:end="0"/>
        <w:jc w:val="both"/>
        <w:rPr>
          <w:color w:val="000000"/>
        </w:rPr>
      </w:pPr>
      <w:r>
        <w:rPr>
          <w:color w:val="000000"/>
        </w:rPr>
      </w:r>
    </w:p>
    <w:p>
      <w:pPr>
        <w:pStyle w:val="Normal"/>
        <w:numPr>
          <w:ilvl w:val="1"/>
          <w:numId w:val="2"/>
        </w:numPr>
        <w:spacing w:lineRule="atLeast" w:line="240"/>
        <w:jc w:val="both"/>
        <w:rPr>
          <w:color w:val="000000"/>
        </w:rPr>
      </w:pPr>
      <w:r>
        <w:rPr>
          <w:color w:val="000000"/>
        </w:rPr>
        <w:t>West:</w:t>
      </w:r>
    </w:p>
    <w:p>
      <w:pPr>
        <w:pStyle w:val="Normal"/>
        <w:spacing w:lineRule="atLeast" w:line="240"/>
        <w:ind w:start="1080" w:end="0"/>
        <w:jc w:val="both"/>
        <w:rPr>
          <w:color w:val="000000"/>
        </w:rPr>
      </w:pPr>
      <w:r>
        <w:rPr>
          <w:color w:val="000000"/>
        </w:rPr>
      </w:r>
    </w:p>
    <w:p>
      <w:pPr>
        <w:pStyle w:val="Heading5"/>
        <w:ind w:hanging="0" w:start="1080" w:end="0"/>
        <w:jc w:val="both"/>
        <w:rPr/>
      </w:pPr>
      <w:r>
        <w:rPr/>
        <w:t>COB On-Peak</w:t>
      </w:r>
    </w:p>
    <w:p>
      <w:pPr>
        <w:pStyle w:val="Normal"/>
        <w:rPr/>
      </w:pPr>
      <w:r>
        <w:rPr/>
      </w:r>
    </w:p>
    <w:p>
      <w:pPr>
        <w:pStyle w:val="BodyText"/>
        <w:ind w:start="1080" w:end="0"/>
        <w:jc w:val="both"/>
        <w:rPr>
          <w:sz w:val="24"/>
        </w:rPr>
      </w:pPr>
      <w:r>
        <w:rPr>
          <w:sz w:val="24"/>
        </w:rPr>
        <w:t>The average of the daily day-ahead prices listed in the Dow Jones California/Oregon Border Electricity Price Index entitled “DJ-COB Daily Index: Firm On-Peak: Index” as published by Dow Jones Telerate (Telerate page 38420) for electricity delivered during On-Peak Hours during the applicable Determination Period.</w:t>
      </w:r>
    </w:p>
    <w:p>
      <w:pPr>
        <w:pStyle w:val="BodyText"/>
        <w:ind w:start="1080" w:end="0"/>
        <w:jc w:val="both"/>
        <w:rPr>
          <w:sz w:val="24"/>
        </w:rPr>
      </w:pPr>
      <w:r>
        <w:rPr>
          <w:sz w:val="24"/>
        </w:rPr>
      </w:r>
    </w:p>
    <w:p>
      <w:pPr>
        <w:pStyle w:val="Heading9"/>
        <w:rPr/>
      </w:pPr>
      <w:r>
        <w:rPr/>
        <w:t>COB Combined (i) Off-Peak with (ii) Sunday Index</w:t>
      </w:r>
    </w:p>
    <w:p>
      <w:pPr>
        <w:pStyle w:val="Normal"/>
        <w:ind w:start="1080" w:end="0"/>
        <w:jc w:val="both"/>
        <w:rPr>
          <w:b/>
          <w:bCs/>
        </w:rPr>
      </w:pPr>
      <w:r>
        <w:rPr>
          <w:b/>
          <w:bCs/>
        </w:rPr>
      </w:r>
    </w:p>
    <w:p>
      <w:pPr>
        <w:pStyle w:val="Normal"/>
        <w:ind w:start="1080" w:end="0"/>
        <w:jc w:val="both"/>
        <w:rPr/>
      </w:pPr>
      <w:r>
        <w:rPr/>
        <w:t>The hourly-weighted average of (i) the average of the daily day-ahead prices listed in the Dow Jones California/Oregon Border Electricity Price Index entitled “DJ-COB Daily Index: Firm Off-Peak: Index” as published by Dow Jones Telerate (Telerate page 38420) for electricity delivered during Off-Peak Hours on a day that is a Monday through Saturday, excluding NERC holidays, during the applicable Determination Period and (ii) the average of the daily day-ahead prices listed in the Dow Jones California/Oregon Border Electricity Price Index entitled the “DJ COB Sunday &amp; NERC Holidays 24 Hour Firm Index” as published by the Dow Jones Telerate (Telerate page 38420) for electricity delivered during Off-Peak Hours on each day that is a Sunday or NERC holiday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lang w:val="en-CA" w:eastAsia="en-CA"/>
        </w:rPr>
      </w:pPr>
      <w:r>
        <w:rPr>
          <w:rFonts w:cs="Times New Roman" w:ascii="Times New Roman" w:hAnsi="Times New Roman"/>
          <w:lang w:val="en-CA" w:eastAsia="en-CA"/>
        </w:rPr>
        <w:t>Last 3 Day Avg. for COB NYMEX Contract</w:t>
      </w:r>
    </w:p>
    <w:p>
      <w:pPr>
        <w:pStyle w:val="Normal"/>
        <w:ind w:start="1080" w:end="0"/>
        <w:jc w:val="both"/>
        <w:rPr>
          <w:rFonts w:ascii="Times New Roman" w:hAnsi="Times New Roman" w:cs="Times New Roman"/>
          <w:lang w:val="en-CA" w:eastAsia="en-CA"/>
        </w:rPr>
      </w:pPr>
      <w:r>
        <w:rPr>
          <w:rFonts w:cs="Times New Roman"/>
          <w:lang w:val="en-CA" w:eastAsia="en-CA"/>
        </w:rPr>
      </w:r>
    </w:p>
    <w:p>
      <w:pPr>
        <w:pStyle w:val="Normal"/>
        <w:ind w:start="1080" w:end="0"/>
        <w:jc w:val="both"/>
        <w:rPr/>
      </w:pPr>
      <w:r>
        <w:rPr/>
        <w:t>The average of the daily settlement prices for the last three (3) scheduled Trading Days of the NYMEX COB Electricity Futures Contract for the applicable Determination Period.</w:t>
      </w:r>
    </w:p>
    <w:p>
      <w:pPr>
        <w:pStyle w:val="Normal"/>
        <w:ind w:start="1080" w:end="0"/>
        <w:jc w:val="both"/>
        <w:rPr/>
      </w:pPr>
      <w:r>
        <w:rPr/>
      </w:r>
    </w:p>
    <w:p>
      <w:pPr>
        <w:pStyle w:val="Heading2"/>
        <w:ind w:hanging="0" w:start="1080" w:end="0"/>
        <w:jc w:val="both"/>
        <w:rPr/>
      </w:pPr>
      <w:r>
        <w:rPr>
          <w:rFonts w:cs="Times New Roman" w:ascii="Times New Roman" w:hAnsi="Times New Roman"/>
        </w:rPr>
        <w:t>Mid-Columbia</w:t>
      </w:r>
      <w:r>
        <w:rPr/>
        <w:t xml:space="preserve"> </w:t>
      </w:r>
      <w:r>
        <w:rPr>
          <w:rFonts w:cs="Times New Roman" w:ascii="Times New Roman" w:hAnsi="Times New Roman"/>
        </w:rPr>
        <w:t>On-Peak</w:t>
      </w:r>
    </w:p>
    <w:p>
      <w:pPr>
        <w:pStyle w:val="Normal"/>
        <w:rPr>
          <w:rFonts w:ascii="Times New Roman" w:hAnsi="Times New Roman" w:cs="Times New Roman"/>
        </w:rPr>
      </w:pPr>
      <w:r>
        <w:rPr>
          <w:rFonts w:cs="Times New Roman"/>
        </w:rPr>
      </w:r>
    </w:p>
    <w:p>
      <w:pPr>
        <w:pStyle w:val="Normal"/>
        <w:ind w:start="1080" w:end="0"/>
        <w:jc w:val="both"/>
        <w:rPr/>
      </w:pPr>
      <w:r>
        <w:rPr/>
        <w:t>The average of the daily day-ahead prices listed in the Dow Jones Mid-Columbia Electricity Price Index entitled “DJ-Mid C Daily Index:  Firm On-Peak:  Index” as published by Dow Jones Telerate (Telerate page 38424) for electricity delivered during On-Peak Hours during the applicable Determination Period.</w:t>
      </w:r>
    </w:p>
    <w:p>
      <w:pPr>
        <w:pStyle w:val="Normal"/>
        <w:ind w:start="1080" w:end="0"/>
        <w:jc w:val="both"/>
        <w:rPr/>
      </w:pPr>
      <w:r>
        <w:rPr/>
      </w:r>
    </w:p>
    <w:p>
      <w:pPr>
        <w:pStyle w:val="Heading3"/>
        <w:ind w:hanging="0" w:start="1080" w:end="0"/>
        <w:jc w:val="both"/>
        <w:rPr>
          <w:rFonts w:ascii="Times New Roman" w:hAnsi="Times New Roman" w:cs="Times New Roman"/>
          <w:b/>
          <w:bCs/>
          <w:u w:val="none"/>
        </w:rPr>
      </w:pPr>
      <w:r>
        <w:rPr>
          <w:rFonts w:cs="Times New Roman" w:ascii="Times New Roman" w:hAnsi="Times New Roman"/>
          <w:b/>
          <w:bCs/>
          <w:u w:val="none"/>
        </w:rPr>
        <w:t>Mid-Columbia Combined (i) Off-Peak with (ii) Sunday Index</w:t>
      </w:r>
    </w:p>
    <w:p>
      <w:pPr>
        <w:pStyle w:val="Normal"/>
        <w:rPr>
          <w:rFonts w:ascii="Times New Roman" w:hAnsi="Times New Roman" w:cs="Times New Roman"/>
          <w:b/>
          <w:bCs/>
          <w:u w:val="none"/>
        </w:rPr>
      </w:pPr>
      <w:r>
        <w:rPr>
          <w:rFonts w:cs="Times New Roman"/>
          <w:b/>
          <w:bCs/>
          <w:u w:val="none"/>
        </w:rPr>
      </w:r>
    </w:p>
    <w:p>
      <w:pPr>
        <w:pStyle w:val="Normal"/>
        <w:ind w:start="1080" w:end="0"/>
        <w:jc w:val="both"/>
        <w:rPr/>
      </w:pPr>
      <w:r>
        <w:rPr/>
        <w:t>The hourly-weighted average of ( i ) the average of the daily day-ahead prices listed in the Dow Jones Mid-Columbia Electricity Price Index entitled “DJ-Mid C Daily Index:  Firm Off-Peak:  Index” as published by Dow Jones Telerate (Telerate page 38424) for electricity delivered during Off-Peak Hours on a day that is a Monday through Saturday, excluding NERC holidays, during the applicable Determination Period and (ii ) the average of the daily day-ahead prices listed in the Dow Jones Mid-Columbia Electricity Price Index entitled the “DJ Mid-C Sunday 24 Hour Firm Index” as published by the Dow Jones Telerate (Telerate page 38424) for electricity delivered during Off-Peak Hours on each day that is a Sunday or NERC holiday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rPr>
      </w:pPr>
      <w:r>
        <w:rPr>
          <w:rFonts w:cs="Times New Roman" w:ascii="Times New Roman" w:hAnsi="Times New Roman"/>
        </w:rPr>
        <w:t>Palo Verde On-Peak</w:t>
      </w:r>
    </w:p>
    <w:p>
      <w:pPr>
        <w:pStyle w:val="Normal"/>
        <w:rPr>
          <w:rFonts w:ascii="Times New Roman" w:hAnsi="Times New Roman" w:cs="Times New Roman"/>
        </w:rPr>
      </w:pPr>
      <w:r>
        <w:rPr>
          <w:rFonts w:cs="Times New Roman"/>
        </w:rPr>
      </w:r>
    </w:p>
    <w:p>
      <w:pPr>
        <w:pStyle w:val="Normal"/>
        <w:ind w:start="1080" w:end="0"/>
        <w:jc w:val="both"/>
        <w:rPr/>
      </w:pPr>
      <w:r>
        <w:rPr/>
        <w:t>The average of the daily day-ahead prices listed in the Dow Jones Palo Verde Electricity Price Index entitled “DJ-PV Daily Index: Firm On-Peak: Index” as published by Dow Jones Telerate (Telerate page 38422) for electricity delivered during On-Peak Hours during the applicable Determination Period.</w:t>
      </w:r>
    </w:p>
    <w:p>
      <w:pPr>
        <w:pStyle w:val="Normal"/>
        <w:ind w:start="1080" w:end="0"/>
        <w:jc w:val="both"/>
        <w:rPr/>
      </w:pPr>
      <w:r>
        <w:rPr/>
      </w:r>
    </w:p>
    <w:p>
      <w:pPr>
        <w:pStyle w:val="Heading2"/>
        <w:ind w:hanging="0" w:start="1080" w:end="0"/>
        <w:jc w:val="both"/>
        <w:rPr>
          <w:rFonts w:ascii="Times New Roman" w:hAnsi="Times New Roman" w:cs="Times New Roman"/>
          <w:bCs w:val="false"/>
        </w:rPr>
      </w:pPr>
      <w:r>
        <w:rPr>
          <w:rFonts w:cs="Times New Roman" w:ascii="Times New Roman" w:hAnsi="Times New Roman"/>
          <w:bCs w:val="false"/>
        </w:rPr>
        <w:t>Palo Verde Combined (i) Off-Peak with (ii) Sunday Index</w:t>
      </w:r>
    </w:p>
    <w:p>
      <w:pPr>
        <w:pStyle w:val="Normal"/>
        <w:rPr>
          <w:rFonts w:ascii="Times New Roman" w:hAnsi="Times New Roman" w:cs="Times New Roman"/>
          <w:bCs/>
        </w:rPr>
      </w:pPr>
      <w:r>
        <w:rPr>
          <w:rFonts w:cs="Times New Roman"/>
          <w:bCs/>
        </w:rPr>
      </w:r>
    </w:p>
    <w:p>
      <w:pPr>
        <w:pStyle w:val="BodyText"/>
        <w:ind w:start="1080" w:end="0"/>
        <w:jc w:val="both"/>
        <w:rPr>
          <w:sz w:val="24"/>
        </w:rPr>
      </w:pPr>
      <w:r>
        <w:rPr>
          <w:sz w:val="24"/>
        </w:rPr>
        <w:t>The hourly-weighted average of (i) the average of the daily day-ahead prices listed in the Dow Jones Palo Verde Electricity Price Index entitled “DJ-PV Daily Index: Firm Index Off-Peak: Index” as published by Dow Jones Telerate (Telerate page 38422) for electricity delivered during Off-Peak Hours on a day that is a Monday through Saturday, excluding NERC holidays, during the applicable Determination Period and (ii) the average of the daily day-ahead prices listed in the Dow Jones Palo Verde Electricity  Price Index entitled “DJ Palo Verde Sunday &amp; NERC Holidays 24 Hour Firm Index” as published by the Dow Jones Telerate (Telerate page 38422) for electricity delivered during Off-Peak Hours in each day that is a Sunday or NERC holiday during the applicable Determination Period.</w:t>
      </w:r>
    </w:p>
    <w:p>
      <w:pPr>
        <w:pStyle w:val="Heading2"/>
        <w:ind w:hanging="0" w:start="1080" w:end="0"/>
        <w:jc w:val="both"/>
        <w:rPr>
          <w:rFonts w:ascii="Times New Roman" w:hAnsi="Times New Roman" w:cs="Times New Roman"/>
          <w:b w:val="false"/>
          <w:sz w:val="24"/>
        </w:rPr>
      </w:pPr>
      <w:r>
        <w:rPr>
          <w:rFonts w:cs="Times New Roman" w:ascii="Times New Roman" w:hAnsi="Times New Roman"/>
          <w:b w:val="false"/>
          <w:sz w:val="24"/>
        </w:rPr>
      </w:r>
    </w:p>
    <w:p>
      <w:pPr>
        <w:pStyle w:val="Heading1"/>
        <w:ind w:hanging="0" w:start="1080" w:end="0"/>
        <w:jc w:val="both"/>
        <w:rPr>
          <w:rFonts w:ascii="Times New Roman" w:hAnsi="Times New Roman" w:cs="Times New Roman"/>
        </w:rPr>
      </w:pPr>
      <w:r>
        <w:rPr>
          <w:rFonts w:cs="Times New Roman" w:ascii="Times New Roman" w:hAnsi="Times New Roman"/>
        </w:rPr>
        <w:t>NP-15 and SP-15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On Peak” or “DJ Electricity Price Indexes: DJ SP15 – SP-15; Firm; On Peak”, as applicable,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NP-15 and SP-15 Off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b/>
          <w:color w:val="000000"/>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Off Peak” or “DJ Electricity Price Indexes: DJ SP15 – SP-15; Firm; Off Peak”, as applicable, for electricity delivered during Off Peak Hours for the applicable Determination Period.</w:t>
      </w:r>
    </w:p>
    <w:p>
      <w:pPr>
        <w:pStyle w:val="Normal"/>
        <w:ind w:start="1080" w:end="0"/>
        <w:jc w:val="both"/>
        <w:rPr>
          <w:b/>
          <w:color w:val="000000"/>
        </w:rPr>
      </w:pPr>
      <w:r>
        <w:rPr>
          <w:b/>
          <w:color w:val="000000"/>
        </w:rPr>
      </w:r>
    </w:p>
    <w:p>
      <w:pPr>
        <w:pStyle w:val="Heading1"/>
        <w:ind w:hanging="0" w:start="1080" w:end="0"/>
        <w:jc w:val="both"/>
        <w:rPr>
          <w:rFonts w:ascii="Times New Roman" w:hAnsi="Times New Roman" w:cs="Times New Roman"/>
        </w:rPr>
      </w:pPr>
      <w:r>
        <w:rPr>
          <w:rFonts w:cs="Times New Roman" w:ascii="Times New Roman" w:hAnsi="Times New Roman"/>
        </w:rPr>
        <w:t>NP-15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On Peak”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NP-15 Off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NP 15 – NP-15; Firm; Off Peak” for electricity delivered during Off Peak Hours for the applicable Determination Period.</w:t>
      </w:r>
    </w:p>
    <w:p>
      <w:pPr>
        <w:pStyle w:val="Normal"/>
        <w:ind w:start="1080" w:end="0"/>
        <w:jc w:val="both"/>
        <w:rPr>
          <w:b/>
          <w:color w:val="000000"/>
        </w:rPr>
      </w:pPr>
      <w:r>
        <w:rPr>
          <w:b/>
          <w:color w:val="000000"/>
        </w:rPr>
      </w:r>
    </w:p>
    <w:p>
      <w:pPr>
        <w:pStyle w:val="Heading1"/>
        <w:ind w:hanging="0" w:start="1080" w:end="0"/>
        <w:jc w:val="both"/>
        <w:rPr>
          <w:rFonts w:ascii="Times New Roman" w:hAnsi="Times New Roman" w:cs="Times New Roman"/>
        </w:rPr>
      </w:pPr>
      <w:r>
        <w:rPr>
          <w:rFonts w:cs="Times New Roman" w:ascii="Times New Roman" w:hAnsi="Times New Roman"/>
        </w:rPr>
        <w:t>SP-15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SP 15 – SP-15; Firm; On Peak” for electricity delivered during On Peak Hours for the applicable Determination Period.</w:t>
      </w:r>
    </w:p>
    <w:p>
      <w:pPr>
        <w:pStyle w:val="Normal"/>
        <w:ind w:start="1080" w:end="0"/>
        <w:jc w:val="both"/>
        <w:rPr/>
      </w:pPr>
      <w:r>
        <w:rPr/>
      </w:r>
    </w:p>
    <w:p>
      <w:pPr>
        <w:pStyle w:val="Heading1"/>
        <w:ind w:hanging="0" w:start="1080" w:end="0"/>
        <w:jc w:val="both"/>
        <w:rPr>
          <w:rFonts w:ascii="Times New Roman" w:hAnsi="Times New Roman" w:cs="Times New Roman"/>
        </w:rPr>
      </w:pPr>
      <w:r>
        <w:rPr>
          <w:rFonts w:cs="Times New Roman" w:ascii="Times New Roman" w:hAnsi="Times New Roman"/>
        </w:rPr>
        <w:t>SP-15 Off Peak</w:t>
      </w:r>
    </w:p>
    <w:p>
      <w:pPr>
        <w:pStyle w:val="Normal"/>
        <w:ind w:start="1080" w:end="0"/>
        <w:jc w:val="both"/>
        <w:rPr>
          <w:rFonts w:ascii="Times New Roman" w:hAnsi="Times New Roman" w:cs="Times New Roman"/>
          <w:b/>
          <w:color w:val="000000"/>
        </w:rPr>
      </w:pPr>
      <w:r>
        <w:rPr>
          <w:rFonts w:cs="Times New Roman"/>
          <w:b/>
          <w:color w:val="000000"/>
        </w:rPr>
      </w:r>
    </w:p>
    <w:p>
      <w:pPr>
        <w:pStyle w:val="Normal"/>
        <w:ind w:start="1080" w:end="0"/>
        <w:jc w:val="both"/>
        <w:rPr/>
      </w:pPr>
      <w:r>
        <w:rPr/>
        <w:t xml:space="preserve">The average of the hourly prices as </w:t>
      </w:r>
      <w:r>
        <w:rPr>
          <w:color w:val="000000"/>
        </w:rPr>
        <w:t xml:space="preserve">quoted by Dow Jones, Inc. and </w:t>
      </w:r>
      <w:r>
        <w:rPr/>
        <w:t xml:space="preserve">published in the </w:t>
      </w:r>
      <w:r>
        <w:rPr>
          <w:u w:val="single"/>
        </w:rPr>
        <w:t>Wall Street Journal</w:t>
      </w:r>
      <w:r>
        <w:rPr/>
        <w:t xml:space="preserve"> under the heading "DJ Electricity Price Indexes; DJ SP 15 – SP-15; Firm; Off Peak” for electricity delivered during Off Peak Hours for the applicable Determination Period.</w:t>
      </w:r>
    </w:p>
    <w:p>
      <w:pPr>
        <w:pStyle w:val="Normal"/>
        <w:rPr>
          <w:b/>
          <w:color w:val="000000"/>
        </w:rPr>
      </w:pPr>
      <w:r>
        <w:rPr>
          <w:b/>
          <w:color w:val="000000"/>
        </w:rPr>
      </w:r>
    </w:p>
    <w:p>
      <w:pPr>
        <w:pStyle w:val="Normal"/>
        <w:jc w:val="both"/>
        <w:rPr/>
      </w:pPr>
      <w:r>
        <w:rPr/>
        <w:tab/>
      </w:r>
      <w:r>
        <w:rPr>
          <w:b/>
        </w:rPr>
        <w:t>IN WITNESS WHEREOF,</w:t>
      </w:r>
      <w:r>
        <w:rPr/>
        <w:t xml:space="preserve"> the parties hereto have executed this Agreement as of the date first above written, effective as of the Effective Date.</w:t>
      </w:r>
    </w:p>
    <w:p>
      <w:pPr>
        <w:pStyle w:val="Normal"/>
        <w:jc w:val="both"/>
        <w:rPr/>
      </w:pPr>
      <w:r>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Heading2"/>
              <w:ind w:hanging="0" w:start="0"/>
              <w:rPr>
                <w:rFonts w:ascii="Times New Roman" w:hAnsi="Times New Roman" w:cs="Times New Roman"/>
                <w:bCs w:val="false"/>
              </w:rPr>
            </w:pPr>
            <w:r>
              <w:rPr>
                <w:rFonts w:cs="Times New Roman" w:ascii="Times New Roman" w:hAnsi="Times New Roman"/>
                <w:bCs w:val="false"/>
              </w:rPr>
              <w:t>ENRON POWER MARKETING, INC.</w:t>
            </w:r>
          </w:p>
          <w:p>
            <w:pPr>
              <w:pStyle w:val="Normal"/>
              <w:spacing w:lineRule="exact" w:line="240"/>
              <w:jc w:val="both"/>
              <w:rPr>
                <w:rFonts w:ascii="Times New Roman" w:hAnsi="Times New Roman" w:cs="Times New Roman"/>
                <w:bCs/>
              </w:rPr>
            </w:pPr>
            <w:r>
              <w:rPr>
                <w:rFonts w:cs="Times New Roman"/>
                <w:bCs/>
              </w:rPr>
            </w:r>
          </w:p>
          <w:p>
            <w:pPr>
              <w:pStyle w:val="Normal"/>
              <w:spacing w:lineRule="exact" w:line="240"/>
              <w:jc w:val="both"/>
              <w:rPr/>
            </w:pPr>
            <w:r>
              <w:rPr/>
            </w:r>
          </w:p>
          <w:p>
            <w:pPr>
              <w:pStyle w:val="Normal"/>
              <w:spacing w:lineRule="exact" w:line="240"/>
              <w:jc w:val="both"/>
              <w:rPr/>
            </w:pPr>
            <w:r>
              <w:rPr/>
              <w:t>By:</w:t>
              <w:tab/>
            </w:r>
            <w:r>
              <w:rPr>
                <w:u w:val="single"/>
              </w:rPr>
              <w:tab/>
              <w:tab/>
              <w:tab/>
              <w:tab/>
              <w:tab/>
            </w:r>
          </w:p>
          <w:p>
            <w:pPr>
              <w:pStyle w:val="Normal"/>
              <w:spacing w:lineRule="exact" w:line="240"/>
              <w:jc w:val="both"/>
              <w:rPr/>
            </w:pPr>
            <w:r>
              <w:rPr/>
              <w:t>Name:</w:t>
              <w:tab/>
            </w:r>
            <w:r>
              <w:rPr>
                <w:u w:val="single"/>
              </w:rPr>
              <w:tab/>
              <w:tab/>
              <w:tab/>
              <w:tab/>
              <w:tab/>
            </w:r>
          </w:p>
          <w:p>
            <w:pPr>
              <w:pStyle w:val="Normal"/>
              <w:spacing w:lineRule="exact" w:line="240"/>
              <w:jc w:val="both"/>
              <w:rPr>
                <w:b/>
              </w:rPr>
            </w:pPr>
            <w:r>
              <w:rPr/>
              <w:t>Title:</w:t>
              <w:tab/>
            </w:r>
            <w:r>
              <w:rPr>
                <w:u w:val="single"/>
              </w:rPr>
              <w:tab/>
              <w:tab/>
              <w:tab/>
              <w:tab/>
              <w:tab/>
            </w:r>
          </w:p>
          <w:p>
            <w:pPr>
              <w:pStyle w:val="Normal"/>
              <w:spacing w:lineRule="exact" w:line="240"/>
              <w:jc w:val="both"/>
              <w:rPr>
                <w:b/>
              </w:rPr>
            </w:pPr>
            <w:r>
              <w:rPr>
                <w:b/>
              </w:rPr>
            </w:r>
          </w:p>
          <w:p>
            <w:pPr>
              <w:pStyle w:val="Normal"/>
              <w:spacing w:lineRule="exact" w:line="240"/>
              <w:jc w:val="both"/>
              <w:rPr>
                <w:b/>
              </w:rPr>
            </w:pPr>
            <w:r>
              <w:rPr>
                <w:b/>
              </w:rPr>
            </w:r>
          </w:p>
        </w:tc>
        <w:tc>
          <w:tcPr>
            <w:tcW w:w="4950" w:type="dxa"/>
            <w:tcBorders/>
          </w:tcPr>
          <w:p>
            <w:pPr>
              <w:pStyle w:val="Heading2"/>
              <w:ind w:hanging="0" w:start="0"/>
              <w:rPr>
                <w:rFonts w:ascii="Times New Roman" w:hAnsi="Times New Roman" w:cs="Times New Roman"/>
              </w:rPr>
            </w:pPr>
            <w:r>
              <w:rPr>
                <w:rFonts w:cs="Times New Roman" w:ascii="Times New Roman" w:hAnsi="Times New Roman"/>
              </w:rPr>
              <w:t>DYNEGY POWER MARKETING, INC.</w:t>
            </w:r>
          </w:p>
          <w:p>
            <w:pPr>
              <w:pStyle w:val="Normal"/>
              <w:spacing w:lineRule="exact" w:line="240"/>
              <w:jc w:val="both"/>
              <w:rPr>
                <w:rFonts w:ascii="Times New Roman" w:hAnsi="Times New Roman" w:cs="Times New Roman"/>
              </w:rPr>
            </w:pPr>
            <w:r>
              <w:rPr>
                <w:rFonts w:cs="Times New Roman"/>
              </w:rPr>
            </w:r>
          </w:p>
          <w:p>
            <w:pPr>
              <w:pStyle w:val="Normal"/>
              <w:spacing w:lineRule="exact" w:line="240"/>
              <w:jc w:val="both"/>
              <w:rPr/>
            </w:pPr>
            <w:r>
              <w:rPr/>
            </w:r>
          </w:p>
          <w:p>
            <w:pPr>
              <w:pStyle w:val="Normal"/>
              <w:spacing w:lineRule="exact" w:line="240"/>
              <w:jc w:val="both"/>
              <w:rPr/>
            </w:pPr>
            <w:r>
              <w:rPr/>
              <w:t>By:</w:t>
              <w:tab/>
            </w:r>
            <w:r>
              <w:rPr>
                <w:u w:val="single"/>
              </w:rPr>
              <w:tab/>
              <w:tab/>
              <w:tab/>
              <w:tab/>
              <w:tab/>
            </w:r>
          </w:p>
          <w:p>
            <w:pPr>
              <w:pStyle w:val="Normal"/>
              <w:spacing w:lineRule="exact" w:line="240"/>
              <w:jc w:val="both"/>
              <w:rPr/>
            </w:pPr>
            <w:r>
              <w:rPr/>
              <w:t>Name:</w:t>
              <w:tab/>
            </w:r>
            <w:r>
              <w:rPr>
                <w:u w:val="single"/>
              </w:rPr>
              <w:tab/>
              <w:tab/>
              <w:tab/>
              <w:tab/>
              <w:tab/>
            </w:r>
          </w:p>
          <w:p>
            <w:pPr>
              <w:pStyle w:val="Normal"/>
              <w:spacing w:lineRule="exact" w:line="240"/>
              <w:jc w:val="both"/>
              <w:rPr/>
            </w:pPr>
            <w:r>
              <w:rPr/>
              <w:t>Title:</w:t>
              <w:tab/>
            </w:r>
            <w:r>
              <w:rPr>
                <w:u w:val="single"/>
              </w:rPr>
              <w:tab/>
              <w:tab/>
              <w:tab/>
              <w:tab/>
              <w:tab/>
            </w:r>
          </w:p>
        </w:tc>
      </w:tr>
    </w:tbl>
    <w:p>
      <w:pPr>
        <w:pStyle w:val="Normal"/>
        <w:rPr>
          <w:b/>
          <w:color w:val="000000"/>
        </w:rPr>
      </w:pPr>
      <w:r>
        <w:rPr>
          <w:b/>
          <w:color w:val="000000"/>
        </w:rPr>
      </w:r>
    </w:p>
    <w:p>
      <w:pPr>
        <w:pStyle w:val="Normal"/>
        <w:rPr>
          <w:b/>
          <w:bCs/>
          <w:color w:val="000000"/>
        </w:rPr>
      </w:pPr>
      <w:r>
        <w:rPr>
          <w:b/>
          <w:bCs/>
          <w:color w:val="000000"/>
        </w:rPr>
      </w:r>
    </w:p>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6"/>
      </w:rPr>
    </w:pPr>
    <w:r>
      <w:rPr>
        <w:sz w:val="16"/>
      </w:rPr>
      <w:fldChar w:fldCharType="begin"/>
    </w:r>
    <w:r>
      <w:rPr>
        <w:sz w:val="16"/>
      </w:rPr>
      <w:instrText xml:space="preserve"> FILENAME \p </w:instrText>
    </w:r>
    <w:r>
      <w:rPr>
        <w:sz w:val="16"/>
      </w:rPr>
      <w:fldChar w:fldCharType="separate"/>
    </w:r>
    <w:r>
      <w:rPr>
        <w:sz w:val="16"/>
      </w:rPr>
      <w:t>/mnt/main-storage/datasets/enron-docs/doc/Commodity_Logic__Dynegy_Agreement_v.1.doc</w:t>
    </w:r>
    <w:r>
      <w:rPr>
        <w:sz w:val="16"/>
      </w:rPr>
      <w:fldChar w:fldCharType="end"/>
    </w:r>
    <w:r>
      <mc:AlternateContent>
        <mc:Choice Requires="wps">
          <w:drawing>
            <wp:anchor behindDoc="0" distT="0" distB="0" distL="0" distR="0" simplePos="0" locked="0" layoutInCell="0" allowOverlap="1" relativeHeight="15">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19.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i/>
        <w:iCs/>
      </w:rPr>
      <w:t>Draft 10-19-01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Tms Rmn" w:hAnsi="Tms Rmn" w:cs="Tms Rmn"/>
      <w:b/>
      <w:color w:val="000000"/>
      <w:szCs w:val="20"/>
    </w:rPr>
  </w:style>
  <w:style w:type="paragraph" w:styleId="Heading2">
    <w:name w:val="heading 2"/>
    <w:basedOn w:val="Normal"/>
    <w:next w:val="Normal"/>
    <w:qFormat/>
    <w:pPr>
      <w:keepNext w:val="true"/>
      <w:numPr>
        <w:ilvl w:val="1"/>
        <w:numId w:val="1"/>
      </w:numPr>
      <w:outlineLvl w:val="1"/>
    </w:pPr>
    <w:rPr>
      <w:rFonts w:ascii="Arial" w:hAnsi="Arial" w:cs="Arial"/>
      <w:b/>
      <w:bCs/>
    </w:rPr>
  </w:style>
  <w:style w:type="paragraph" w:styleId="Heading3">
    <w:name w:val="heading 3"/>
    <w:basedOn w:val="Normal"/>
    <w:next w:val="Normal"/>
    <w:qFormat/>
    <w:pPr>
      <w:keepNext w:val="true"/>
      <w:numPr>
        <w:ilvl w:val="2"/>
        <w:numId w:val="1"/>
      </w:numPr>
      <w:outlineLvl w:val="2"/>
    </w:pPr>
    <w:rPr>
      <w:rFonts w:ascii="Arial" w:hAnsi="Arial" w:cs="Arial"/>
      <w:u w:val="single"/>
      <w:lang w:val="en-CA" w:eastAsia="en-CA"/>
    </w:rPr>
  </w:style>
  <w:style w:type="paragraph" w:styleId="Heading4">
    <w:name w:val="heading 4"/>
    <w:basedOn w:val="Normal"/>
    <w:next w:val="Normal"/>
    <w:qFormat/>
    <w:pPr>
      <w:keepNext w:val="true"/>
      <w:numPr>
        <w:ilvl w:val="3"/>
        <w:numId w:val="1"/>
      </w:numPr>
      <w:outlineLvl w:val="3"/>
    </w:pPr>
    <w:rPr>
      <w:sz w:val="22"/>
      <w:szCs w:val="20"/>
      <w:u w:val="single"/>
    </w:rPr>
  </w:style>
  <w:style w:type="paragraph" w:styleId="Heading5">
    <w:name w:val="heading 5"/>
    <w:basedOn w:val="Normal"/>
    <w:next w:val="Normal"/>
    <w:qFormat/>
    <w:pPr>
      <w:keepNext w:val="true"/>
      <w:numPr>
        <w:ilvl w:val="4"/>
        <w:numId w:val="1"/>
      </w:numPr>
      <w:outlineLvl w:val="4"/>
    </w:pPr>
    <w:rPr>
      <w:b/>
      <w:sz w:val="22"/>
      <w:szCs w:val="20"/>
    </w:rPr>
  </w:style>
  <w:style w:type="paragraph" w:styleId="Heading6">
    <w:name w:val="heading 6"/>
    <w:basedOn w:val="Normal"/>
    <w:next w:val="Normal"/>
    <w:qFormat/>
    <w:pPr>
      <w:keepNext w:val="true"/>
      <w:numPr>
        <w:ilvl w:val="5"/>
        <w:numId w:val="1"/>
      </w:numPr>
      <w:spacing w:lineRule="atLeast" w:line="240"/>
      <w:outlineLvl w:val="5"/>
    </w:pPr>
    <w:rPr>
      <w:b/>
      <w:sz w:val="22"/>
      <w:u w:val="single"/>
    </w:rPr>
  </w:style>
  <w:style w:type="paragraph" w:styleId="Heading7">
    <w:name w:val="heading 7"/>
    <w:basedOn w:val="Normal"/>
    <w:next w:val="BodyText"/>
    <w:qFormat/>
    <w:pPr>
      <w:numPr>
        <w:ilvl w:val="6"/>
        <w:numId w:val="1"/>
      </w:numPr>
      <w:spacing w:before="0" w:after="200"/>
      <w:outlineLvl w:val="6"/>
    </w:pPr>
    <w:rPr>
      <w:sz w:val="20"/>
      <w:szCs w:val="20"/>
    </w:rPr>
  </w:style>
  <w:style w:type="paragraph" w:styleId="Heading8">
    <w:name w:val="heading 8"/>
    <w:basedOn w:val="Normal"/>
    <w:next w:val="Normal"/>
    <w:qFormat/>
    <w:pPr>
      <w:keepNext w:val="true"/>
      <w:numPr>
        <w:ilvl w:val="7"/>
        <w:numId w:val="1"/>
      </w:numPr>
      <w:jc w:val="center"/>
      <w:outlineLvl w:val="7"/>
    </w:pPr>
    <w:rPr>
      <w:b/>
      <w:bCs/>
    </w:rPr>
  </w:style>
  <w:style w:type="paragraph" w:styleId="Heading9">
    <w:name w:val="heading 9"/>
    <w:basedOn w:val="Normal"/>
    <w:next w:val="Normal"/>
    <w:qFormat/>
    <w:pPr>
      <w:keepNext w:val="true"/>
      <w:numPr>
        <w:ilvl w:val="8"/>
        <w:numId w:val="1"/>
      </w:numPr>
      <w:ind w:hanging="0" w:start="1080" w:end="0"/>
      <w:jc w:val="both"/>
      <w:outlineLvl w:val="8"/>
    </w:pPr>
    <w:rPr>
      <w:b/>
      <w:bCs/>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Times New Roman" w:hAnsi="Times New Roman" w:cs="Times New Roman"/>
      <w:b/>
      <w:i w:val="false"/>
      <w:caps/>
      <w:sz w:val="24"/>
    </w:rPr>
  </w:style>
  <w:style w:type="character" w:styleId="WW8Num4z1">
    <w:name w:val="WW8Num4z1"/>
    <w:qFormat/>
    <w:rPr>
      <w:rFonts w:ascii="Times New Roman" w:hAnsi="Times New Roman" w:cs="Times New Roman"/>
      <w:b w:val="false"/>
      <w:i w:val="false"/>
      <w:sz w:val="24"/>
      <w:u w:val="none"/>
    </w:rPr>
  </w:style>
  <w:style w:type="character" w:styleId="WW8Num4z2">
    <w:name w:val="WW8Num4z2"/>
    <w:qFormat/>
    <w:rPr>
      <w:rFonts w:ascii="Times New Roman" w:hAnsi="Times New Roman" w:cs="Times New Roman"/>
      <w:b w:val="false"/>
      <w:i w:val="false"/>
      <w:sz w:val="24"/>
    </w:rPr>
  </w:style>
  <w:style w:type="character" w:styleId="WW8Num4z5">
    <w:name w:val="WW8Num4z5"/>
    <w:qFormat/>
    <w:rPr>
      <w:rFonts w:ascii="Times New Roman" w:hAnsi="Times New Roman" w:cs="Times New Roman"/>
      <w:b/>
      <w:i w:val="false"/>
      <w:sz w:val="24"/>
      <w:u w:val="none"/>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BodyText2">
    <w:name w:val="Body Text 2"/>
    <w:basedOn w:val="Normal"/>
    <w:qFormat/>
    <w:pPr>
      <w:jc w:val="both"/>
    </w:pPr>
    <w:rPr/>
  </w:style>
  <w:style w:type="paragraph" w:styleId="BodyTextIndent">
    <w:name w:val="Body Text Indent"/>
    <w:basedOn w:val="Normal"/>
    <w:pPr>
      <w:ind w:hanging="0" w:start="108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72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aiso.com/" TargetMode="External"/><Relationship Id="rId3" Type="http://schemas.openxmlformats.org/officeDocument/2006/relationships/hyperlink" Target="http://iso-ne.com/market_info/" TargetMode="External"/><Relationship Id="rId4" Type="http://schemas.openxmlformats.org/officeDocument/2006/relationships/hyperlink" Target="http://mis.nyiso.com/public/index.html" TargetMode="External"/><Relationship Id="rId5" Type="http://schemas.openxmlformats.org/officeDocument/2006/relationships/hyperlink" Target="http://www.nyiso/oasis/index.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2001-10-19T11:52:00Z</dcterms:created>
  <dc:creator>leslie hansen</dc:creator>
  <dc:description/>
  <dc:language>en-CA</dc:language>
  <cp:lastModifiedBy>leslie hansen</cp:lastModifiedBy>
  <cp:lastPrinted>2001-10-19T10:11:00Z</cp:lastPrinted>
  <dcterms:modified xsi:type="dcterms:W3CDTF">2001-10-19T12:42:00Z</dcterms:modified>
  <cp:revision>7</cp:revision>
  <dc:subject/>
  <dc:title>AGREEMENT RELATING TO </dc:title>
</cp:coreProperties>
</file>