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_rels/footer11.xml.rels" ContentType="application/vnd.openxmlformats-package.relationships+xml"/>
  <Override PartName="/word/_rels/footer4.xml.rels" ContentType="application/vnd.openxmlformats-package.relationships+xml"/>
  <Override PartName="/word/_rels/footer5.xml.rels" ContentType="application/vnd.openxmlformats-package.relationships+xml"/>
  <Override PartName="/word/_rels/header8.xml.rels" ContentType="application/vnd.openxmlformats-package.relationships+xml"/>
  <Override PartName="/word/_rels/footer7.xml.rels" ContentType="application/vnd.openxmlformats-package.relationships+xml"/>
  <Override PartName="/word/_rels/footer8.xml.rels" ContentType="application/vnd.openxmlformats-package.relationships+xml"/>
  <Override PartName="/word/_rels/footer10.xml.rels" ContentType="application/vnd.openxmlformats-package.relationships+xml"/>
  <Override PartName="/word/footnotes.xml" ContentType="application/vnd.openxmlformats-officedocument.wordprocessingml.footnote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6.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xlsx" ContentType="application/vnd.openxmlformats-officedocument.spreadsheetml.sheet"/>
  <Override PartName="/word/header2.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wmf" ContentType="image/x-wmf"/>
  <Override PartName="/word/media/image2.emf" ContentType="image/x-emf"/>
  <Override PartName="/word/media/image4.wmf" ContentType="image/x-wmf"/>
  <Override PartName="/word/media/image3.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11.wmf" ContentType="image/x-wmf"/>
  <Override PartName="/word/media/image8.wmf" ContentType="image/x-wmf"/>
  <Override PartName="/word/media/image12.wmf" ContentType="image/x-wmf"/>
  <Override PartName="/word/media/image9.wmf" ContentType="image/x-wmf"/>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uthorName"/>
        <w:spacing w:lineRule="atLeast" w:line="220" w:before="240" w:after="0"/>
        <w:rPr/>
      </w:pPr>
      <w:r>
        <w:rPr/>
        <w:drawing>
          <wp:inline distT="0" distB="0" distL="0" distR="0">
            <wp:extent cx="3249930" cy="3219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7" t="-71" r="-7" b="-71"/>
                    <a:stretch>
                      <a:fillRect/>
                    </a:stretch>
                  </pic:blipFill>
                  <pic:spPr bwMode="auto">
                    <a:xfrm>
                      <a:off x="0" y="0"/>
                      <a:ext cx="3249930" cy="321945"/>
                    </a:xfrm>
                    <a:prstGeom prst="rect">
                      <a:avLst/>
                    </a:prstGeom>
                    <a:noFill/>
                  </pic:spPr>
                </pic:pic>
              </a:graphicData>
            </a:graphic>
          </wp:inline>
        </w:drawing>
      </w:r>
    </w:p>
    <w:tbl>
      <w:tblPr>
        <w:tblW w:w="2160" w:type="dxa"/>
        <w:jc w:val="start"/>
        <w:tblInd w:w="0" w:type="dxa"/>
        <w:tblLayout w:type="fixed"/>
        <w:tblCellMar>
          <w:top w:w="0" w:type="dxa"/>
          <w:start w:w="108" w:type="dxa"/>
          <w:bottom w:w="0" w:type="dxa"/>
          <w:end w:w="108" w:type="dxa"/>
        </w:tblCellMar>
      </w:tblPr>
      <w:tblGrid>
        <w:gridCol w:w="2160"/>
      </w:tblGrid>
      <w:tr>
        <w:trPr>
          <w:trHeight w:val="10600" w:hRule="exact"/>
        </w:trPr>
        <w:tc>
          <w:tcPr>
            <w:tcW w:w="2160" w:type="dxa"/>
            <w:tcBorders/>
          </w:tcPr>
          <w:p>
            <w:pPr>
              <w:pStyle w:val="AuthorName"/>
              <w:spacing w:before="240" w:after="0"/>
              <w:rPr>
                <w:color w:val="000080"/>
              </w:rPr>
            </w:pPr>
            <w:r>
              <w:rPr>
                <w:color w:val="000080"/>
              </w:rPr>
              <w:t>Raymond C. Niles</w:t>
            </w:r>
          </w:p>
          <w:p>
            <w:pPr>
              <w:pStyle w:val="AuthorPhone"/>
              <w:rPr>
                <w:color w:val="000080"/>
              </w:rPr>
            </w:pPr>
            <w:r>
              <w:rPr>
                <w:color w:val="000080"/>
              </w:rPr>
              <w:t>212-816-2807</w:t>
            </w:r>
          </w:p>
          <w:p>
            <w:pPr>
              <w:pStyle w:val="AuthorE-Mail"/>
              <w:rPr>
                <w:color w:val="000080"/>
              </w:rPr>
            </w:pPr>
            <w:r>
              <w:rPr>
                <w:color w:val="000080"/>
              </w:rPr>
              <w:t>ray.niles@ssmb.com</w:t>
            </w:r>
          </w:p>
          <w:p>
            <w:pPr>
              <w:pStyle w:val="AuthorName"/>
              <w:rPr>
                <w:b w:val="false"/>
                <w:color w:val="000080"/>
              </w:rPr>
            </w:pPr>
            <w:r>
              <w:rPr>
                <w:b w:val="false"/>
                <w:color w:val="000080"/>
              </w:rPr>
              <w:t>Benjamin W. Morton</w:t>
            </w:r>
          </w:p>
          <w:p>
            <w:pPr>
              <w:pStyle w:val="AuthorPhone"/>
              <w:rPr>
                <w:color w:val="000080"/>
              </w:rPr>
            </w:pPr>
            <w:r>
              <w:rPr>
                <w:color w:val="000080"/>
              </w:rPr>
              <w:t>212-816-2086</w:t>
            </w:r>
          </w:p>
          <w:p>
            <w:pPr>
              <w:pStyle w:val="AuthorE-Mail"/>
              <w:pBdr>
                <w:bottom w:val="single" w:sz="12" w:space="1" w:color="000000"/>
              </w:pBdr>
              <w:rPr>
                <w:color w:val="000080"/>
              </w:rPr>
            </w:pPr>
            <w:r>
              <w:rPr>
                <w:color w:val="000080"/>
              </w:rPr>
            </w:r>
          </w:p>
          <w:p>
            <w:pPr>
              <w:pStyle w:val="AuthorPhone"/>
              <w:rPr>
                <w:color w:val="000080"/>
              </w:rPr>
            </w:pPr>
            <w:r>
              <w:rPr>
                <w:color w:val="000080"/>
              </w:rPr>
            </w:r>
          </w:p>
          <w:p>
            <w:pPr>
              <w:pStyle w:val="AuthorName"/>
              <w:rPr>
                <w:color w:val="000080"/>
              </w:rPr>
            </w:pPr>
            <w:r>
              <w:rPr>
                <w:color w:val="000080"/>
              </w:rPr>
              <w:t>Raymond C. Niles</w:t>
            </w:r>
          </w:p>
          <w:p>
            <w:pPr>
              <w:pStyle w:val="AuthorPhone"/>
              <w:rPr>
                <w:color w:val="000080"/>
              </w:rPr>
            </w:pPr>
            <w:r>
              <w:rPr>
                <w:color w:val="000080"/>
              </w:rPr>
              <w:t>212-816-2807</w:t>
            </w:r>
          </w:p>
          <w:p>
            <w:pPr>
              <w:pStyle w:val="AuthorE-Mail"/>
              <w:rPr>
                <w:color w:val="000080"/>
              </w:rPr>
            </w:pPr>
            <w:r>
              <w:rPr>
                <w:color w:val="000080"/>
              </w:rPr>
              <w:t>Power / Natural Gas</w:t>
            </w:r>
          </w:p>
          <w:p>
            <w:pPr>
              <w:pStyle w:val="AuthorName"/>
              <w:rPr>
                <w:color w:val="000080"/>
              </w:rPr>
            </w:pPr>
            <w:r>
              <w:rPr>
                <w:color w:val="000080"/>
              </w:rPr>
              <w:t>Daniele Seitz</w:t>
            </w:r>
          </w:p>
          <w:p>
            <w:pPr>
              <w:pStyle w:val="AuthorPhone"/>
              <w:rPr>
                <w:color w:val="000080"/>
              </w:rPr>
            </w:pPr>
            <w:r>
              <w:rPr>
                <w:color w:val="000080"/>
              </w:rPr>
              <w:t>212-816-6547</w:t>
            </w:r>
          </w:p>
          <w:p>
            <w:pPr>
              <w:pStyle w:val="AuthorE-Mail"/>
              <w:rPr>
                <w:color w:val="000080"/>
              </w:rPr>
            </w:pPr>
            <w:r>
              <w:rPr>
                <w:color w:val="000080"/>
              </w:rPr>
              <w:t>Integrated Utilities</w:t>
            </w:r>
          </w:p>
          <w:p>
            <w:pPr>
              <w:pStyle w:val="AuthorName"/>
              <w:rPr>
                <w:color w:val="000080"/>
              </w:rPr>
            </w:pPr>
            <w:r>
              <w:rPr>
                <w:color w:val="000080"/>
              </w:rPr>
              <w:t>Joanne M. Fairechio</w:t>
            </w:r>
          </w:p>
          <w:p>
            <w:pPr>
              <w:pStyle w:val="AuthorPhone"/>
              <w:rPr>
                <w:color w:val="000080"/>
              </w:rPr>
            </w:pPr>
            <w:r>
              <w:rPr>
                <w:color w:val="000080"/>
              </w:rPr>
              <w:t>212-816-2829</w:t>
            </w:r>
          </w:p>
          <w:p>
            <w:pPr>
              <w:pStyle w:val="AuthorE-Mail"/>
              <w:rPr>
                <w:color w:val="000080"/>
              </w:rPr>
            </w:pPr>
            <w:r>
              <w:rPr>
                <w:color w:val="000080"/>
              </w:rPr>
              <w:t>Distribution Utilities</w:t>
            </w:r>
          </w:p>
          <w:p>
            <w:pPr>
              <w:pStyle w:val="AuthorName"/>
              <w:rPr>
                <w:b w:val="false"/>
                <w:color w:val="000080"/>
              </w:rPr>
            </w:pPr>
            <w:r>
              <w:rPr>
                <w:b w:val="false"/>
                <w:color w:val="000080"/>
              </w:rPr>
              <w:t>Timothy K. Dodman, CFA</w:t>
            </w:r>
          </w:p>
          <w:p>
            <w:pPr>
              <w:pStyle w:val="AuthorPhone"/>
              <w:rPr>
                <w:color w:val="000080"/>
              </w:rPr>
            </w:pPr>
            <w:r>
              <w:rPr>
                <w:color w:val="000080"/>
              </w:rPr>
              <w:t>212-816-1650</w:t>
            </w:r>
          </w:p>
          <w:p>
            <w:pPr>
              <w:pStyle w:val="AuthorE-Mail"/>
              <w:rPr>
                <w:color w:val="000080"/>
              </w:rPr>
            </w:pPr>
            <w:r>
              <w:rPr>
                <w:color w:val="000080"/>
              </w:rPr>
              <w:t>Integrated/Producers</w:t>
            </w:r>
          </w:p>
          <w:p>
            <w:pPr>
              <w:pStyle w:val="AuthorName"/>
              <w:rPr>
                <w:b w:val="false"/>
                <w:color w:val="000080"/>
              </w:rPr>
            </w:pPr>
            <w:r>
              <w:rPr>
                <w:b w:val="false"/>
                <w:color w:val="000080"/>
              </w:rPr>
              <w:t>Benjamin W. Morton</w:t>
            </w:r>
          </w:p>
          <w:p>
            <w:pPr>
              <w:pStyle w:val="AuthorPhone"/>
              <w:rPr>
                <w:color w:val="000080"/>
              </w:rPr>
            </w:pPr>
            <w:r>
              <w:rPr>
                <w:color w:val="000080"/>
              </w:rPr>
              <w:t>212-816-2086</w:t>
            </w:r>
          </w:p>
          <w:p>
            <w:pPr>
              <w:pStyle w:val="AuthorE-Mail"/>
              <w:rPr>
                <w:color w:val="000080"/>
              </w:rPr>
            </w:pPr>
            <w:r>
              <w:rPr>
                <w:color w:val="000080"/>
              </w:rPr>
              <w:t>Merchant Energy</w:t>
            </w:r>
          </w:p>
          <w:p>
            <w:pPr>
              <w:pStyle w:val="AuthorE-Mail"/>
              <w:rPr/>
            </w:pPr>
            <w:r>
              <w:rPr/>
            </w:r>
          </w:p>
        </w:tc>
      </w:tr>
    </w:tbl>
    <w:p>
      <w:pPr>
        <w:pStyle w:val="MastHeadSpace2"/>
        <w:spacing w:lineRule="exact" w:line="520"/>
        <w:rPr/>
      </w:pPr>
      <w:r>
        <w:br w:type="column"/>
      </w:r>
      <w:r>
        <w:rPr/>
      </w:r>
      <w:r>
        <mc:AlternateContent>
          <mc:Choice Requires="wps">
            <w:drawing>
              <wp:anchor behindDoc="0" distT="0" distB="0" distL="118745" distR="118745" simplePos="0" locked="0" layoutInCell="0" allowOverlap="1" relativeHeight="3">
                <wp:simplePos x="0" y="0"/>
                <wp:positionH relativeFrom="page">
                  <wp:posOffset>5070475</wp:posOffset>
                </wp:positionH>
                <wp:positionV relativeFrom="page">
                  <wp:posOffset>366395</wp:posOffset>
                </wp:positionV>
                <wp:extent cx="1817370" cy="342900"/>
                <wp:effectExtent l="0" t="0" r="0" b="0"/>
                <wp:wrapSquare wrapText="bothSides"/>
                <wp:docPr id="2" name="Frame1"/>
                <a:graphic xmlns:a="http://schemas.openxmlformats.org/drawingml/2006/main">
                  <a:graphicData uri="http://schemas.microsoft.com/office/word/2010/wordprocessingShape">
                    <wps:wsp>
                      <wps:cNvSpPr txBox="1"/>
                      <wps:spPr>
                        <a:xfrm>
                          <a:off x="0" y="0"/>
                          <a:ext cx="1817370" cy="342900"/>
                        </a:xfrm>
                        <a:prstGeom prst="rect"/>
                        <a:solidFill>
                          <a:srgbClr val="FFFFFF">
                            <a:alpha val="0"/>
                          </a:srgbClr>
                        </a:solidFill>
                      </wps:spPr>
                      <wps:txbx>
                        <w:txbxContent>
                          <w:tbl>
                            <w:tblPr>
                              <w:tblW w:w="5000" w:type="pct"/>
                              <w:jc w:val="start"/>
                              <w:tblInd w:w="0" w:type="dxa"/>
                              <w:tblLayout w:type="fixed"/>
                              <w:tblCellMar>
                                <w:top w:w="0" w:type="dxa"/>
                                <w:start w:w="0" w:type="dxa"/>
                                <w:bottom w:w="0" w:type="dxa"/>
                                <w:end w:w="0" w:type="dxa"/>
                              </w:tblCellMar>
                            </w:tblPr>
                            <w:tblGrid>
                              <w:gridCol w:w="720"/>
                              <w:gridCol w:w="2142"/>
                            </w:tblGrid>
                            <w:tr>
                              <w:trPr>
                                <w:trHeight w:val="540" w:hRule="exact"/>
                              </w:trPr>
                              <w:tc>
                                <w:tcPr>
                                  <w:tcW w:w="720" w:type="dxa"/>
                                  <w:tcBorders/>
                                </w:tcPr>
                                <w:p>
                                  <w:pPr>
                                    <w:pStyle w:val="FrontRating"/>
                                    <w:snapToGrid w:val="false"/>
                                    <w:spacing w:before="0" w:after="20"/>
                                    <w:rPr/>
                                  </w:pPr>
                                  <w:r>
                                    <w:rPr/>
                                  </w:r>
                                </w:p>
                              </w:tc>
                              <w:tc>
                                <w:tcPr>
                                  <w:tcW w:w="2142" w:type="dxa"/>
                                  <w:tcBorders/>
                                </w:tcPr>
                                <w:p>
                                  <w:pPr>
                                    <w:pStyle w:val="FrontRatingDetail"/>
                                    <w:snapToGrid w:val="false"/>
                                    <w:spacing w:before="80" w:after="0"/>
                                    <w:rPr/>
                                  </w:pPr>
                                  <w:r>
                                    <w:rPr/>
                                  </w:r>
                                </w:p>
                              </w:tc>
                            </w:tr>
                          </w:tbl>
                        </w:txbxContent>
                      </wps:txbx>
                      <wps:bodyPr anchor="t" lIns="0" tIns="0" rIns="0" bIns="0">
                        <a:noAutofit/>
                      </wps:bodyPr>
                    </wps:wsp>
                  </a:graphicData>
                </a:graphic>
              </wp:anchor>
            </w:drawing>
          </mc:Choice>
          <mc:Fallback>
            <w:pict>
              <v:rect fillcolor="#FFFFFF" style="position:absolute;rotation:-0;width:143.1pt;height:27pt;mso-wrap-distance-left:9.35pt;mso-wrap-distance-right:9.35pt;mso-wrap-distance-top:0pt;mso-wrap-distance-bottom:0pt;margin-top:28.85pt;mso-position-vertical-relative:page;margin-left:399.25pt;mso-position-horizontal-relative:page">
                <v:fill opacity="0f"/>
                <v:textbox inset="0in,0in,0in,0in">
                  <w:txbxContent>
                    <w:tbl>
                      <w:tblPr>
                        <w:tblW w:w="5000" w:type="pct"/>
                        <w:jc w:val="start"/>
                        <w:tblInd w:w="0" w:type="dxa"/>
                        <w:tblLayout w:type="fixed"/>
                        <w:tblCellMar>
                          <w:top w:w="0" w:type="dxa"/>
                          <w:start w:w="0" w:type="dxa"/>
                          <w:bottom w:w="0" w:type="dxa"/>
                          <w:end w:w="0" w:type="dxa"/>
                        </w:tblCellMar>
                      </w:tblPr>
                      <w:tblGrid>
                        <w:gridCol w:w="720"/>
                        <w:gridCol w:w="2142"/>
                      </w:tblGrid>
                      <w:tr>
                        <w:trPr>
                          <w:trHeight w:val="540" w:hRule="exact"/>
                        </w:trPr>
                        <w:tc>
                          <w:tcPr>
                            <w:tcW w:w="720" w:type="dxa"/>
                            <w:tcBorders/>
                          </w:tcPr>
                          <w:p>
                            <w:pPr>
                              <w:pStyle w:val="FrontRating"/>
                              <w:snapToGrid w:val="false"/>
                              <w:spacing w:before="0" w:after="20"/>
                              <w:rPr/>
                            </w:pPr>
                            <w:r>
                              <w:rPr/>
                            </w:r>
                          </w:p>
                        </w:tc>
                        <w:tc>
                          <w:tcPr>
                            <w:tcW w:w="2142" w:type="dxa"/>
                            <w:tcBorders/>
                          </w:tcPr>
                          <w:p>
                            <w:pPr>
                              <w:pStyle w:val="FrontRatingDetail"/>
                              <w:snapToGrid w:val="false"/>
                              <w:spacing w:before="80" w:after="0"/>
                              <w:rPr/>
                            </w:pPr>
                            <w:r>
                              <w:rPr/>
                            </w:r>
                          </w:p>
                        </w:tc>
                      </w:tr>
                    </w:tbl>
                  </w:txbxContent>
                </v:textbox>
                <w10:wrap type="square"/>
              </v:rect>
            </w:pict>
          </mc:Fallback>
        </mc:AlternateContent>
      </w:r>
    </w:p>
    <w:tbl>
      <w:tblPr>
        <w:tblW w:w="7718" w:type="dxa"/>
        <w:jc w:val="start"/>
        <w:tblInd w:w="0" w:type="dxa"/>
        <w:tblLayout w:type="fixed"/>
        <w:tblCellMar>
          <w:top w:w="0" w:type="dxa"/>
          <w:start w:w="0" w:type="dxa"/>
          <w:bottom w:w="0" w:type="dxa"/>
          <w:end w:w="0" w:type="dxa"/>
        </w:tblCellMar>
      </w:tblPr>
      <w:tblGrid>
        <w:gridCol w:w="2952"/>
        <w:gridCol w:w="1886"/>
        <w:gridCol w:w="2880"/>
      </w:tblGrid>
      <w:tr>
        <w:trPr>
          <w:trHeight w:val="284" w:hRule="exact"/>
        </w:trPr>
        <w:tc>
          <w:tcPr>
            <w:tcW w:w="2952" w:type="dxa"/>
            <w:tcBorders/>
            <w:shd w:fill="000000" w:val="clear"/>
          </w:tcPr>
          <w:p>
            <w:pPr>
              <w:pStyle w:val="MastHeadBanner"/>
              <w:spacing w:before="20" w:after="0"/>
              <w:ind w:hanging="0" w:start="113" w:end="28"/>
              <w:rPr/>
            </w:pPr>
            <w:r>
              <w:rPr/>
              <w:t>EQUITY</w:t>
            </w:r>
          </w:p>
        </w:tc>
        <w:tc>
          <w:tcPr>
            <w:tcW w:w="1886" w:type="dxa"/>
            <w:tcBorders/>
          </w:tcPr>
          <w:p>
            <w:pPr>
              <w:pStyle w:val="T-Left"/>
              <w:snapToGrid w:val="false"/>
              <w:spacing w:before="20" w:after="0"/>
              <w:rPr>
                <w:lang w:val="en-GB"/>
              </w:rPr>
            </w:pPr>
            <w:r>
              <w:rPr>
                <w:lang w:val="en-GB"/>
              </w:rPr>
            </w:r>
          </w:p>
        </w:tc>
        <w:tc>
          <w:tcPr>
            <w:tcW w:w="2880" w:type="dxa"/>
            <w:tcBorders/>
          </w:tcPr>
          <w:p>
            <w:pPr>
              <w:pStyle w:val="FrontCap"/>
              <w:snapToGrid w:val="false"/>
              <w:spacing w:before="80" w:after="0"/>
              <w:rPr>
                <w:lang w:val="en-GB"/>
              </w:rPr>
            </w:pPr>
            <w:r>
              <w:rPr>
                <w:lang w:val="en-GB"/>
              </w:rPr>
            </w:r>
          </w:p>
        </w:tc>
      </w:tr>
      <w:tr>
        <w:trPr>
          <w:trHeight w:val="57" w:hRule="exact"/>
        </w:trPr>
        <w:tc>
          <w:tcPr>
            <w:tcW w:w="2952" w:type="dxa"/>
            <w:tcBorders/>
          </w:tcPr>
          <w:p>
            <w:pPr>
              <w:pStyle w:val="T-Left"/>
              <w:snapToGrid w:val="false"/>
              <w:spacing w:before="20" w:after="0"/>
              <w:rPr>
                <w:lang w:val="en-GB"/>
              </w:rPr>
            </w:pPr>
            <w:r>
              <w:rPr>
                <w:lang w:val="en-GB"/>
              </w:rPr>
            </w:r>
          </w:p>
        </w:tc>
        <w:tc>
          <w:tcPr>
            <w:tcW w:w="1886" w:type="dxa"/>
            <w:tcBorders/>
          </w:tcPr>
          <w:p>
            <w:pPr>
              <w:pStyle w:val="T-Left"/>
              <w:snapToGrid w:val="false"/>
              <w:spacing w:before="20" w:after="0"/>
              <w:rPr>
                <w:lang w:val="en-GB"/>
              </w:rPr>
            </w:pPr>
            <w:r>
              <w:rPr>
                <w:lang w:val="en-GB"/>
              </w:rPr>
            </w:r>
          </w:p>
        </w:tc>
        <w:tc>
          <w:tcPr>
            <w:tcW w:w="2880" w:type="dxa"/>
            <w:tcBorders/>
          </w:tcPr>
          <w:p>
            <w:pPr>
              <w:pStyle w:val="T-Left"/>
              <w:snapToGrid w:val="false"/>
              <w:spacing w:before="20" w:after="0"/>
              <w:rPr>
                <w:lang w:val="en-GB"/>
              </w:rPr>
            </w:pPr>
            <w:r>
              <w:rPr>
                <w:lang w:val="en-GB"/>
              </w:rPr>
            </w:r>
          </w:p>
        </w:tc>
      </w:tr>
      <w:tr>
        <w:trPr>
          <w:trHeight w:val="284" w:hRule="exact"/>
        </w:trPr>
        <w:tc>
          <w:tcPr>
            <w:tcW w:w="2952" w:type="dxa"/>
            <w:tcBorders/>
            <w:shd w:fill="000000" w:val="clear"/>
          </w:tcPr>
          <w:p>
            <w:pPr>
              <w:pStyle w:val="MastHeadBanner"/>
              <w:spacing w:before="20" w:after="0"/>
              <w:ind w:hanging="0" w:start="113" w:end="28"/>
              <w:rPr/>
            </w:pPr>
            <w:r>
              <w:rPr/>
              <w:t>RESEARCH:</w:t>
            </w:r>
          </w:p>
        </w:tc>
        <w:tc>
          <w:tcPr>
            <w:tcW w:w="1886" w:type="dxa"/>
            <w:tcBorders/>
          </w:tcPr>
          <w:p>
            <w:pPr>
              <w:pStyle w:val="T-Left"/>
              <w:snapToGrid w:val="false"/>
              <w:spacing w:before="20" w:after="0"/>
              <w:rPr>
                <w:lang w:val="en-GB"/>
              </w:rPr>
            </w:pPr>
            <w:r>
              <w:rPr>
                <w:lang w:val="en-GB"/>
              </w:rPr>
            </w:r>
          </w:p>
        </w:tc>
        <w:tc>
          <w:tcPr>
            <w:tcW w:w="2880" w:type="dxa"/>
            <w:tcBorders/>
          </w:tcPr>
          <w:p>
            <w:pPr>
              <w:pStyle w:val="FrontCapDetail"/>
              <w:snapToGrid w:val="false"/>
              <w:spacing w:before="40" w:after="40"/>
              <w:rPr>
                <w:lang w:val="en-GB"/>
              </w:rPr>
            </w:pPr>
            <w:r>
              <w:rPr>
                <w:lang w:val="en-GB"/>
              </w:rPr>
            </w:r>
          </w:p>
        </w:tc>
      </w:tr>
      <w:tr>
        <w:trPr>
          <w:trHeight w:val="57" w:hRule="exact"/>
        </w:trPr>
        <w:tc>
          <w:tcPr>
            <w:tcW w:w="2952" w:type="dxa"/>
            <w:tcBorders/>
          </w:tcPr>
          <w:p>
            <w:pPr>
              <w:pStyle w:val="T-Left"/>
              <w:snapToGrid w:val="false"/>
              <w:spacing w:before="20" w:after="0"/>
              <w:rPr>
                <w:rFonts w:ascii="Helvetica Black" w:hAnsi="Helvetica Black" w:cs="Helvetica Black"/>
                <w:lang w:val="en-GB"/>
              </w:rPr>
            </w:pPr>
            <w:r>
              <w:rPr>
                <w:rFonts w:cs="Helvetica Black" w:ascii="Helvetica Black" w:hAnsi="Helvetica Black"/>
                <w:lang w:val="en-GB"/>
              </w:rPr>
            </w:r>
          </w:p>
        </w:tc>
        <w:tc>
          <w:tcPr>
            <w:tcW w:w="1886" w:type="dxa"/>
            <w:tcBorders/>
          </w:tcPr>
          <w:p>
            <w:pPr>
              <w:pStyle w:val="T-Left"/>
              <w:snapToGrid w:val="false"/>
              <w:spacing w:before="20" w:after="0"/>
              <w:rPr>
                <w:rFonts w:ascii="Helvetica Black" w:hAnsi="Helvetica Black" w:cs="Helvetica Black"/>
                <w:lang w:val="en-GB"/>
              </w:rPr>
            </w:pPr>
            <w:r>
              <w:rPr>
                <w:rFonts w:cs="Helvetica Black" w:ascii="Helvetica Black" w:hAnsi="Helvetica Black"/>
                <w:lang w:val="en-GB"/>
              </w:rPr>
            </w:r>
          </w:p>
        </w:tc>
        <w:tc>
          <w:tcPr>
            <w:tcW w:w="2880" w:type="dxa"/>
            <w:tcBorders/>
          </w:tcPr>
          <w:p>
            <w:pPr>
              <w:pStyle w:val="T-Left"/>
              <w:snapToGrid w:val="false"/>
              <w:spacing w:before="20" w:after="0"/>
              <w:rPr>
                <w:lang w:val="en-GB"/>
              </w:rPr>
            </w:pPr>
            <w:r>
              <w:rPr>
                <w:lang w:val="en-GB"/>
              </w:rPr>
            </w:r>
          </w:p>
        </w:tc>
      </w:tr>
      <w:tr>
        <w:trPr>
          <w:trHeight w:val="284" w:hRule="exact"/>
        </w:trPr>
        <w:tc>
          <w:tcPr>
            <w:tcW w:w="2952" w:type="dxa"/>
            <w:tcBorders/>
            <w:shd w:fill="000000" w:val="clear"/>
          </w:tcPr>
          <w:p>
            <w:pPr>
              <w:pStyle w:val="MastHeadBanner"/>
              <w:spacing w:before="20" w:after="0"/>
              <w:ind w:hanging="0" w:start="113" w:end="28"/>
              <w:rPr/>
            </w:pPr>
            <w:r>
              <w:rPr/>
              <w:t>United States</w:t>
            </w:r>
          </w:p>
        </w:tc>
        <w:tc>
          <w:tcPr>
            <w:tcW w:w="1886" w:type="dxa"/>
            <w:tcBorders/>
          </w:tcPr>
          <w:p>
            <w:pPr>
              <w:pStyle w:val="T-Left"/>
              <w:snapToGrid w:val="false"/>
              <w:spacing w:before="20" w:after="0"/>
              <w:rPr>
                <w:lang w:val="en-GB"/>
              </w:rPr>
            </w:pPr>
            <w:r>
              <w:rPr>
                <w:lang w:val="en-GB"/>
              </w:rPr>
            </w:r>
          </w:p>
        </w:tc>
        <w:tc>
          <w:tcPr>
            <w:tcW w:w="2880" w:type="dxa"/>
            <w:tcBorders/>
          </w:tcPr>
          <w:p>
            <w:pPr>
              <w:pStyle w:val="FrontPortfolioStyle"/>
              <w:snapToGrid w:val="false"/>
              <w:spacing w:before="80" w:after="0"/>
              <w:rPr>
                <w:lang w:val="en-GB"/>
              </w:rPr>
            </w:pPr>
            <w:r>
              <w:rPr>
                <w:lang w:val="en-GB"/>
              </w:rPr>
            </w:r>
          </w:p>
        </w:tc>
      </w:tr>
      <w:tr>
        <w:trPr>
          <w:trHeight w:val="720" w:hRule="exact"/>
        </w:trPr>
        <w:tc>
          <w:tcPr>
            <w:tcW w:w="7718" w:type="dxa"/>
            <w:gridSpan w:val="3"/>
            <w:tcBorders/>
          </w:tcPr>
          <w:p>
            <w:pPr>
              <w:pStyle w:val="MastHeadSubject"/>
              <w:spacing w:lineRule="atLeast" w:line="360" w:before="100" w:after="180"/>
              <w:rPr/>
            </w:pPr>
            <w:r>
              <w:rPr/>
              <w:t>Power &amp; Natural Gas</w:t>
            </w:r>
          </w:p>
        </w:tc>
      </w:tr>
      <w:tr>
        <w:trPr>
          <w:trHeight w:val="284" w:hRule="exact"/>
        </w:trPr>
        <w:tc>
          <w:tcPr>
            <w:tcW w:w="2952" w:type="dxa"/>
            <w:tcBorders/>
            <w:shd w:fill="000000" w:val="clear"/>
          </w:tcPr>
          <w:p>
            <w:pPr>
              <w:pStyle w:val="MastHeadBanner"/>
              <w:snapToGrid w:val="false"/>
              <w:spacing w:before="20" w:after="0"/>
              <w:rPr>
                <w:rFonts w:ascii="Helvetica-Black" w:hAnsi="Helvetica-Black" w:cs="Helvetica-Black"/>
                <w:caps/>
              </w:rPr>
            </w:pPr>
            <w:r>
              <w:rPr>
                <w:rFonts w:cs="Helvetica-Black" w:ascii="Helvetica-Black" w:hAnsi="Helvetica-Black"/>
                <w:caps/>
              </w:rPr>
            </w:r>
            <w:bookmarkStart w:id="0" w:name="indu_here"/>
            <w:bookmarkStart w:id="1" w:name="indu_here"/>
            <w:bookmarkEnd w:id="1"/>
          </w:p>
        </w:tc>
        <w:tc>
          <w:tcPr>
            <w:tcW w:w="1886" w:type="dxa"/>
            <w:tcBorders/>
          </w:tcPr>
          <w:p>
            <w:pPr>
              <w:pStyle w:val="T-Left"/>
              <w:snapToGrid w:val="false"/>
              <w:spacing w:before="20" w:after="0"/>
              <w:rPr>
                <w:rFonts w:ascii="Helvetica-Black" w:hAnsi="Helvetica-Black" w:cs="Helvetica-Black"/>
                <w:color w:val="FFFFFF"/>
                <w:lang w:val="en-GB"/>
              </w:rPr>
            </w:pPr>
            <w:r>
              <w:rPr>
                <w:rFonts w:cs="Helvetica-Black" w:ascii="Helvetica-Black" w:hAnsi="Helvetica-Black"/>
                <w:color w:val="FFFFFF"/>
                <w:lang w:val="en-GB"/>
              </w:rPr>
            </w:r>
          </w:p>
        </w:tc>
        <w:tc>
          <w:tcPr>
            <w:tcW w:w="2880" w:type="dxa"/>
            <w:tcBorders>
              <w:top w:val="single" w:sz="6" w:space="0" w:color="000000"/>
              <w:start w:val="single" w:sz="18" w:space="0" w:color="000000"/>
            </w:tcBorders>
          </w:tcPr>
          <w:p>
            <w:pPr>
              <w:pStyle w:val="FrontIssueDate"/>
              <w:spacing w:before="80" w:after="0"/>
              <w:rPr>
                <w:rFonts w:ascii="Helvetica-Black" w:hAnsi="Helvetica-Black" w:cs="Helvetica-Black"/>
              </w:rPr>
            </w:pPr>
            <w:r>
              <w:rPr>
                <w:rFonts w:cs="Helvetica-Black" w:ascii="Helvetica-Black" w:hAnsi="Helvetica-Black"/>
              </w:rPr>
              <w:t>October 8, 2001</w:t>
            </w:r>
          </w:p>
        </w:tc>
      </w:tr>
    </w:tbl>
    <w:p>
      <w:pPr>
        <w:pStyle w:val="FrontTitle"/>
        <w:rPr/>
      </w:pPr>
      <w:bookmarkStart w:id="2" w:name="title_here"/>
      <w:bookmarkEnd w:id="2"/>
      <w:r>
        <w:rPr/>
        <w:t>Commodity Cycles — Learning from the Experts</w:t>
      </w:r>
    </w:p>
    <w:p>
      <w:pPr>
        <w:pStyle w:val="FrontSubTitle"/>
        <w:rPr/>
      </w:pPr>
      <w:bookmarkStart w:id="3" w:name="title_here"/>
      <w:bookmarkEnd w:id="3"/>
      <w:r>
        <w:rPr/>
        <w:t>The Big Kahunas Show Us How to Navigate the Waves</w:t>
      </w:r>
    </w:p>
    <w:p>
      <w:pPr>
        <w:pStyle w:val="FrontBullet"/>
        <w:numPr>
          <w:ilvl w:val="0"/>
          <w:numId w:val="12"/>
        </w:numPr>
        <w:ind w:hanging="0" w:start="0"/>
        <w:rPr/>
      </w:pPr>
      <w:bookmarkStart w:id="4" w:name="bullet_here"/>
      <w:bookmarkEnd w:id="4"/>
      <w:r>
        <w:rPr/>
        <w:t>The power industry is navigating its way through the downslope of its first-ever cycle since deregulation.</w:t>
      </w:r>
    </w:p>
    <w:p>
      <w:pPr>
        <w:pStyle w:val="FrontBullet"/>
        <w:numPr>
          <w:ilvl w:val="0"/>
          <w:numId w:val="12"/>
        </w:numPr>
        <w:ind w:hanging="0" w:start="0"/>
        <w:rPr/>
      </w:pPr>
      <w:r>
        <w:rPr/>
        <w:t>We interviewed our counterparts in traditional cyclical sectors to understand what factors help them to determine the peaks, troughs, and inflection points in their respective industries.</w:t>
      </w:r>
    </w:p>
    <w:p>
      <w:pPr>
        <w:pStyle w:val="FrontBullet"/>
        <w:numPr>
          <w:ilvl w:val="0"/>
          <w:numId w:val="12"/>
        </w:numPr>
        <w:ind w:hanging="0" w:start="0"/>
        <w:rPr/>
      </w:pPr>
      <w:r>
        <w:rPr/>
        <w:t>The most consistent and prominent indicator was industry supply levels.  Overly optimistic capacity expansion was viewed as a prime culprit in lowering stock and product prices.</w:t>
      </w:r>
    </w:p>
    <w:p>
      <w:pPr>
        <w:pStyle w:val="FrontBullet"/>
        <w:numPr>
          <w:ilvl w:val="0"/>
          <w:numId w:val="12"/>
        </w:numPr>
        <w:ind w:hanging="0" w:start="0"/>
        <w:rPr/>
      </w:pPr>
      <w:r>
        <w:rPr/>
        <w:t>We have already seen sector indications of an indirect relationship between generation capacity announcements and stock performance.</w:t>
      </w:r>
    </w:p>
    <w:p>
      <w:pPr>
        <w:sectPr>
          <w:headerReference w:type="even" r:id="rId3"/>
          <w:headerReference w:type="default" r:id="rId4"/>
          <w:headerReference w:type="first" r:id="rId5"/>
          <w:footerReference w:type="even" r:id="rId6"/>
          <w:footerReference w:type="default" r:id="rId7"/>
          <w:footerReference w:type="first" r:id="rId8"/>
          <w:type w:val="nextPage"/>
          <w:pgSz w:w="12200" w:h="15600"/>
          <w:pgMar w:left="936" w:right="1786" w:gutter="0" w:header="259" w:top="446" w:footer="302" w:bottom="1253"/>
          <w:pgNumType w:fmt="decimal"/>
          <w:cols w:num="2" w:equalWidth="false" w:sep="false">
            <w:col w:w="2059" w:space="172"/>
            <w:col w:w="7243"/>
          </w:cols>
          <w:formProt w:val="false"/>
          <w:titlePg/>
          <w:textDirection w:val="lrTb"/>
          <w:docGrid w:type="default" w:linePitch="360" w:charSpace="0"/>
        </w:sectPr>
        <w:pStyle w:val="FrontBullet"/>
        <w:numPr>
          <w:ilvl w:val="0"/>
          <w:numId w:val="12"/>
        </w:numPr>
        <w:ind w:hanging="0" w:start="0"/>
        <w:rPr/>
      </w:pPr>
      <w:r>
        <w:rPr/>
        <w:t xml:space="preserve">Lessons from other cyclical industries provide insight on when and how to call the bottom in this group. </w:t>
      </w:r>
    </w:p>
    <w:p>
      <w:pPr>
        <w:pStyle w:val="TOC1"/>
        <w:rPr/>
      </w:pPr>
      <w:bookmarkStart w:id="5" w:name="toc_start"/>
      <w:bookmarkStart w:id="6" w:name="databox_here"/>
      <w:bookmarkEnd w:id="5"/>
      <w:bookmarkEnd w:id="6"/>
      <w:r>
        <w:rPr/>
        <w:t>Executive Summary</w:t>
        <w:tab/>
        <w:t>3</w:t>
      </w:r>
      <w:r>
        <mc:AlternateContent>
          <mc:Choice Requires="wps">
            <w:drawing>
              <wp:anchor behindDoc="0" distT="0" distB="0" distL="114935" distR="114935" simplePos="0" locked="0" layoutInCell="0" allowOverlap="1" relativeHeight="4">
                <wp:simplePos x="0" y="0"/>
                <wp:positionH relativeFrom="margin">
                  <wp:posOffset>0</wp:posOffset>
                </wp:positionH>
                <wp:positionV relativeFrom="page">
                  <wp:posOffset>375285</wp:posOffset>
                </wp:positionV>
                <wp:extent cx="4770755" cy="629920"/>
                <wp:effectExtent l="0" t="0" r="0" b="0"/>
                <wp:wrapSquare wrapText="bothSides"/>
                <wp:docPr id="8" name="Frame2"/>
                <a:graphic xmlns:a="http://schemas.openxmlformats.org/drawingml/2006/main">
                  <a:graphicData uri="http://schemas.microsoft.com/office/word/2010/wordprocessingShape">
                    <wps:wsp>
                      <wps:cNvSpPr txBox="1"/>
                      <wps:spPr>
                        <a:xfrm>
                          <a:off x="0" y="0"/>
                          <a:ext cx="4770755" cy="629920"/>
                        </a:xfrm>
                        <a:prstGeom prst="rect"/>
                        <a:solidFill>
                          <a:srgbClr val="FFFFFF">
                            <a:alpha val="0"/>
                          </a:srgbClr>
                        </a:solidFill>
                      </wps:spPr>
                      <wps:txbx>
                        <w:txbxContent>
                          <w:tbl>
                            <w:tblPr>
                              <w:tblW w:w="7513" w:type="dxa"/>
                              <w:jc w:val="start"/>
                              <w:tblInd w:w="0" w:type="dxa"/>
                              <w:tblLayout w:type="fixed"/>
                              <w:tblCellMar>
                                <w:top w:w="0" w:type="dxa"/>
                                <w:start w:w="0" w:type="dxa"/>
                                <w:bottom w:w="0" w:type="dxa"/>
                                <w:end w:w="0" w:type="dxa"/>
                              </w:tblCellMar>
                            </w:tblPr>
                            <w:tblGrid>
                              <w:gridCol w:w="2665"/>
                              <w:gridCol w:w="4848"/>
                            </w:tblGrid>
                            <w:tr>
                              <w:trPr>
                                <w:trHeight w:val="244" w:hRule="exact"/>
                              </w:trPr>
                              <w:tc>
                                <w:tcPr>
                                  <w:tcW w:w="2665" w:type="dxa"/>
                                  <w:tcBorders/>
                                </w:tcPr>
                                <w:p>
                                  <w:pPr>
                                    <w:pStyle w:val="Normal"/>
                                    <w:pageBreakBefore/>
                                    <w:shd w:fill="000000" w:val="clear"/>
                                    <w:snapToGrid w:val="false"/>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spacing w:before="0" w:after="120"/>
                                    <w:rPr>
                                      <w:lang w:val="en-GB"/>
                                    </w:rPr>
                                  </w:pPr>
                                  <w:r>
                                    <w:rPr>
                                      <w:lang w:val="en-GB"/>
                                    </w:rPr>
                                  </w:r>
                                </w:p>
                              </w:tc>
                              <w:tc>
                                <w:tcPr>
                                  <w:tcW w:w="4848" w:type="dxa"/>
                                  <w:tcBorders/>
                                </w:tcPr>
                                <w:p>
                                  <w:pPr>
                                    <w:pStyle w:val="Normal"/>
                                    <w:snapToGrid w:val="false"/>
                                    <w:spacing w:before="0" w:after="120"/>
                                    <w:rPr>
                                      <w:lang w:val="en-GB"/>
                                    </w:rPr>
                                  </w:pPr>
                                  <w:r>
                                    <w:rPr>
                                      <w:lang w:val="en-GB"/>
                                    </w:rPr>
                                  </w:r>
                                </w:p>
                              </w:tc>
                            </w:tr>
                          </w:tbl>
                          <w:p>
                            <w:pPr>
                              <w:pStyle w:val="HeadingTOC"/>
                              <w:rPr/>
                            </w:pPr>
                            <w:bookmarkStart w:id="7" w:name="toc_head"/>
                            <w:r>
                              <w:rPr/>
                              <w:t>Table of Contents</w:t>
                            </w:r>
                            <w:bookmarkEnd w:id="7"/>
                          </w:p>
                          <w:p>
                            <w:pPr>
                              <w:pStyle w:val="Normal"/>
                              <w:rPr/>
                            </w:pPr>
                            <w:r>
                              <w:rPr/>
                            </w:r>
                          </w:p>
                          <w:p>
                            <w:pPr>
                              <w:pStyle w:val="Normal"/>
                              <w:spacing w:before="0" w:after="120"/>
                              <w:rPr/>
                            </w:pPr>
                            <w:r>
                              <w:rPr/>
                            </w:r>
                          </w:p>
                        </w:txbxContent>
                      </wps:txbx>
                      <wps:bodyPr anchor="t" lIns="0" tIns="0" rIns="0" bIns="0">
                        <a:noAutofit/>
                      </wps:bodyPr>
                    </wps:wsp>
                  </a:graphicData>
                </a:graphic>
              </wp:anchor>
            </w:drawing>
          </mc:Choice>
          <mc:Fallback>
            <w:pict>
              <v:rect fillcolor="#FFFFFF" style="position:absolute;rotation:-0;width:375.65pt;height:49.6pt;mso-wrap-distance-left:9.05pt;mso-wrap-distance-right:9.05pt;mso-wrap-distance-top:0pt;mso-wrap-distance-bottom:0pt;margin-top:29.55pt;mso-position-vertical-relative:page;margin-left:0pt;mso-position-horizontal-relative:margin">
                <v:fill opacity="0f"/>
                <v:textbox inset="0in,0in,0in,0in">
                  <w:txbxContent>
                    <w:tbl>
                      <w:tblPr>
                        <w:tblW w:w="7513" w:type="dxa"/>
                        <w:jc w:val="start"/>
                        <w:tblInd w:w="0" w:type="dxa"/>
                        <w:tblLayout w:type="fixed"/>
                        <w:tblCellMar>
                          <w:top w:w="0" w:type="dxa"/>
                          <w:start w:w="0" w:type="dxa"/>
                          <w:bottom w:w="0" w:type="dxa"/>
                          <w:end w:w="0" w:type="dxa"/>
                        </w:tblCellMar>
                      </w:tblPr>
                      <w:tblGrid>
                        <w:gridCol w:w="2665"/>
                        <w:gridCol w:w="4848"/>
                      </w:tblGrid>
                      <w:tr>
                        <w:trPr>
                          <w:trHeight w:val="244" w:hRule="exact"/>
                        </w:trPr>
                        <w:tc>
                          <w:tcPr>
                            <w:tcW w:w="2665" w:type="dxa"/>
                            <w:tcBorders/>
                          </w:tcPr>
                          <w:p>
                            <w:pPr>
                              <w:pStyle w:val="Normal"/>
                              <w:pageBreakBefore/>
                              <w:shd w:fill="000000" w:val="clear"/>
                              <w:snapToGrid w:val="false"/>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spacing w:before="0" w:after="120"/>
                              <w:rPr>
                                <w:lang w:val="en-GB"/>
                              </w:rPr>
                            </w:pPr>
                            <w:r>
                              <w:rPr>
                                <w:lang w:val="en-GB"/>
                              </w:rPr>
                            </w:r>
                          </w:p>
                        </w:tc>
                        <w:tc>
                          <w:tcPr>
                            <w:tcW w:w="4848" w:type="dxa"/>
                            <w:tcBorders/>
                          </w:tcPr>
                          <w:p>
                            <w:pPr>
                              <w:pStyle w:val="Normal"/>
                              <w:snapToGrid w:val="false"/>
                              <w:spacing w:before="0" w:after="120"/>
                              <w:rPr>
                                <w:lang w:val="en-GB"/>
                              </w:rPr>
                            </w:pPr>
                            <w:r>
                              <w:rPr>
                                <w:lang w:val="en-GB"/>
                              </w:rPr>
                            </w:r>
                          </w:p>
                        </w:tc>
                      </w:tr>
                    </w:tbl>
                    <w:p>
                      <w:pPr>
                        <w:pStyle w:val="HeadingTOC"/>
                        <w:rPr/>
                      </w:pPr>
                      <w:bookmarkStart w:id="8" w:name="toc_head"/>
                      <w:r>
                        <w:rPr/>
                        <w:t>Table of Contents</w:t>
                      </w:r>
                      <w:bookmarkEnd w:id="8"/>
                    </w:p>
                    <w:p>
                      <w:pPr>
                        <w:pStyle w:val="Normal"/>
                        <w:rPr/>
                      </w:pPr>
                      <w:r>
                        <w:rPr/>
                      </w:r>
                    </w:p>
                    <w:p>
                      <w:pPr>
                        <w:pStyle w:val="Normal"/>
                        <w:spacing w:before="0" w:after="120"/>
                        <w:rPr/>
                      </w:pPr>
                      <w:r>
                        <w:rPr/>
                      </w:r>
                    </w:p>
                  </w:txbxContent>
                </v:textbox>
                <w10:wrap type="square"/>
              </v:rect>
            </w:pict>
          </mc:Fallback>
        </mc:AlternateContent>
      </w:r>
    </w:p>
    <w:sdt>
      <w:sdtPr>
        <w:docPartObj>
          <w:docPartGallery w:val="Table of Contents"/>
          <w:docPartUnique w:val="true"/>
        </w:docPartObj>
      </w:sdtPr>
      <w:sdtContent>
        <w:p>
          <w:pPr>
            <w:pStyle w:val="TOC1"/>
            <w:rPr>
              <w:lang w:val="en-CA"/>
            </w:rPr>
          </w:pPr>
          <w:r>
            <w:fldChar w:fldCharType="begin"/>
          </w:r>
          <w:r>
            <w:rPr>
              <w:lang w:val="en-CA"/>
            </w:rPr>
            <w:instrText xml:space="preserve"> TOC \o "1-2" \t "D-Text" </w:instrText>
          </w:r>
          <w:r>
            <w:rPr>
              <w:lang w:val="en-CA"/>
            </w:rPr>
            <w:fldChar w:fldCharType="separate"/>
          </w:r>
          <w:r>
            <w:rPr>
              <w:lang w:val="en-CA"/>
            </w:rPr>
            <w:t>Knowing When and How to Pick Your Wave</w:t>
            <w:tab/>
          </w:r>
          <w:hyperlink w:anchor="__RefHeading___Toc526931277">
            <w:r>
              <w:rPr>
                <w:rStyle w:val="IndexLink"/>
                <w:lang w:val="en-CA"/>
              </w:rPr>
              <w:t>4</w:t>
            </w:r>
          </w:hyperlink>
        </w:p>
        <w:p>
          <w:pPr>
            <w:pStyle w:val="TOC2"/>
            <w:rPr>
              <w:lang w:val="en-CA"/>
            </w:rPr>
          </w:pPr>
          <w:r>
            <w:rPr>
              <w:lang w:val="en-CA"/>
            </w:rPr>
            <w:t>The Bottom Line</w:t>
            <w:tab/>
          </w:r>
          <w:hyperlink w:anchor="__RefHeading___Toc526931278">
            <w:r>
              <w:rPr>
                <w:rStyle w:val="IndexLink"/>
                <w:lang w:val="en-CA"/>
              </w:rPr>
              <w:t>4</w:t>
            </w:r>
          </w:hyperlink>
        </w:p>
        <w:p>
          <w:pPr>
            <w:pStyle w:val="TOC1"/>
            <w:rPr>
              <w:lang w:val="en-CA"/>
            </w:rPr>
          </w:pPr>
          <w:r>
            <w:rPr>
              <w:lang w:val="en-CA"/>
            </w:rPr>
            <w:t>An Education on Cyclical Sectors</w:t>
            <w:tab/>
          </w:r>
          <w:hyperlink w:anchor="__RefHeading___Toc526931279">
            <w:r>
              <w:rPr>
                <w:rStyle w:val="IndexLink"/>
                <w:lang w:val="en-CA"/>
              </w:rPr>
              <w:t>5</w:t>
            </w:r>
          </w:hyperlink>
        </w:p>
        <w:p>
          <w:pPr>
            <w:pStyle w:val="TOC2"/>
            <w:rPr>
              <w:lang w:val="en-CA"/>
            </w:rPr>
          </w:pPr>
          <w:r>
            <w:rPr>
              <w:lang w:val="en-CA"/>
            </w:rPr>
            <w:t>Old Hat for Some — the Dawn of a New Era for Others</w:t>
            <w:tab/>
          </w:r>
          <w:hyperlink w:anchor="__RefHeading___Toc526931280">
            <w:r>
              <w:rPr>
                <w:rStyle w:val="IndexLink"/>
                <w:lang w:val="en-CA"/>
              </w:rPr>
              <w:t>5</w:t>
            </w:r>
          </w:hyperlink>
        </w:p>
        <w:p>
          <w:pPr>
            <w:pStyle w:val="TOC2"/>
            <w:rPr>
              <w:lang w:val="en-CA"/>
            </w:rPr>
          </w:pPr>
          <w:r>
            <w:rPr>
              <w:lang w:val="en-CA"/>
            </w:rPr>
            <w:t>How Does This Relate to the Power and Natural Gas Industry?</w:t>
            <w:tab/>
          </w:r>
          <w:hyperlink w:anchor="__RefHeading___Toc526931281">
            <w:r>
              <w:rPr>
                <w:rStyle w:val="IndexLink"/>
                <w:lang w:val="en-CA"/>
              </w:rPr>
              <w:t>8</w:t>
            </w:r>
          </w:hyperlink>
        </w:p>
        <w:p>
          <w:pPr>
            <w:pStyle w:val="TOC1"/>
            <w:rPr>
              <w:lang w:val="en-CA"/>
            </w:rPr>
          </w:pPr>
          <w:r>
            <w:rPr>
              <w:lang w:val="en-CA"/>
            </w:rPr>
            <w:t>Appendix:  Specific Industry Comments</w:t>
            <w:tab/>
          </w:r>
          <w:hyperlink w:anchor="__RefHeading___Toc526931282">
            <w:r>
              <w:rPr>
                <w:rStyle w:val="IndexLink"/>
                <w:lang w:val="en-CA"/>
              </w:rPr>
              <w:t>14</w:t>
            </w:r>
          </w:hyperlink>
          <w:r>
            <w:rPr>
              <w:rStyle w:val="IndexLink"/>
              <w:lang w:val="en-CA"/>
            </w:rPr>
            <w:fldChar w:fldCharType="end"/>
          </w:r>
        </w:p>
      </w:sdtContent>
    </w:sdt>
    <w:p>
      <w:pPr>
        <w:pStyle w:val="TOC3"/>
        <w:rPr/>
      </w:pPr>
      <w:r>
        <w:rPr/>
        <w:t>Figures:</w:t>
      </w:r>
    </w:p>
    <w:p>
      <w:pPr>
        <w:pStyle w:val="TableofFigures"/>
        <w:rPr>
          <w:lang w:val="en-CA"/>
        </w:rPr>
      </w:pPr>
      <w:r>
        <w:fldChar w:fldCharType="begin"/>
      </w:r>
      <w:r>
        <w:rPr>
          <w:lang w:val="en-CA"/>
        </w:rPr>
        <w:instrText xml:space="preserve"> TOC \t "D-Text" \c "Figure" </w:instrText>
      </w:r>
      <w:r>
        <w:rPr>
          <w:lang w:val="en-CA"/>
        </w:rPr>
        <w:fldChar w:fldCharType="separate"/>
      </w:r>
      <w:r>
        <w:rPr>
          <w:lang w:val="en-CA"/>
        </w:rPr>
        <w:t>Figure 1.  Factors for Calling the Top and Bottom of the Cycle</w:t>
        <w:tab/>
      </w:r>
      <w:hyperlink w:anchor="__RefHeading___Toc526931283">
        <w:r>
          <w:rPr>
            <w:rStyle w:val="IndexLink"/>
            <w:lang w:val="en-CA"/>
          </w:rPr>
          <w:t>4</w:t>
        </w:r>
      </w:hyperlink>
    </w:p>
    <w:p>
      <w:pPr>
        <w:pStyle w:val="TableofFigures"/>
        <w:rPr>
          <w:lang w:val="en-CA"/>
        </w:rPr>
      </w:pPr>
      <w:r>
        <w:rPr>
          <w:lang w:val="en-CA"/>
        </w:rPr>
        <w:t>Figure 2.  U.S. Refining Capital Expenditures vs. Gulf Coast Cash Refining Margins</w:t>
        <w:tab/>
      </w:r>
      <w:hyperlink w:anchor="__RefHeading___Toc526931284">
        <w:r>
          <w:rPr>
            <w:rStyle w:val="IndexLink"/>
            <w:lang w:val="en-CA"/>
          </w:rPr>
          <w:t>6</w:t>
        </w:r>
      </w:hyperlink>
    </w:p>
    <w:p>
      <w:pPr>
        <w:pStyle w:val="TableofFigures"/>
        <w:rPr>
          <w:lang w:val="en-CA"/>
        </w:rPr>
      </w:pPr>
      <w:r>
        <w:rPr>
          <w:lang w:val="en-CA"/>
        </w:rPr>
        <w:t>Figure 3.  Paper Relative Performance vs. Three Year Moving Average of U.S. Capacity Growth</w:t>
        <w:tab/>
      </w:r>
      <w:hyperlink w:anchor="__RefHeading___Toc526931285">
        <w:r>
          <w:rPr>
            <w:rStyle w:val="IndexLink"/>
            <w:lang w:val="en-CA"/>
          </w:rPr>
          <w:t>7</w:t>
        </w:r>
      </w:hyperlink>
    </w:p>
    <w:p>
      <w:pPr>
        <w:pStyle w:val="TableofFigures"/>
        <w:rPr>
          <w:lang w:val="en-CA"/>
        </w:rPr>
      </w:pPr>
      <w:r>
        <w:rPr>
          <w:lang w:val="en-CA"/>
        </w:rPr>
        <w:t>Figure 4.  Factors that Affect the Semiconductor Cycle — Rags to Riches</w:t>
        <w:tab/>
      </w:r>
      <w:hyperlink w:anchor="__RefHeading___Toc526931286">
        <w:r>
          <w:rPr>
            <w:rStyle w:val="IndexLink"/>
            <w:lang w:val="en-CA"/>
          </w:rPr>
          <w:t>8</w:t>
        </w:r>
      </w:hyperlink>
    </w:p>
    <w:p>
      <w:pPr>
        <w:pStyle w:val="TableofFigures"/>
        <w:rPr>
          <w:lang w:val="en-CA"/>
        </w:rPr>
      </w:pPr>
      <w:r>
        <w:rPr>
          <w:lang w:val="en-CA"/>
        </w:rPr>
        <w:t>Figure 5.  The Megawatt Life Cycle</w:t>
        <w:tab/>
      </w:r>
      <w:hyperlink w:anchor="__RefHeading___Toc526931287">
        <w:r>
          <w:rPr>
            <w:rStyle w:val="IndexLink"/>
            <w:lang w:val="en-CA"/>
          </w:rPr>
          <w:t>9</w:t>
        </w:r>
      </w:hyperlink>
    </w:p>
    <w:p>
      <w:pPr>
        <w:pStyle w:val="TableofFigures"/>
        <w:rPr>
          <w:lang w:val="en-CA"/>
        </w:rPr>
      </w:pPr>
      <w:r>
        <w:rPr>
          <w:lang w:val="en-CA"/>
        </w:rPr>
        <w:t>Figure 6.  Ripples Among the Waves:  Energy Merchant, Power Producer, and SPX Performance vs. Three-Month Trailing Average of U.S. Capacity Announcements</w:t>
        <w:tab/>
      </w:r>
      <w:hyperlink w:anchor="__RefHeading___Toc526931288">
        <w:r>
          <w:rPr>
            <w:rStyle w:val="IndexLink"/>
            <w:lang w:val="en-CA"/>
          </w:rPr>
          <w:t>10</w:t>
        </w:r>
      </w:hyperlink>
    </w:p>
    <w:p>
      <w:pPr>
        <w:pStyle w:val="TableofFigures"/>
        <w:rPr>
          <w:lang w:val="en-CA"/>
        </w:rPr>
      </w:pPr>
      <w:r>
        <w:rPr>
          <w:lang w:val="en-CA"/>
        </w:rPr>
        <w:t>Figure 7.  The Waves — Energy Merchants and Power Producer Performance vs. Spark Spreads</w:t>
        <w:tab/>
      </w:r>
      <w:hyperlink w:anchor="__RefHeading___Toc526931289">
        <w:r>
          <w:rPr>
            <w:rStyle w:val="IndexLink"/>
            <w:lang w:val="en-CA"/>
          </w:rPr>
          <w:t>12</w:t>
        </w:r>
      </w:hyperlink>
      <w:r>
        <w:rPr>
          <w:rStyle w:val="IndexLink"/>
          <w:lang w:val="en-CA"/>
        </w:rPr>
        <w:fldChar w:fldCharType="end"/>
      </w:r>
    </w:p>
    <w:p>
      <w:pPr>
        <w:pStyle w:val="Normal"/>
        <w:rPr>
          <w:lang w:val="en-CA"/>
        </w:rPr>
      </w:pPr>
      <w:r>
        <w:rPr>
          <w:lang w:val="en-CA"/>
        </w:rPr>
      </w:r>
    </w:p>
    <w:p>
      <w:pPr>
        <w:pStyle w:val="Normal"/>
        <w:rPr/>
      </w:pPr>
      <w:r>
        <w:rPr/>
      </w:r>
    </w:p>
    <w:p>
      <w:pPr>
        <w:sectPr>
          <w:headerReference w:type="even" r:id="rId9"/>
          <w:headerReference w:type="default" r:id="rId10"/>
          <w:headerReference w:type="first" r:id="rId11"/>
          <w:footerReference w:type="even" r:id="rId12"/>
          <w:footerReference w:type="default" r:id="rId13"/>
          <w:footerReference w:type="first" r:id="rId14"/>
          <w:type w:val="nextPage"/>
          <w:pgSz w:w="12200" w:h="15600"/>
          <w:pgMar w:left="2434" w:right="1310" w:gutter="0" w:header="288" w:top="1008" w:footer="302" w:bottom="1152"/>
          <w:pgNumType w:fmt="decimal"/>
          <w:formProt w:val="false"/>
          <w:textDirection w:val="lrTb"/>
          <w:docGrid w:type="default" w:linePitch="360" w:charSpace="0"/>
        </w:sectPr>
        <w:pStyle w:val="Normal"/>
        <w:rPr>
          <w:rFonts w:ascii="Times New Roman" w:hAnsi="Times New Roman" w:cs="Times New Roman"/>
          <w:i/>
          <w:i/>
        </w:rPr>
      </w:pPr>
      <w:bookmarkStart w:id="9" w:name="toc_end"/>
      <w:bookmarkEnd w:id="9"/>
      <w:r>
        <w:rPr>
          <w:rFonts w:cs="Times New Roman" w:ascii="Times New Roman" w:hAnsi="Times New Roman"/>
          <w:i/>
        </w:rPr>
        <w:t>We would like to thank Brian T. Taddeo for his significant contribution to this report.</w:t>
      </w:r>
    </w:p>
    <w:p>
      <w:pPr>
        <w:pStyle w:val="ExecSumDec"/>
        <w:rPr/>
      </w:pPr>
      <w:r>
        <w:rPr/>
        <w:t xml:space="preserve">With the deregulation of the Power and Natural Gas industry over the past decade, the sector has undergone a number of changes.  As the power industry reached its first peak in power prices in the latter part of 2000, the sector is now navigating its way down the curve, looking for signs of a bottom.  We sought the help of our counterparts in the cyclical sectors to help us better understand the “nature of the beast.” </w:t>
      </w:r>
      <w:r>
        <mc:AlternateContent>
          <mc:Choice Requires="wps">
            <w:drawing>
              <wp:anchor behindDoc="0" distT="0" distB="0" distL="118745" distR="118745" simplePos="0" locked="0" layoutInCell="0" allowOverlap="1" relativeHeight="5">
                <wp:simplePos x="0" y="0"/>
                <wp:positionH relativeFrom="margin">
                  <wp:posOffset>0</wp:posOffset>
                </wp:positionH>
                <wp:positionV relativeFrom="page">
                  <wp:posOffset>375285</wp:posOffset>
                </wp:positionV>
                <wp:extent cx="4770755" cy="180340"/>
                <wp:effectExtent l="0" t="0" r="0" b="0"/>
                <wp:wrapSquare wrapText="bothSides"/>
                <wp:docPr id="11" name="Frame3"/>
                <a:graphic xmlns:a="http://schemas.openxmlformats.org/drawingml/2006/main">
                  <a:graphicData uri="http://schemas.microsoft.com/office/word/2010/wordprocessingShape">
                    <wps:wsp>
                      <wps:cNvSpPr txBox="1"/>
                      <wps:spPr>
                        <a:xfrm>
                          <a:off x="0" y="0"/>
                          <a:ext cx="4770755" cy="180340"/>
                        </a:xfrm>
                        <a:prstGeom prst="rect"/>
                        <a:solidFill>
                          <a:srgbClr val="FFFFFF">
                            <a:alpha val="0"/>
                          </a:srgbClr>
                        </a:solidFill>
                      </wps:spPr>
                      <wps:txbx>
                        <w:txbxContent>
                          <w:tbl>
                            <w:tblPr>
                              <w:tblW w:w="5000" w:type="pct"/>
                              <w:jc w:val="start"/>
                              <w:tblInd w:w="0" w:type="dxa"/>
                              <w:tblLayout w:type="fixed"/>
                              <w:tblCellMar>
                                <w:top w:w="0" w:type="dxa"/>
                                <w:start w:w="0" w:type="dxa"/>
                                <w:bottom w:w="0" w:type="dxa"/>
                                <w:end w:w="0" w:type="dxa"/>
                              </w:tblCellMar>
                            </w:tblPr>
                            <w:tblGrid>
                              <w:gridCol w:w="2665"/>
                              <w:gridCol w:w="4848"/>
                            </w:tblGrid>
                            <w:tr>
                              <w:trPr>
                                <w:trHeight w:val="284" w:hRule="exact"/>
                              </w:trPr>
                              <w:tc>
                                <w:tcPr>
                                  <w:tcW w:w="2665" w:type="dxa"/>
                                  <w:tcBorders/>
                                </w:tcPr>
                                <w:p>
                                  <w:pPr>
                                    <w:pStyle w:val="Normal"/>
                                    <w:pageBreakBefore/>
                                    <w:shd w:fill="000000" w:val="clear"/>
                                    <w:snapToGrid w:val="false"/>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spacing w:before="0" w:after="120"/>
                                    <w:rPr>
                                      <w:lang w:val="en-GB"/>
                                    </w:rPr>
                                  </w:pPr>
                                  <w:r>
                                    <w:rPr>
                                      <w:lang w:val="en-GB"/>
                                    </w:rPr>
                                  </w:r>
                                </w:p>
                              </w:tc>
                              <w:tc>
                                <w:tcPr>
                                  <w:tcW w:w="4848" w:type="dxa"/>
                                  <w:tcBorders/>
                                </w:tcPr>
                                <w:p>
                                  <w:pPr>
                                    <w:pStyle w:val="Normal"/>
                                    <w:snapToGrid w:val="false"/>
                                    <w:spacing w:before="0" w:after="120"/>
                                    <w:rPr>
                                      <w:lang w:val="en-GB"/>
                                    </w:rPr>
                                  </w:pPr>
                                  <w:r>
                                    <w:rPr>
                                      <w:lang w:val="en-GB"/>
                                    </w:rPr>
                                  </w:r>
                                </w:p>
                              </w:tc>
                            </w:tr>
                          </w:tbl>
                        </w:txbxContent>
                      </wps:txbx>
                      <wps:bodyPr anchor="t" lIns="0" tIns="0" rIns="0" bIns="0">
                        <a:noAutofit/>
                      </wps:bodyPr>
                    </wps:wsp>
                  </a:graphicData>
                </a:graphic>
              </wp:anchor>
            </w:drawing>
          </mc:Choice>
          <mc:Fallback>
            <w:pict>
              <v:rect fillcolor="#FFFFFF" style="position:absolute;rotation:-0;width:375.65pt;height:14.2pt;mso-wrap-distance-left:9.35pt;mso-wrap-distance-right:9.35pt;mso-wrap-distance-top:0pt;mso-wrap-distance-bottom:0pt;margin-top:29.55pt;mso-position-vertical-relative:page;margin-left:0pt;mso-position-horizontal-relative:margin">
                <v:fill opacity="0f"/>
                <v:textbox inset="0in,0in,0in,0in">
                  <w:txbxContent>
                    <w:tbl>
                      <w:tblPr>
                        <w:tblW w:w="5000" w:type="pct"/>
                        <w:jc w:val="start"/>
                        <w:tblInd w:w="0" w:type="dxa"/>
                        <w:tblLayout w:type="fixed"/>
                        <w:tblCellMar>
                          <w:top w:w="0" w:type="dxa"/>
                          <w:start w:w="0" w:type="dxa"/>
                          <w:bottom w:w="0" w:type="dxa"/>
                          <w:end w:w="0" w:type="dxa"/>
                        </w:tblCellMar>
                      </w:tblPr>
                      <w:tblGrid>
                        <w:gridCol w:w="2665"/>
                        <w:gridCol w:w="4848"/>
                      </w:tblGrid>
                      <w:tr>
                        <w:trPr>
                          <w:trHeight w:val="284" w:hRule="exact"/>
                        </w:trPr>
                        <w:tc>
                          <w:tcPr>
                            <w:tcW w:w="2665" w:type="dxa"/>
                            <w:tcBorders/>
                          </w:tcPr>
                          <w:p>
                            <w:pPr>
                              <w:pStyle w:val="Normal"/>
                              <w:pageBreakBefore/>
                              <w:shd w:fill="000000" w:val="clear"/>
                              <w:snapToGrid w:val="false"/>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spacing w:before="0" w:after="120"/>
                              <w:rPr>
                                <w:lang w:val="en-GB"/>
                              </w:rPr>
                            </w:pPr>
                            <w:r>
                              <w:rPr>
                                <w:lang w:val="en-GB"/>
                              </w:rPr>
                            </w:r>
                          </w:p>
                        </w:tc>
                        <w:tc>
                          <w:tcPr>
                            <w:tcW w:w="4848" w:type="dxa"/>
                            <w:tcBorders/>
                          </w:tcPr>
                          <w:p>
                            <w:pPr>
                              <w:pStyle w:val="Normal"/>
                              <w:snapToGrid w:val="false"/>
                              <w:spacing w:before="0" w:after="120"/>
                              <w:rPr>
                                <w:lang w:val="en-GB"/>
                              </w:rPr>
                            </w:pPr>
                            <w:r>
                              <w:rPr>
                                <w:lang w:val="en-GB"/>
                              </w:rPr>
                            </w:r>
                          </w:p>
                        </w:tc>
                      </w:tr>
                    </w:tbl>
                  </w:txbxContent>
                </v:textbox>
                <w10:wrap type="square"/>
              </v:rect>
            </w:pict>
          </mc:Fallback>
        </mc:AlternateContent>
      </w:r>
    </w:p>
    <w:p>
      <w:pPr>
        <w:pStyle w:val="ExecSumHeading"/>
        <w:rPr>
          <w:lang w:val="en-GB"/>
        </w:rPr>
      </w:pPr>
      <w:r>
        <w:rPr>
          <w:lang w:val="en-GB"/>
        </w:rPr>
        <w:t>There are a number of common themes that span many of the cyclical sectors.</w:t>
      </w:r>
    </w:p>
    <w:p>
      <w:pPr>
        <w:pStyle w:val="ExecSumNormal"/>
        <w:rPr/>
      </w:pPr>
      <w:r>
        <w:rPr/>
        <w:t xml:space="preserve">We gained insight from six traditionally cyclical sectors, spanning semiconductors, airlines, and chemicals.  Although very different in their natures, the sectors expressed many of the same drivers as they relate to determining the tops and bottoms of cycles.  These include capacity supply versus demand, utilization rates, inventory levels, and order flow. </w:t>
      </w:r>
    </w:p>
    <w:p>
      <w:pPr>
        <w:pStyle w:val="ExecSumHeading"/>
        <w:rPr>
          <w:lang w:val="en-GB"/>
        </w:rPr>
      </w:pPr>
      <w:r>
        <w:rPr>
          <w:lang w:val="en-GB"/>
        </w:rPr>
        <w:t>The Power and Natural Gas sector maintains a number of similarities to these traditionally cyclical sectors.</w:t>
      </w:r>
    </w:p>
    <w:p>
      <w:pPr>
        <w:pStyle w:val="ExecSumNormal"/>
        <w:rPr/>
      </w:pPr>
      <w:r>
        <w:rPr/>
        <w:t xml:space="preserve">Although power companies do not have the ability to carry inventory, there are several other commonalities with the traditionally cyclical sectors that provide some insight into power and natural gas cycle trends.  These similarities include </w:t>
      </w:r>
      <w:r>
        <w:rPr>
          <w:i/>
        </w:rPr>
        <w:t>multiyear buildout periods</w:t>
      </w:r>
      <w:r>
        <w:rPr/>
        <w:t xml:space="preserve"> and </w:t>
      </w:r>
      <w:r>
        <w:rPr>
          <w:i/>
        </w:rPr>
        <w:t>commodity-like underlying products</w:t>
      </w:r>
      <w:r>
        <w:rPr/>
        <w:t xml:space="preserve">.  Likewise, we have already seen similar implications in that the mere announcement of large-capacity expansion tends to signal a peak in stock prices.  Product prices tend to follow several months later.  </w:t>
      </w:r>
    </w:p>
    <w:p>
      <w:pPr>
        <w:pStyle w:val="ExecSumHeading"/>
        <w:rPr>
          <w:lang w:val="en-GB"/>
        </w:rPr>
      </w:pPr>
      <w:r>
        <w:rPr>
          <w:lang w:val="en-GB"/>
        </w:rPr>
        <w:t>We expect Energy Merchants will be less subject to the sharp cyclical swings than Power Producers.</w:t>
      </w:r>
    </w:p>
    <w:p>
      <w:pPr>
        <w:sectPr>
          <w:headerReference w:type="even" r:id="rId15"/>
          <w:headerReference w:type="default" r:id="rId16"/>
          <w:headerReference w:type="first" r:id="rId17"/>
          <w:footerReference w:type="even" r:id="rId18"/>
          <w:footerReference w:type="default" r:id="rId19"/>
          <w:footerReference w:type="first" r:id="rId20"/>
          <w:type w:val="nextPage"/>
          <w:pgSz w:w="12200" w:h="15600"/>
          <w:pgMar w:left="2434" w:right="2722" w:gutter="0" w:header="288" w:top="835" w:footer="302" w:bottom="1253"/>
          <w:pgNumType w:fmt="decimal"/>
          <w:formProt w:val="false"/>
          <w:textDirection w:val="lrTb"/>
          <w:docGrid w:type="default" w:linePitch="360" w:charSpace="0"/>
        </w:sectPr>
        <w:pStyle w:val="ExecSumNormal"/>
        <w:rPr/>
      </w:pPr>
      <w:r>
        <w:rPr/>
        <w:t>Given the inherent portfolio-neutral stance Energy Merchants take, we believe this group will experience less-pronounced shifts related to the business cycle for power than Power Producers.  In our view, their ability to offset and utilize long power positions related to owned megawatt capacity in complex structured deals, as well as their ability to take short positions in the market, allows these firms to generate more consistent earnings in expansion and contraction periods than those that simply maintain a position on one side of the market.  Based on historical price performance, this would likely indicate Energy Merchants should outperform Power Producers over the long term, which is consistent with our current thesis, and we believe it strengthens it.  Nevertheless, even while viewing Power Producers as cyclical in nature, the purpose of this report is to identify the criteria for calling the bottom of the cycle.</w:t>
      </w:r>
    </w:p>
    <w:p>
      <w:pPr>
        <w:pStyle w:val="Heading2"/>
        <w:ind w:hanging="0" w:start="0"/>
        <w:rPr>
          <w:lang w:val="en-GB"/>
        </w:rPr>
      </w:pPr>
      <w:bookmarkStart w:id="10" w:name="__RefHeading___Toc526931278"/>
      <w:bookmarkEnd w:id="10"/>
      <w:r>
        <w:rPr>
          <w:lang w:val="en-GB"/>
        </w:rPr>
        <w:t>The Bottom Line</w:t>
      </w:r>
      <w:r>
        <mc:AlternateContent>
          <mc:Choice Requires="wps">
            <w:drawing>
              <wp:anchor behindDoc="0" distT="0" distB="0" distL="114935" distR="114935" simplePos="0" locked="0" layoutInCell="0" allowOverlap="1" relativeHeight="6">
                <wp:simplePos x="0" y="0"/>
                <wp:positionH relativeFrom="page">
                  <wp:posOffset>2190750</wp:posOffset>
                </wp:positionH>
                <wp:positionV relativeFrom="page">
                  <wp:posOffset>366395</wp:posOffset>
                </wp:positionV>
                <wp:extent cx="4770755" cy="919480"/>
                <wp:effectExtent l="0" t="0" r="0" b="0"/>
                <wp:wrapSquare wrapText="bothSides"/>
                <wp:docPr id="21" name="Frame4"/>
                <a:graphic xmlns:a="http://schemas.openxmlformats.org/drawingml/2006/main">
                  <a:graphicData uri="http://schemas.microsoft.com/office/word/2010/wordprocessingShape">
                    <wps:wsp>
                      <wps:cNvSpPr txBox="1"/>
                      <wps:spPr>
                        <a:xfrm>
                          <a:off x="0" y="0"/>
                          <a:ext cx="4770755" cy="919480"/>
                        </a:xfrm>
                        <a:prstGeom prst="rect"/>
                        <a:solidFill>
                          <a:srgbClr val="FFFFFF">
                            <a:alpha val="0"/>
                          </a:srgbClr>
                        </a:solidFill>
                      </wps:spPr>
                      <wps:txbx>
                        <w:txbxContent>
                          <w:tbl>
                            <w:tblPr>
                              <w:tblW w:w="7513" w:type="dxa"/>
                              <w:jc w:val="start"/>
                              <w:tblInd w:w="0" w:type="dxa"/>
                              <w:tblLayout w:type="fixed"/>
                              <w:tblCellMar>
                                <w:top w:w="0" w:type="dxa"/>
                                <w:start w:w="0" w:type="dxa"/>
                                <w:bottom w:w="0" w:type="dxa"/>
                                <w:end w:w="0" w:type="dxa"/>
                              </w:tblCellMar>
                            </w:tblPr>
                            <w:tblGrid>
                              <w:gridCol w:w="2665"/>
                              <w:gridCol w:w="4848"/>
                            </w:tblGrid>
                            <w:tr>
                              <w:trPr>
                                <w:trHeight w:val="284" w:hRule="exact"/>
                              </w:trPr>
                              <w:tc>
                                <w:tcPr>
                                  <w:tcW w:w="2665" w:type="dxa"/>
                                  <w:tcBorders/>
                                </w:tcPr>
                                <w:p>
                                  <w:pPr>
                                    <w:pStyle w:val="Normal"/>
                                    <w:pageBreakBefore/>
                                    <w:shd w:fill="000000" w:val="clear"/>
                                    <w:snapToGrid w:val="false"/>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spacing w:before="0" w:after="120"/>
                                    <w:rPr>
                                      <w:lang w:val="en-GB"/>
                                    </w:rPr>
                                  </w:pPr>
                                  <w:r>
                                    <w:rPr>
                                      <w:lang w:val="en-GB"/>
                                    </w:rPr>
                                  </w:r>
                                </w:p>
                              </w:tc>
                              <w:tc>
                                <w:tcPr>
                                  <w:tcW w:w="4848" w:type="dxa"/>
                                  <w:tcBorders/>
                                </w:tcPr>
                                <w:p>
                                  <w:pPr>
                                    <w:pStyle w:val="Normal"/>
                                    <w:snapToGrid w:val="false"/>
                                    <w:spacing w:before="0" w:after="120"/>
                                    <w:rPr>
                                      <w:lang w:val="en-GB"/>
                                    </w:rPr>
                                  </w:pPr>
                                  <w:r>
                                    <w:rPr>
                                      <w:lang w:val="en-GB"/>
                                    </w:rPr>
                                  </w:r>
                                </w:p>
                              </w:tc>
                            </w:tr>
                          </w:tbl>
                          <w:p>
                            <w:pPr>
                              <w:pStyle w:val="Heading1"/>
                              <w:rPr>
                                <w:lang w:val="en-GB"/>
                              </w:rPr>
                            </w:pPr>
                            <w:bookmarkStart w:id="11" w:name="__RefHeading___Toc526931277"/>
                            <w:bookmarkEnd w:id="11"/>
                            <w:r>
                              <w:rPr>
                                <w:lang w:val="en-GB"/>
                              </w:rPr>
                              <w:t>Knowing When and How to Pick Your Wave</w:t>
                            </w:r>
                          </w:p>
                          <w:p>
                            <w:pPr>
                              <w:pStyle w:val="Normal"/>
                              <w:spacing w:before="0" w:after="120"/>
                              <w:rPr/>
                            </w:pPr>
                            <w:r>
                              <w:rPr/>
                            </w:r>
                          </w:p>
                        </w:txbxContent>
                      </wps:txbx>
                      <wps:bodyPr anchor="t" lIns="0" tIns="0" rIns="0" bIns="0">
                        <a:noAutofit/>
                      </wps:bodyPr>
                    </wps:wsp>
                  </a:graphicData>
                </a:graphic>
              </wp:anchor>
            </w:drawing>
          </mc:Choice>
          <mc:Fallback>
            <w:pict>
              <v:rect fillcolor="#FFFFFF" style="position:absolute;rotation:-0;width:375.65pt;height:72.4pt;mso-wrap-distance-left:9.05pt;mso-wrap-distance-right:9.05pt;mso-wrap-distance-top:0pt;mso-wrap-distance-bottom:0pt;margin-top:28.85pt;mso-position-vertical-relative:page;margin-left:172.5pt;mso-position-horizontal-relative:page">
                <v:fill opacity="0f"/>
                <v:textbox inset="0in,0in,0in,0in">
                  <w:txbxContent>
                    <w:tbl>
                      <w:tblPr>
                        <w:tblW w:w="7513" w:type="dxa"/>
                        <w:jc w:val="start"/>
                        <w:tblInd w:w="0" w:type="dxa"/>
                        <w:tblLayout w:type="fixed"/>
                        <w:tblCellMar>
                          <w:top w:w="0" w:type="dxa"/>
                          <w:start w:w="0" w:type="dxa"/>
                          <w:bottom w:w="0" w:type="dxa"/>
                          <w:end w:w="0" w:type="dxa"/>
                        </w:tblCellMar>
                      </w:tblPr>
                      <w:tblGrid>
                        <w:gridCol w:w="2665"/>
                        <w:gridCol w:w="4848"/>
                      </w:tblGrid>
                      <w:tr>
                        <w:trPr>
                          <w:trHeight w:val="284" w:hRule="exact"/>
                        </w:trPr>
                        <w:tc>
                          <w:tcPr>
                            <w:tcW w:w="2665" w:type="dxa"/>
                            <w:tcBorders/>
                          </w:tcPr>
                          <w:p>
                            <w:pPr>
                              <w:pStyle w:val="Normal"/>
                              <w:pageBreakBefore/>
                              <w:shd w:fill="000000" w:val="clear"/>
                              <w:snapToGrid w:val="false"/>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spacing w:before="0" w:after="120"/>
                              <w:rPr>
                                <w:lang w:val="en-GB"/>
                              </w:rPr>
                            </w:pPr>
                            <w:r>
                              <w:rPr>
                                <w:lang w:val="en-GB"/>
                              </w:rPr>
                            </w:r>
                          </w:p>
                        </w:tc>
                        <w:tc>
                          <w:tcPr>
                            <w:tcW w:w="4848" w:type="dxa"/>
                            <w:tcBorders/>
                          </w:tcPr>
                          <w:p>
                            <w:pPr>
                              <w:pStyle w:val="Normal"/>
                              <w:snapToGrid w:val="false"/>
                              <w:spacing w:before="0" w:after="120"/>
                              <w:rPr>
                                <w:lang w:val="en-GB"/>
                              </w:rPr>
                            </w:pPr>
                            <w:r>
                              <w:rPr>
                                <w:lang w:val="en-GB"/>
                              </w:rPr>
                            </w:r>
                          </w:p>
                        </w:tc>
                      </w:tr>
                    </w:tbl>
                    <w:p>
                      <w:pPr>
                        <w:pStyle w:val="Heading1"/>
                        <w:rPr>
                          <w:lang w:val="en-GB"/>
                        </w:rPr>
                      </w:pPr>
                      <w:bookmarkStart w:id="12" w:name="__RefHeading___Toc526931277"/>
                      <w:bookmarkEnd w:id="12"/>
                      <w:r>
                        <w:rPr>
                          <w:lang w:val="en-GB"/>
                        </w:rPr>
                        <w:t>Knowing When and How to Pick Your Wave</w:t>
                      </w:r>
                    </w:p>
                    <w:p>
                      <w:pPr>
                        <w:pStyle w:val="Normal"/>
                        <w:spacing w:before="0" w:after="120"/>
                        <w:rPr/>
                      </w:pPr>
                      <w:r>
                        <w:rPr/>
                      </w:r>
                    </w:p>
                  </w:txbxContent>
                </v:textbox>
                <w10:wrap type="square"/>
              </v:rect>
            </w:pict>
          </mc:Fallback>
        </mc:AlternateContent>
      </w:r>
    </w:p>
    <w:p>
      <w:pPr>
        <w:pStyle w:val="Normal"/>
        <w:rPr/>
      </w:pPr>
      <w:r>
        <w:rPr/>
        <w:t>With the deregulation of the U.S. natural gas industry more than a decade ago and the more recent deregulation of the U.S. wholesale electricity industry in 1996, the Power and Natural Gas sector has made great strides in evolving away from the stereotypical monopolistic giant it once was and into a collection of competitive energy suppliers, distributors, and integrated utilities.  This ongoing transformation has helped to evolve the sector into a more efficient machine, but with that increased efficiency comes a free pass to surf the waves that many other industries have ridden for so long.</w:t>
      </w:r>
    </w:p>
    <w:p>
      <w:pPr>
        <w:pStyle w:val="Normal"/>
        <w:rPr/>
      </w:pPr>
      <w:r>
        <w:rPr/>
        <w:t xml:space="preserve">For this reason, we set out to tackle the question of which factors will aid in determining the peaks and troughs, as Power Producers and Energy Merchants make their way through future cycles.  What we discovered from our colleagues in historically cyclical sectors turned out to not only be very interesting, but also very relevant to the Power and Natural Gas industry.  </w:t>
      </w:r>
    </w:p>
    <w:p>
      <w:pPr>
        <w:pStyle w:val="Normal"/>
        <w:rPr/>
      </w:pPr>
      <w:r>
        <w:rPr/>
        <w:t>Figure 1 provides a brief list of items that we believe best underlie the cyclical movements in the industry.  Although no one item alone will likely define the turning point, we believe the combination of these data points will determine the path of the cycle.  From changes in capacity expansion announcements, to access to bank and capital markets, to widening and contracting spark spreads, we believe each item uncovers its own unique piece of the puzzle.</w:t>
      </w:r>
    </w:p>
    <w:p>
      <w:pPr>
        <w:pStyle w:val="Caption"/>
        <w:rPr/>
      </w:pPr>
      <w:bookmarkStart w:id="13" w:name="__RefHeading___Toc526931283"/>
      <w:bookmarkEnd w:id="13"/>
      <w:r>
        <w:rPr/>
        <w:t xml:space="preserve">Figure </w:t>
      </w:r>
      <w:r>
        <w:rPr/>
        <w:fldChar w:fldCharType="begin"/>
      </w:r>
      <w:r>
        <w:rPr/>
        <w:instrText xml:space="preserve"> SEQ Figure \* ARABIC </w:instrText>
      </w:r>
      <w:r>
        <w:rPr/>
        <w:fldChar w:fldCharType="separate"/>
      </w:r>
      <w:r>
        <w:rPr/>
        <w:t>1</w:t>
      </w:r>
      <w:r>
        <w:rPr/>
        <w:fldChar w:fldCharType="end"/>
      </w:r>
      <w:r>
        <w:rPr/>
        <w:t>.  Factors for Calling the Top and Bottom of the Cycle</w:t>
      </w:r>
      <w:r>
        <mc:AlternateContent>
          <mc:Choice Requires="wps">
            <w:drawing>
              <wp:anchor behindDoc="0" distT="114935" distB="114935" distL="114935" distR="114935" simplePos="0" locked="0" layoutInCell="0" allowOverlap="1" relativeHeight="7">
                <wp:simplePos x="0" y="0"/>
                <wp:positionH relativeFrom="margin">
                  <wp:posOffset>-1475740</wp:posOffset>
                </wp:positionH>
                <wp:positionV relativeFrom="paragraph">
                  <wp:posOffset>29210</wp:posOffset>
                </wp:positionV>
                <wp:extent cx="1260475" cy="419100"/>
                <wp:effectExtent l="0" t="0" r="0" b="0"/>
                <wp:wrapSquare wrapText="bothSides"/>
                <wp:docPr id="22" name="Frame5"/>
                <a:graphic xmlns:a="http://schemas.openxmlformats.org/drawingml/2006/main">
                  <a:graphicData uri="http://schemas.microsoft.com/office/word/2010/wordprocessingShape">
                    <wps:wsp>
                      <wps:cNvSpPr txBox="1"/>
                      <wps:spPr>
                        <a:xfrm>
                          <a:off x="0" y="0"/>
                          <a:ext cx="1260475" cy="419100"/>
                        </a:xfrm>
                        <a:prstGeom prst="rect"/>
                        <a:solidFill>
                          <a:srgbClr val="FFFFFF">
                            <a:alpha val="0"/>
                          </a:srgbClr>
                        </a:solidFill>
                      </wps:spPr>
                      <wps:txbx>
                        <w:txbxContent>
                          <w:p>
                            <w:pPr>
                              <w:pStyle w:val="HangingText"/>
                              <w:spacing w:before="0" w:after="120"/>
                              <w:rPr>
                                <w:lang w:val="en-GB"/>
                              </w:rPr>
                            </w:pPr>
                            <w:r>
                              <w:rPr>
                                <w:lang w:val="en-GB"/>
                              </w:rPr>
                              <w:t>The Checklist:  How to pick the tops and bottoms.</w:t>
                            </w:r>
                          </w:p>
                        </w:txbxContent>
                      </wps:txbx>
                      <wps:bodyPr anchor="t" lIns="0" tIns="0" rIns="0" bIns="0">
                        <a:noAutofit/>
                      </wps:bodyPr>
                    </wps:wsp>
                  </a:graphicData>
                </a:graphic>
              </wp:anchor>
            </w:drawing>
          </mc:Choice>
          <mc:Fallback>
            <w:pict>
              <v:rect fillcolor="#FFFFFF" style="position:absolute;rotation:-0;width:99.25pt;height:33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before="0" w:after="120"/>
                        <w:rPr>
                          <w:lang w:val="en-GB"/>
                        </w:rPr>
                      </w:pPr>
                      <w:r>
                        <w:rPr>
                          <w:lang w:val="en-GB"/>
                        </w:rPr>
                        <w:t>The Checklist:  How to pick the tops and bottoms.</w:t>
                      </w:r>
                    </w:p>
                  </w:txbxContent>
                </v:textbox>
                <w10:wrap type="square"/>
              </v:rect>
            </w:pict>
          </mc:Fallback>
        </mc:AlternateContent>
      </w:r>
    </w:p>
    <w:p>
      <w:pPr>
        <w:pStyle w:val="Normal"/>
        <w:rPr>
          <w:lang w:val="en-GB"/>
        </w:rPr>
      </w:pPr>
      <w:r>
        <w:rPr>
          <w:lang w:val="en-GB"/>
        </w:rPr>
        <w:drawing>
          <wp:inline distT="0" distB="0" distL="0" distR="0">
            <wp:extent cx="4754245" cy="2207260"/>
            <wp:effectExtent l="0" t="0" r="0" b="0"/>
            <wp:docPr id="2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 descr="" title=""/>
                    <pic:cNvPicPr>
                      <a:picLocks noChangeAspect="1" noChangeArrowheads="1"/>
                    </pic:cNvPicPr>
                  </pic:nvPicPr>
                  <pic:blipFill>
                    <a:blip r:embed="rId21"/>
                    <a:srcRect l="-6" t="-14" r="-6" b="-14"/>
                    <a:stretch>
                      <a:fillRect/>
                    </a:stretch>
                  </pic:blipFill>
                  <pic:spPr bwMode="auto">
                    <a:xfrm>
                      <a:off x="0" y="0"/>
                      <a:ext cx="4754245" cy="2207260"/>
                    </a:xfrm>
                    <a:prstGeom prst="rect">
                      <a:avLst/>
                    </a:prstGeom>
                    <a:noFill/>
                  </pic:spPr>
                </pic:pic>
              </a:graphicData>
            </a:graphic>
          </wp:inline>
        </w:drawing>
      </w:r>
    </w:p>
    <w:p>
      <w:pPr>
        <w:pStyle w:val="Source"/>
        <w:rPr>
          <w:lang w:val="en-GB"/>
        </w:rPr>
      </w:pPr>
      <w:r>
        <w:rPr>
          <w:lang w:val="en-GB"/>
        </w:rPr>
        <w:t>Source:  Salomon Smith Barney.</w:t>
      </w:r>
    </w:p>
    <w:p>
      <w:pPr>
        <w:pStyle w:val="Normal"/>
        <w:rPr>
          <w:lang w:val="en-GB"/>
        </w:rPr>
      </w:pPr>
      <w:r>
        <w:rPr>
          <w:lang w:val="en-GB"/>
        </w:rPr>
        <w:t>In addition, we believe Energy Merchants will experience less dramatic swings than Power Producers due to their portfolio management approach.  This bodes well for Energy Merchants, as less-cyclical sectors have traditionally outperformed more-cyclical ones over the long term.</w:t>
      </w:r>
    </w:p>
    <w:p>
      <w:pPr>
        <w:pStyle w:val="Heading2"/>
        <w:ind w:hanging="0" w:start="0"/>
        <w:rPr>
          <w:lang w:val="en-GB"/>
        </w:rPr>
      </w:pPr>
      <w:bookmarkStart w:id="14" w:name="__RefHeading___Toc526931280"/>
      <w:bookmarkEnd w:id="14"/>
      <w:r>
        <w:rPr>
          <w:lang w:val="en-GB"/>
        </w:rPr>
        <w:t>Old Hat for Some — the Dawn of a New Era for Others</w:t>
      </w:r>
      <w:r>
        <mc:AlternateContent>
          <mc:Choice Requires="wps">
            <w:drawing>
              <wp:anchor behindDoc="0" distT="0" distB="0" distL="114935" distR="114935" simplePos="0" locked="0" layoutInCell="0" allowOverlap="1" relativeHeight="9">
                <wp:simplePos x="0" y="0"/>
                <wp:positionH relativeFrom="margin">
                  <wp:posOffset>0</wp:posOffset>
                </wp:positionH>
                <wp:positionV relativeFrom="page">
                  <wp:posOffset>375285</wp:posOffset>
                </wp:positionV>
                <wp:extent cx="4770755" cy="629920"/>
                <wp:effectExtent l="0" t="0" r="0" b="0"/>
                <wp:wrapSquare wrapText="bothSides"/>
                <wp:docPr id="24" name="Frame6"/>
                <a:graphic xmlns:a="http://schemas.openxmlformats.org/drawingml/2006/main">
                  <a:graphicData uri="http://schemas.microsoft.com/office/word/2010/wordprocessingShape">
                    <wps:wsp>
                      <wps:cNvSpPr txBox="1"/>
                      <wps:spPr>
                        <a:xfrm>
                          <a:off x="0" y="0"/>
                          <a:ext cx="4770755" cy="629920"/>
                        </a:xfrm>
                        <a:prstGeom prst="rect"/>
                        <a:solidFill>
                          <a:srgbClr val="FFFFFF">
                            <a:alpha val="0"/>
                          </a:srgbClr>
                        </a:solidFill>
                      </wps:spPr>
                      <wps:txbx>
                        <w:txbxContent>
                          <w:tbl>
                            <w:tblPr>
                              <w:tblW w:w="7513" w:type="dxa"/>
                              <w:jc w:val="start"/>
                              <w:tblInd w:w="0" w:type="dxa"/>
                              <w:tblLayout w:type="fixed"/>
                              <w:tblCellMar>
                                <w:top w:w="0" w:type="dxa"/>
                                <w:start w:w="0" w:type="dxa"/>
                                <w:bottom w:w="0" w:type="dxa"/>
                                <w:end w:w="0" w:type="dxa"/>
                              </w:tblCellMar>
                            </w:tblPr>
                            <w:tblGrid>
                              <w:gridCol w:w="2665"/>
                              <w:gridCol w:w="4848"/>
                            </w:tblGrid>
                            <w:tr>
                              <w:trPr>
                                <w:trHeight w:val="284" w:hRule="exact"/>
                              </w:trPr>
                              <w:tc>
                                <w:tcPr>
                                  <w:tcW w:w="2665" w:type="dxa"/>
                                  <w:tcBorders/>
                                </w:tcPr>
                                <w:p>
                                  <w:pPr>
                                    <w:pStyle w:val="Normal"/>
                                    <w:pageBreakBefore/>
                                    <w:shd w:fill="000000" w:val="clear"/>
                                    <w:snapToGrid w:val="false"/>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spacing w:before="0" w:after="120"/>
                                    <w:rPr>
                                      <w:lang w:val="en-GB"/>
                                    </w:rPr>
                                  </w:pPr>
                                  <w:r>
                                    <w:rPr>
                                      <w:lang w:val="en-GB"/>
                                    </w:rPr>
                                  </w:r>
                                </w:p>
                              </w:tc>
                              <w:tc>
                                <w:tcPr>
                                  <w:tcW w:w="4848" w:type="dxa"/>
                                  <w:tcBorders/>
                                </w:tcPr>
                                <w:p>
                                  <w:pPr>
                                    <w:pStyle w:val="Normal"/>
                                    <w:snapToGrid w:val="false"/>
                                    <w:spacing w:before="0" w:after="120"/>
                                    <w:rPr>
                                      <w:lang w:val="en-GB"/>
                                    </w:rPr>
                                  </w:pPr>
                                  <w:r>
                                    <w:rPr>
                                      <w:lang w:val="en-GB"/>
                                    </w:rPr>
                                  </w:r>
                                </w:p>
                              </w:tc>
                            </w:tr>
                          </w:tbl>
                          <w:p>
                            <w:pPr>
                              <w:pStyle w:val="Heading1"/>
                              <w:rPr>
                                <w:lang w:val="en-GB"/>
                              </w:rPr>
                            </w:pPr>
                            <w:bookmarkStart w:id="15" w:name="__RefHeading___Toc526931279"/>
                            <w:bookmarkEnd w:id="15"/>
                            <w:r>
                              <w:rPr>
                                <w:lang w:val="en-GB"/>
                              </w:rPr>
                              <w:t>An Education on Cyclical Sectors</w:t>
                            </w:r>
                          </w:p>
                        </w:txbxContent>
                      </wps:txbx>
                      <wps:bodyPr anchor="t" lIns="0" tIns="0" rIns="0" bIns="0">
                        <a:noAutofit/>
                      </wps:bodyPr>
                    </wps:wsp>
                  </a:graphicData>
                </a:graphic>
              </wp:anchor>
            </w:drawing>
          </mc:Choice>
          <mc:Fallback>
            <w:pict>
              <v:rect fillcolor="#FFFFFF" style="position:absolute;rotation:-0;width:375.65pt;height:49.6pt;mso-wrap-distance-left:9.05pt;mso-wrap-distance-right:9.05pt;mso-wrap-distance-top:0pt;mso-wrap-distance-bottom:0pt;margin-top:29.55pt;mso-position-vertical-relative:page;margin-left:0pt;mso-position-horizontal-relative:margin">
                <v:fill opacity="0f"/>
                <v:textbox inset="0in,0in,0in,0in">
                  <w:txbxContent>
                    <w:tbl>
                      <w:tblPr>
                        <w:tblW w:w="7513" w:type="dxa"/>
                        <w:jc w:val="start"/>
                        <w:tblInd w:w="0" w:type="dxa"/>
                        <w:tblLayout w:type="fixed"/>
                        <w:tblCellMar>
                          <w:top w:w="0" w:type="dxa"/>
                          <w:start w:w="0" w:type="dxa"/>
                          <w:bottom w:w="0" w:type="dxa"/>
                          <w:end w:w="0" w:type="dxa"/>
                        </w:tblCellMar>
                      </w:tblPr>
                      <w:tblGrid>
                        <w:gridCol w:w="2665"/>
                        <w:gridCol w:w="4848"/>
                      </w:tblGrid>
                      <w:tr>
                        <w:trPr>
                          <w:trHeight w:val="284" w:hRule="exact"/>
                        </w:trPr>
                        <w:tc>
                          <w:tcPr>
                            <w:tcW w:w="2665" w:type="dxa"/>
                            <w:tcBorders/>
                          </w:tcPr>
                          <w:p>
                            <w:pPr>
                              <w:pStyle w:val="Normal"/>
                              <w:pageBreakBefore/>
                              <w:shd w:fill="000000" w:val="clear"/>
                              <w:snapToGrid w:val="false"/>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spacing w:before="0" w:after="120"/>
                              <w:rPr>
                                <w:lang w:val="en-GB"/>
                              </w:rPr>
                            </w:pPr>
                            <w:r>
                              <w:rPr>
                                <w:lang w:val="en-GB"/>
                              </w:rPr>
                            </w:r>
                          </w:p>
                        </w:tc>
                        <w:tc>
                          <w:tcPr>
                            <w:tcW w:w="4848" w:type="dxa"/>
                            <w:tcBorders/>
                          </w:tcPr>
                          <w:p>
                            <w:pPr>
                              <w:pStyle w:val="Normal"/>
                              <w:snapToGrid w:val="false"/>
                              <w:spacing w:before="0" w:after="120"/>
                              <w:rPr>
                                <w:lang w:val="en-GB"/>
                              </w:rPr>
                            </w:pPr>
                            <w:r>
                              <w:rPr>
                                <w:lang w:val="en-GB"/>
                              </w:rPr>
                            </w:r>
                          </w:p>
                        </w:tc>
                      </w:tr>
                    </w:tbl>
                    <w:p>
                      <w:pPr>
                        <w:pStyle w:val="Heading1"/>
                        <w:rPr>
                          <w:lang w:val="en-GB"/>
                        </w:rPr>
                      </w:pPr>
                      <w:bookmarkStart w:id="16" w:name="__RefHeading___Toc526931279"/>
                      <w:bookmarkEnd w:id="16"/>
                      <w:r>
                        <w:rPr>
                          <w:lang w:val="en-GB"/>
                        </w:rPr>
                        <w:t>An Education on Cyclical Sectors</w:t>
                      </w:r>
                    </w:p>
                  </w:txbxContent>
                </v:textbox>
                <w10:wrap type="square"/>
              </v:rect>
            </w:pict>
          </mc:Fallback>
        </mc:AlternateContent>
      </w:r>
    </w:p>
    <w:p>
      <w:pPr>
        <w:pStyle w:val="Normal"/>
        <w:rPr/>
      </w:pPr>
      <w:r>
        <w:rPr/>
        <w:t>Cycles are by no means a new phenomenon in the business world; however, for those used to the turbulent ride of the bumper cars, the first-time feel of a roller coaster can be quite a surprise.  This is exactly the feeling more and more companies have been experiencing, as their industries continue to be relieved of the regulatory barriers they have lived with for so many years.  Along with these changes comes the potential for new business opportunities and new business models and, for us, new ways of evaluating them.</w:t>
      </w:r>
      <w:r>
        <mc:AlternateContent>
          <mc:Choice Requires="wps">
            <w:drawing>
              <wp:anchor behindDoc="0" distT="114935" distB="114935" distL="114935" distR="114935" simplePos="0" locked="0" layoutInCell="0" allowOverlap="1" relativeHeight="10">
                <wp:simplePos x="0" y="0"/>
                <wp:positionH relativeFrom="margin">
                  <wp:posOffset>-1475740</wp:posOffset>
                </wp:positionH>
                <wp:positionV relativeFrom="paragraph">
                  <wp:posOffset>29210</wp:posOffset>
                </wp:positionV>
                <wp:extent cx="1260475" cy="698500"/>
                <wp:effectExtent l="0" t="0" r="0" b="0"/>
                <wp:wrapSquare wrapText="bothSides"/>
                <wp:docPr id="25" name="Frame7"/>
                <a:graphic xmlns:a="http://schemas.openxmlformats.org/drawingml/2006/main">
                  <a:graphicData uri="http://schemas.microsoft.com/office/word/2010/wordprocessingShape">
                    <wps:wsp>
                      <wps:cNvSpPr txBox="1"/>
                      <wps:spPr>
                        <a:xfrm>
                          <a:off x="0" y="0"/>
                          <a:ext cx="1260475" cy="698500"/>
                        </a:xfrm>
                        <a:prstGeom prst="rect"/>
                        <a:solidFill>
                          <a:srgbClr val="FFFFFF">
                            <a:alpha val="0"/>
                          </a:srgbClr>
                        </a:solidFill>
                      </wps:spPr>
                      <wps:txbx>
                        <w:txbxContent>
                          <w:p>
                            <w:pPr>
                              <w:pStyle w:val="HangingText"/>
                              <w:spacing w:lineRule="atLeast" w:line="220" w:before="0" w:after="120"/>
                              <w:jc w:val="end"/>
                              <w:rPr/>
                            </w:pPr>
                            <w:r>
                              <w:rPr/>
                              <w:t>The power industry is making its way through its first contractionary period since deregulation.</w:t>
                            </w:r>
                          </w:p>
                        </w:txbxContent>
                      </wps:txbx>
                      <wps:bodyPr anchor="t" lIns="0" tIns="0" rIns="0" bIns="0">
                        <a:noAutofit/>
                      </wps:bodyPr>
                    </wps:wsp>
                  </a:graphicData>
                </a:graphic>
              </wp:anchor>
            </w:drawing>
          </mc:Choice>
          <mc:Fallback>
            <w:pict>
              <v:rect fillcolor="#FFFFFF" style="position:absolute;rotation:-0;width:99.25pt;height:55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lineRule="atLeast" w:line="220" w:before="0" w:after="120"/>
                        <w:jc w:val="end"/>
                        <w:rPr/>
                      </w:pPr>
                      <w:r>
                        <w:rPr/>
                        <w:t>The power industry is making its way through its first contractionary period since deregulation.</w:t>
                      </w:r>
                    </w:p>
                  </w:txbxContent>
                </v:textbox>
                <w10:wrap type="square"/>
              </v:rect>
            </w:pict>
          </mc:Fallback>
        </mc:AlternateContent>
      </w:r>
    </w:p>
    <w:p>
      <w:pPr>
        <w:pStyle w:val="Normal"/>
        <w:rPr/>
      </w:pPr>
      <w:r>
        <w:rPr/>
        <w:t xml:space="preserve">For this reason, we turned to our colleagues who have lived with the cyclical ups and downs year after year to get their thoughts on what drive peaks, troughs, and inflection points in their respective sectors in order to relate them to our Power and Natural Gas universe.  Specifically, we interviewed the teams covering paper and forest products, semiconductors, chemicals, airlines, oil/refining chemicals, and semiconductor equipment to gain an understanding of what drives not only their specific product prices cycles, but also their stock price cycles. </w:t>
      </w:r>
    </w:p>
    <w:p>
      <w:pPr>
        <w:pStyle w:val="Heading3"/>
        <w:ind w:hanging="0" w:start="0"/>
        <w:rPr/>
      </w:pPr>
      <w:r>
        <w:rPr/>
        <w:t>Common Threads</w:t>
      </w:r>
    </w:p>
    <w:p>
      <w:pPr>
        <w:pStyle w:val="Normal"/>
        <w:rPr/>
      </w:pPr>
      <w:r>
        <w:rPr/>
        <w:t xml:space="preserve">Interestingly enough, it has become apparent there are several similar themes that cut across all the groups and that help guide when and where industry peaks and troughs will occur.  </w:t>
      </w:r>
    </w:p>
    <w:p>
      <w:pPr>
        <w:pStyle w:val="Normal"/>
        <w:rPr/>
      </w:pPr>
      <w:r>
        <w:rPr/>
        <w:t xml:space="preserve">In our view, the most prevalent driver in determining the top and the bottom of a cycle is the interaction of supply and demand and how these are driven by sector profitability.  It is no surprise that high margins attract attention; however, it is interesting that companies’ desires and actions to attain these profits is what actually seems to cause their industry prices and stocks to ultimately turn downward.  </w:t>
      </w:r>
      <w:r>
        <mc:AlternateContent>
          <mc:Choice Requires="wps">
            <w:drawing>
              <wp:anchor behindDoc="0" distT="114935" distB="114935" distL="114935" distR="114935" simplePos="0" locked="0" layoutInCell="0" allowOverlap="1" relativeHeight="11">
                <wp:simplePos x="0" y="0"/>
                <wp:positionH relativeFrom="margin">
                  <wp:posOffset>-1475740</wp:posOffset>
                </wp:positionH>
                <wp:positionV relativeFrom="paragraph">
                  <wp:posOffset>29210</wp:posOffset>
                </wp:positionV>
                <wp:extent cx="1260475" cy="419100"/>
                <wp:effectExtent l="0" t="0" r="0" b="0"/>
                <wp:wrapSquare wrapText="bothSides"/>
                <wp:docPr id="26" name="Frame8"/>
                <a:graphic xmlns:a="http://schemas.openxmlformats.org/drawingml/2006/main">
                  <a:graphicData uri="http://schemas.microsoft.com/office/word/2010/wordprocessingShape">
                    <wps:wsp>
                      <wps:cNvSpPr txBox="1"/>
                      <wps:spPr>
                        <a:xfrm>
                          <a:off x="0" y="0"/>
                          <a:ext cx="1260475" cy="419100"/>
                        </a:xfrm>
                        <a:prstGeom prst="rect"/>
                        <a:solidFill>
                          <a:srgbClr val="FFFFFF">
                            <a:alpha val="0"/>
                          </a:srgbClr>
                        </a:solidFill>
                      </wps:spPr>
                      <wps:txbx>
                        <w:txbxContent>
                          <w:p>
                            <w:pPr>
                              <w:pStyle w:val="HangingText"/>
                              <w:spacing w:lineRule="atLeast" w:line="220" w:before="0" w:after="120"/>
                              <w:jc w:val="end"/>
                              <w:rPr/>
                            </w:pPr>
                            <w:r>
                              <w:rPr/>
                              <w:t>Higher industry margins drive a desire for expansion.</w:t>
                            </w:r>
                          </w:p>
                        </w:txbxContent>
                      </wps:txbx>
                      <wps:bodyPr anchor="t" lIns="0" tIns="0" rIns="0" bIns="0">
                        <a:noAutofit/>
                      </wps:bodyPr>
                    </wps:wsp>
                  </a:graphicData>
                </a:graphic>
              </wp:anchor>
            </w:drawing>
          </mc:Choice>
          <mc:Fallback>
            <w:pict>
              <v:rect fillcolor="#FFFFFF" style="position:absolute;rotation:-0;width:99.25pt;height:33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lineRule="atLeast" w:line="220" w:before="0" w:after="120"/>
                        <w:jc w:val="end"/>
                        <w:rPr/>
                      </w:pPr>
                      <w:r>
                        <w:rPr/>
                        <w:t>Higher industry margins drive a desire for expansion.</w:t>
                      </w:r>
                    </w:p>
                  </w:txbxContent>
                </v:textbox>
                <w10:wrap type="squar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Caption"/>
        <w:rPr/>
      </w:pPr>
      <w:bookmarkStart w:id="17" w:name="__RefHeading___Toc526931284"/>
      <w:bookmarkEnd w:id="17"/>
      <w:r>
        <w:rPr/>
        <w:t xml:space="preserve">Figure </w:t>
      </w:r>
      <w:r>
        <w:rPr/>
        <w:fldChar w:fldCharType="begin"/>
      </w:r>
      <w:r>
        <w:rPr/>
        <w:instrText xml:space="preserve"> SEQ Figure \* ARABIC </w:instrText>
      </w:r>
      <w:r>
        <w:rPr/>
        <w:fldChar w:fldCharType="separate"/>
      </w:r>
      <w:r>
        <w:rPr/>
        <w:t>2</w:t>
      </w:r>
      <w:r>
        <w:rPr/>
        <w:fldChar w:fldCharType="end"/>
      </w:r>
      <w:r>
        <w:rPr/>
        <w:t>.  U.S. Refining Capital Expenditures vs. Gulf Coast Cash Refining Margins</w:t>
      </w:r>
      <w:r>
        <mc:AlternateContent>
          <mc:Choice Requires="wps">
            <w:drawing>
              <wp:anchor behindDoc="0" distT="114935" distB="114935" distL="114935" distR="114935" simplePos="0" locked="0" layoutInCell="0" allowOverlap="1" relativeHeight="12">
                <wp:simplePos x="0" y="0"/>
                <wp:positionH relativeFrom="margin">
                  <wp:posOffset>-1475740</wp:posOffset>
                </wp:positionH>
                <wp:positionV relativeFrom="paragraph">
                  <wp:posOffset>29210</wp:posOffset>
                </wp:positionV>
                <wp:extent cx="1260475" cy="279400"/>
                <wp:effectExtent l="0" t="0" r="0" b="0"/>
                <wp:wrapSquare wrapText="bothSides"/>
                <wp:docPr id="27" name="Frame9"/>
                <a:graphic xmlns:a="http://schemas.openxmlformats.org/drawingml/2006/main">
                  <a:graphicData uri="http://schemas.microsoft.com/office/word/2010/wordprocessingShape">
                    <wps:wsp>
                      <wps:cNvSpPr txBox="1"/>
                      <wps:spPr>
                        <a:xfrm>
                          <a:off x="0" y="0"/>
                          <a:ext cx="1260475" cy="279400"/>
                        </a:xfrm>
                        <a:prstGeom prst="rect"/>
                        <a:solidFill>
                          <a:srgbClr val="FFFFFF">
                            <a:alpha val="0"/>
                          </a:srgbClr>
                        </a:solidFill>
                      </wps:spPr>
                      <wps:txbx>
                        <w:txbxContent>
                          <w:p>
                            <w:pPr>
                              <w:pStyle w:val="HangingText"/>
                              <w:spacing w:lineRule="atLeast" w:line="220" w:before="0" w:after="120"/>
                              <w:jc w:val="end"/>
                              <w:rPr/>
                            </w:pPr>
                            <w:r>
                              <w:rPr/>
                              <w:t>Increasing margins drive higher capex spending.</w:t>
                            </w:r>
                          </w:p>
                        </w:txbxContent>
                      </wps:txbx>
                      <wps:bodyPr anchor="t" lIns="0" tIns="0" rIns="0" bIns="0">
                        <a:noAutofit/>
                      </wps:bodyPr>
                    </wps:wsp>
                  </a:graphicData>
                </a:graphic>
              </wp:anchor>
            </w:drawing>
          </mc:Choice>
          <mc:Fallback>
            <w:pict>
              <v:rect fillcolor="#FFFFFF" style="position:absolute;rotation:-0;width:99.25pt;height:22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lineRule="atLeast" w:line="220" w:before="0" w:after="120"/>
                        <w:jc w:val="end"/>
                        <w:rPr/>
                      </w:pPr>
                      <w:r>
                        <w:rPr/>
                        <w:t>Increasing margins drive higher capex spending.</w:t>
                      </w:r>
                    </w:p>
                  </w:txbxContent>
                </v:textbox>
                <w10:wrap type="square"/>
              </v:rect>
            </w:pict>
          </mc:Fallback>
        </mc:AlternateContent>
      </w:r>
    </w:p>
    <w:p>
      <w:pPr>
        <w:pStyle w:val="Normal"/>
        <w:rPr/>
      </w:pPr>
      <w:r>
        <w:rPr/>
        <w:drawing>
          <wp:inline distT="0" distB="0" distL="0" distR="0">
            <wp:extent cx="4753610" cy="2597785"/>
            <wp:effectExtent l="0" t="0" r="0" b="0"/>
            <wp:docPr id="2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 descr="" title=""/>
                    <pic:cNvPicPr>
                      <a:picLocks noChangeAspect="1" noChangeArrowheads="1"/>
                    </pic:cNvPicPr>
                  </pic:nvPicPr>
                  <pic:blipFill>
                    <a:blip r:embed="rId22"/>
                    <a:srcRect l="-6" t="-12" r="-6" b="-12"/>
                    <a:stretch>
                      <a:fillRect/>
                    </a:stretch>
                  </pic:blipFill>
                  <pic:spPr bwMode="auto">
                    <a:xfrm>
                      <a:off x="0" y="0"/>
                      <a:ext cx="4753610" cy="2597785"/>
                    </a:xfrm>
                    <a:prstGeom prst="rect">
                      <a:avLst/>
                    </a:prstGeom>
                    <a:noFill/>
                  </pic:spPr>
                </pic:pic>
              </a:graphicData>
            </a:graphic>
          </wp:inline>
        </w:drawing>
      </w:r>
    </w:p>
    <w:p>
      <w:pPr>
        <w:pStyle w:val="Source"/>
        <w:rPr/>
      </w:pPr>
      <w:r>
        <w:rPr/>
        <w:t>Source:  Salomon Smith Barney.</w:t>
      </w:r>
    </w:p>
    <w:p>
      <w:pPr>
        <w:pStyle w:val="Normal"/>
        <w:rPr/>
      </w:pPr>
      <w:r>
        <w:rPr/>
        <w:t xml:space="preserve">The above-mentioned thesis is purely “Econ 101” — high prices and margins are created when there is a steady or increasing demand for a product, coupled with limited supply.  This is consistent with when companies are running their facilities at high-capacity utilization rates, usually in the 90%-plus range.  Then, as soon as margins become attractive enough, aggressive industry players announce they will build capacity to take advantage of the incremental gains (see Figure 2).  Once this occurs, the herd mentality kicks in, as no player wants to sit back while their competitors take away market share, so all players announce plans to expand capacity within a short time period.  Ultimately, the sum of all new capacity build announcements is greater than the amount needed for the industry to get back to equilibrium, and, thus, the potential for a capacity glut becomes inevitable.  </w:t>
      </w:r>
    </w:p>
    <w:p>
      <w:pPr>
        <w:pStyle w:val="Heading3"/>
        <w:ind w:hanging="0" w:start="0"/>
        <w:rPr/>
      </w:pPr>
      <w:r>
        <w:rPr/>
        <w:t>Capacity’s Effect on Stock Prices</w:t>
      </w:r>
    </w:p>
    <w:p>
      <w:pPr>
        <w:pStyle w:val="Normal"/>
        <w:rPr/>
      </w:pPr>
      <w:r>
        <w:rPr/>
        <w:t xml:space="preserve">Just following the announcement of new capacity is where the peak of the stock cycle usually occurs, according to our research.  Figure 3 highlights how this point has held true in normal demand situations for the paper and forest products sector.  Investors realize a capacity glut should ultimately drive down product prices and corporate earnings.  With the exception of the semiconductor sector, it was found that </w:t>
      </w:r>
      <w:r>
        <w:rPr>
          <w:i/>
        </w:rPr>
        <w:t>the peak of the stock cycle was a leading indicator to the peak in the pricing cycle, with the lead averaging six to nine months in most cases.</w:t>
      </w:r>
    </w:p>
    <w:p>
      <w:pPr>
        <w:pStyle w:val="Normal"/>
        <w:rPr>
          <w:i/>
          <w:i/>
        </w:rPr>
      </w:pPr>
      <w:r>
        <w:rPr>
          <w:i/>
        </w:rPr>
      </w:r>
    </w:p>
    <w:p>
      <w:pPr>
        <w:pStyle w:val="Normal"/>
        <w:rPr/>
      </w:pPr>
      <w:r>
        <w:rPr/>
      </w:r>
    </w:p>
    <w:p>
      <w:pPr>
        <w:pStyle w:val="Normal"/>
        <w:rPr/>
      </w:pPr>
      <w:r>
        <w:rPr/>
      </w:r>
    </w:p>
    <w:p>
      <w:pPr>
        <w:pStyle w:val="Normal"/>
        <w:rPr/>
      </w:pPr>
      <w:r>
        <w:rPr/>
      </w:r>
    </w:p>
    <w:p>
      <w:pPr>
        <w:pStyle w:val="Normal"/>
        <w:rPr/>
      </w:pPr>
      <w:r>
        <w:rPr/>
      </w:r>
    </w:p>
    <w:p>
      <w:pPr>
        <w:pStyle w:val="Caption"/>
        <w:rPr/>
      </w:pPr>
      <w:bookmarkStart w:id="18" w:name="__RefHeading___Toc526931285"/>
      <w:bookmarkEnd w:id="18"/>
      <w:r>
        <w:object w:dxaOrig="15360" w:dyaOrig="11428">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position:absolute;margin-left:-4.3pt;margin-top:27.9pt;width:374.4pt;height:244.8pt;mso-wrap-distance-left:9.05pt;mso-wrap-distance-right:9.05pt;mso-position-horizontal-relative:margin;mso-position-vertical-relative:text" filled="f" o:ole="">
            <v:imagedata r:id="rId24" o:title=""/>
            <w10:wrap type="topAndBottom"/>
          </v:shape>
          <o:OLEObject Type="Embed" ProgID="Excel.Sheet.12" ShapeID="ole_rId23" DrawAspect="Content" ObjectID="_574028860" r:id="rId23"/>
        </w:object>
      </w:r>
      <w:r>
        <w:rPr/>
        <w:t xml:space="preserve">Figure </w:t>
      </w:r>
      <w:r>
        <w:rPr/>
        <w:fldChar w:fldCharType="begin"/>
      </w:r>
      <w:r>
        <w:rPr/>
        <w:instrText xml:space="preserve"> SEQ Figure \* ARABIC </w:instrText>
      </w:r>
      <w:r>
        <w:rPr/>
        <w:fldChar w:fldCharType="separate"/>
      </w:r>
      <w:r>
        <w:rPr/>
        <w:t>3</w:t>
      </w:r>
      <w:r>
        <w:rPr/>
        <w:fldChar w:fldCharType="end"/>
      </w:r>
      <w:r>
        <w:rPr/>
        <w:t>.  Paper Relative Performance vs. Three Year Moving Average of U.S. Capacity Growth</w:t>
      </w:r>
      <w:r>
        <mc:AlternateContent>
          <mc:Choice Requires="wps">
            <w:drawing>
              <wp:anchor behindDoc="0" distT="114935" distB="114935" distL="114935" distR="114935" simplePos="0" locked="0" layoutInCell="0" allowOverlap="1" relativeHeight="14">
                <wp:simplePos x="0" y="0"/>
                <wp:positionH relativeFrom="margin">
                  <wp:posOffset>-1475740</wp:posOffset>
                </wp:positionH>
                <wp:positionV relativeFrom="paragraph">
                  <wp:posOffset>29210</wp:posOffset>
                </wp:positionV>
                <wp:extent cx="1260475" cy="419100"/>
                <wp:effectExtent l="0" t="0" r="0" b="0"/>
                <wp:wrapSquare wrapText="bothSides"/>
                <wp:docPr id="29" name="Frame10"/>
                <a:graphic xmlns:a="http://schemas.openxmlformats.org/drawingml/2006/main">
                  <a:graphicData uri="http://schemas.microsoft.com/office/word/2010/wordprocessingShape">
                    <wps:wsp>
                      <wps:cNvSpPr txBox="1"/>
                      <wps:spPr>
                        <a:xfrm>
                          <a:off x="0" y="0"/>
                          <a:ext cx="1260475" cy="419100"/>
                        </a:xfrm>
                        <a:prstGeom prst="rect"/>
                        <a:solidFill>
                          <a:srgbClr val="FFFFFF">
                            <a:alpha val="0"/>
                          </a:srgbClr>
                        </a:solidFill>
                      </wps:spPr>
                      <wps:txbx>
                        <w:txbxContent>
                          <w:p>
                            <w:pPr>
                              <w:pStyle w:val="HangingText"/>
                              <w:spacing w:lineRule="atLeast" w:line="220" w:before="0" w:after="120"/>
                              <w:jc w:val="end"/>
                              <w:rPr/>
                            </w:pPr>
                            <w:r>
                              <w:rPr/>
                              <w:t>Stock prices and capacity growth are inversely related.</w:t>
                            </w:r>
                          </w:p>
                        </w:txbxContent>
                      </wps:txbx>
                      <wps:bodyPr anchor="t" lIns="0" tIns="0" rIns="0" bIns="0">
                        <a:noAutofit/>
                      </wps:bodyPr>
                    </wps:wsp>
                  </a:graphicData>
                </a:graphic>
              </wp:anchor>
            </w:drawing>
          </mc:Choice>
          <mc:Fallback>
            <w:pict>
              <v:rect fillcolor="#FFFFFF" style="position:absolute;rotation:-0;width:99.25pt;height:33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lineRule="atLeast" w:line="220" w:before="0" w:after="120"/>
                        <w:jc w:val="end"/>
                        <w:rPr/>
                      </w:pPr>
                      <w:r>
                        <w:rPr/>
                        <w:t>Stock prices and capacity growth are inversely related.</w:t>
                      </w:r>
                    </w:p>
                  </w:txbxContent>
                </v:textbox>
                <w10:wrap type="square"/>
              </v:rect>
            </w:pict>
          </mc:Fallback>
        </mc:AlternateContent>
      </w:r>
    </w:p>
    <w:p>
      <w:pPr>
        <w:pStyle w:val="Source"/>
        <w:rPr/>
      </w:pPr>
      <w:r>
        <w:rPr/>
        <w:t>Source:  Salomon Smith Barney.</w:t>
      </w:r>
    </w:p>
    <w:p>
      <w:pPr>
        <w:pStyle w:val="Normal"/>
        <w:rPr/>
      </w:pPr>
      <w:r>
        <w:rPr/>
        <w:t xml:space="preserve">On the opposite end of the spectrum, the curtailment of new capacity build announcements is a signal of a market bottom, in our view.  In periods of steady to increasing demand, investors view constant capacity levels as a sign of potential future price (and margin) expansion.  </w:t>
      </w:r>
      <w:r>
        <w:rPr>
          <w:i/>
        </w:rPr>
        <w:t>Again, the change in stock prices often acts as a six- to nine-month leading indicator to a change in product prices.</w:t>
      </w:r>
      <w:r>
        <mc:AlternateContent>
          <mc:Choice Requires="wps">
            <w:drawing>
              <wp:anchor behindDoc="0" distT="114935" distB="114935" distL="114935" distR="114935" simplePos="0" locked="0" layoutInCell="0" allowOverlap="1" relativeHeight="15">
                <wp:simplePos x="0" y="0"/>
                <wp:positionH relativeFrom="margin">
                  <wp:posOffset>-1475740</wp:posOffset>
                </wp:positionH>
                <wp:positionV relativeFrom="paragraph">
                  <wp:posOffset>29210</wp:posOffset>
                </wp:positionV>
                <wp:extent cx="1260475" cy="419100"/>
                <wp:effectExtent l="0" t="0" r="0" b="0"/>
                <wp:wrapSquare wrapText="bothSides"/>
                <wp:docPr id="30" name="Frame11"/>
                <a:graphic xmlns:a="http://schemas.openxmlformats.org/drawingml/2006/main">
                  <a:graphicData uri="http://schemas.microsoft.com/office/word/2010/wordprocessingShape">
                    <wps:wsp>
                      <wps:cNvSpPr txBox="1"/>
                      <wps:spPr>
                        <a:xfrm>
                          <a:off x="0" y="0"/>
                          <a:ext cx="1260475" cy="419100"/>
                        </a:xfrm>
                        <a:prstGeom prst="rect"/>
                        <a:solidFill>
                          <a:srgbClr val="FFFFFF">
                            <a:alpha val="0"/>
                          </a:srgbClr>
                        </a:solidFill>
                      </wps:spPr>
                      <wps:txbx>
                        <w:txbxContent>
                          <w:p>
                            <w:pPr>
                              <w:pStyle w:val="HangingText"/>
                              <w:spacing w:lineRule="atLeast" w:line="220" w:before="0" w:after="120"/>
                              <w:jc w:val="end"/>
                              <w:rPr/>
                            </w:pPr>
                            <w:r>
                              <w:rPr/>
                              <w:t>Curtailing expansionary plans is viewed as a positive for stock prices.</w:t>
                            </w:r>
                          </w:p>
                        </w:txbxContent>
                      </wps:txbx>
                      <wps:bodyPr anchor="t" lIns="0" tIns="0" rIns="0" bIns="0">
                        <a:noAutofit/>
                      </wps:bodyPr>
                    </wps:wsp>
                  </a:graphicData>
                </a:graphic>
              </wp:anchor>
            </w:drawing>
          </mc:Choice>
          <mc:Fallback>
            <w:pict>
              <v:rect fillcolor="#FFFFFF" style="position:absolute;rotation:-0;width:99.25pt;height:33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lineRule="atLeast" w:line="220" w:before="0" w:after="120"/>
                        <w:jc w:val="end"/>
                        <w:rPr/>
                      </w:pPr>
                      <w:r>
                        <w:rPr/>
                        <w:t>Curtailing expansionary plans is viewed as a positive for stock prices.</w:t>
                      </w:r>
                    </w:p>
                  </w:txbxContent>
                </v:textbox>
                <w10:wrap type="square"/>
              </v:rect>
            </w:pict>
          </mc:Fallback>
        </mc:AlternateContent>
      </w:r>
    </w:p>
    <w:p>
      <w:pPr>
        <w:pStyle w:val="Normal"/>
        <w:rPr/>
      </w:pPr>
      <w:r>
        <w:rPr/>
        <w:t xml:space="preserve">This leads to a general thesis that P/E ratios are at their highest as an industry comes out of its trough, declining as it makes its way through the growth stage.  Likewise, P/E ratios would be at their lowest as an industry comes off its peak, increasing as the industry makes its way though its decline.  P/E ratios of the Power Producers are currently at their lowest levels over the past five years, averaging 11.5x our 2002 EPS estimate. </w:t>
      </w:r>
    </w:p>
    <w:p>
      <w:pPr>
        <w:pStyle w:val="Heading3"/>
        <w:ind w:hanging="0" w:start="0"/>
        <w:rPr/>
      </w:pPr>
      <w:r>
        <w:rPr/>
        <w:t>Other Key Indicators</w:t>
      </w:r>
    </w:p>
    <w:p>
      <w:pPr>
        <w:pStyle w:val="Normal"/>
        <w:rPr/>
      </w:pPr>
      <w:r>
        <w:rPr/>
        <w:t xml:space="preserve">In addition to the lumpiness in capacity buildouts, other cyclical indicators include trends in complementary industries, inventory levels, order levels, pricing spreads among customer groups, industry ratios (i.e., book-to-bill ratios), significant customer trends, and third party movements.  In addition, we note that low inventory levels, doubling orders, high book-to-bill ratios, significant customer spending, and reductions in third party capacity all usually lead to increasing price levels.  Figure 4 outlines these items specifically as they relate to the semiconductor sector. </w:t>
      </w:r>
    </w:p>
    <w:p>
      <w:pPr>
        <w:pStyle w:val="Normal"/>
        <w:rPr/>
      </w:pPr>
      <w:r>
        <w:rPr/>
      </w:r>
    </w:p>
    <w:p>
      <w:pPr>
        <w:pStyle w:val="Normal"/>
        <w:rPr/>
      </w:pPr>
      <w:r>
        <w:rPr/>
      </w:r>
    </w:p>
    <w:p>
      <w:pPr>
        <w:pStyle w:val="Caption"/>
        <w:rPr/>
      </w:pPr>
      <w:bookmarkStart w:id="19" w:name="__RefHeading___Toc526931286"/>
      <w:bookmarkEnd w:id="19"/>
      <w:r>
        <w:rPr/>
        <w:t xml:space="preserve">Figure </w:t>
      </w:r>
      <w:r>
        <w:rPr/>
        <w:fldChar w:fldCharType="begin"/>
      </w:r>
      <w:r>
        <w:rPr/>
        <w:instrText xml:space="preserve"> SEQ Figure \* ARABIC </w:instrText>
      </w:r>
      <w:r>
        <w:rPr/>
        <w:fldChar w:fldCharType="separate"/>
      </w:r>
      <w:r>
        <w:rPr/>
        <w:t>4</w:t>
      </w:r>
      <w:r>
        <w:rPr/>
        <w:fldChar w:fldCharType="end"/>
      </w:r>
      <w:r>
        <w:rPr/>
        <w:t>.  Factors that Affect the Semiconductor Cycle — Rags to Riches</w:t>
      </w:r>
      <w:r>
        <mc:AlternateContent>
          <mc:Choice Requires="wps">
            <w:drawing>
              <wp:anchor behindDoc="0" distT="114935" distB="114935" distL="114935" distR="114935" simplePos="0" locked="0" layoutInCell="0" allowOverlap="1" relativeHeight="16">
                <wp:simplePos x="0" y="0"/>
                <wp:positionH relativeFrom="margin">
                  <wp:posOffset>-1475740</wp:posOffset>
                </wp:positionH>
                <wp:positionV relativeFrom="paragraph">
                  <wp:posOffset>29210</wp:posOffset>
                </wp:positionV>
                <wp:extent cx="1260475" cy="698500"/>
                <wp:effectExtent l="0" t="0" r="0" b="0"/>
                <wp:wrapSquare wrapText="bothSides"/>
                <wp:docPr id="31" name="Frame12"/>
                <a:graphic xmlns:a="http://schemas.openxmlformats.org/drawingml/2006/main">
                  <a:graphicData uri="http://schemas.microsoft.com/office/word/2010/wordprocessingShape">
                    <wps:wsp>
                      <wps:cNvSpPr txBox="1"/>
                      <wps:spPr>
                        <a:xfrm>
                          <a:off x="0" y="0"/>
                          <a:ext cx="1260475" cy="698500"/>
                        </a:xfrm>
                        <a:prstGeom prst="rect"/>
                        <a:solidFill>
                          <a:srgbClr val="FFFFFF">
                            <a:alpha val="0"/>
                          </a:srgbClr>
                        </a:solidFill>
                      </wps:spPr>
                      <wps:txbx>
                        <w:txbxContent>
                          <w:p>
                            <w:pPr>
                              <w:pStyle w:val="HangingText"/>
                              <w:spacing w:lineRule="atLeast" w:line="220" w:before="0" w:after="120"/>
                              <w:jc w:val="end"/>
                              <w:rPr/>
                            </w:pPr>
                            <w:r>
                              <w:rPr/>
                              <w:t>Changes in turbine orders or plant announcements would be an equivalent power measure.</w:t>
                            </w:r>
                          </w:p>
                        </w:txbxContent>
                      </wps:txbx>
                      <wps:bodyPr anchor="t" lIns="0" tIns="0" rIns="0" bIns="0">
                        <a:noAutofit/>
                      </wps:bodyPr>
                    </wps:wsp>
                  </a:graphicData>
                </a:graphic>
              </wp:anchor>
            </w:drawing>
          </mc:Choice>
          <mc:Fallback>
            <w:pict>
              <v:rect fillcolor="#FFFFFF" style="position:absolute;rotation:-0;width:99.25pt;height:55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lineRule="atLeast" w:line="220" w:before="0" w:after="120"/>
                        <w:jc w:val="end"/>
                        <w:rPr/>
                      </w:pPr>
                      <w:r>
                        <w:rPr/>
                        <w:t>Changes in turbine orders or plant announcements would be an equivalent power measure.</w:t>
                      </w:r>
                    </w:p>
                  </w:txbxContent>
                </v:textbox>
                <w10:wrap type="square"/>
              </v:rect>
            </w:pict>
          </mc:Fallback>
        </mc:AlternateContent>
      </w:r>
    </w:p>
    <w:p>
      <w:pPr>
        <w:pStyle w:val="SubCap"/>
        <w:rPr/>
      </w:pPr>
      <w:r>
        <w:rPr/>
      </w:r>
    </w:p>
    <w:p>
      <w:pPr>
        <w:pStyle w:val="Normal"/>
        <w:rPr/>
      </w:pPr>
      <w:r>
        <w:rPr/>
        <w:drawing>
          <wp:inline distT="0" distB="0" distL="0" distR="0">
            <wp:extent cx="4742815" cy="2838450"/>
            <wp:effectExtent l="0" t="0" r="0" b="0"/>
            <wp:docPr id="3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 descr="" title=""/>
                    <pic:cNvPicPr>
                      <a:picLocks noChangeAspect="1" noChangeArrowheads="1"/>
                    </pic:cNvPicPr>
                  </pic:nvPicPr>
                  <pic:blipFill>
                    <a:blip r:embed="rId25"/>
                    <a:srcRect l="-8" t="-13" r="-8" b="-13"/>
                    <a:stretch>
                      <a:fillRect/>
                    </a:stretch>
                  </pic:blipFill>
                  <pic:spPr bwMode="auto">
                    <a:xfrm>
                      <a:off x="0" y="0"/>
                      <a:ext cx="4742815" cy="2838450"/>
                    </a:xfrm>
                    <a:prstGeom prst="rect">
                      <a:avLst/>
                    </a:prstGeom>
                    <a:noFill/>
                  </pic:spPr>
                </pic:pic>
              </a:graphicData>
            </a:graphic>
          </wp:inline>
        </w:drawing>
      </w:r>
    </w:p>
    <w:p>
      <w:pPr>
        <w:pStyle w:val="Source"/>
        <w:rPr/>
      </w:pPr>
      <w:r>
        <w:rPr/>
        <w:t>Source:  Salomon Smith Barney.</w:t>
      </w:r>
    </w:p>
    <w:p>
      <w:pPr>
        <w:pStyle w:val="Heading3"/>
        <w:ind w:hanging="0" w:start="0"/>
        <w:rPr/>
      </w:pPr>
      <w:r>
        <w:rPr/>
        <w:t>Additional Points of Interest</w:t>
      </w:r>
    </w:p>
    <w:p>
      <w:pPr>
        <w:pStyle w:val="Normal"/>
        <w:rPr/>
      </w:pPr>
      <w:r>
        <w:rPr/>
        <w:t>The majority of cycles are by no means static.  Going from peak to peak or trough to trough can take from two years for an industry like semiconductors to seven to ten years for companies in the paper or chemicals sector.  In addition, it can take several years and a great deal of capital for announced expansions to come on line.</w:t>
      </w:r>
      <w:r>
        <mc:AlternateContent>
          <mc:Choice Requires="wps">
            <w:drawing>
              <wp:anchor behindDoc="0" distT="114935" distB="114935" distL="114935" distR="114935" simplePos="0" locked="0" layoutInCell="0" allowOverlap="1" relativeHeight="18">
                <wp:simplePos x="0" y="0"/>
                <wp:positionH relativeFrom="margin">
                  <wp:posOffset>-1475740</wp:posOffset>
                </wp:positionH>
                <wp:positionV relativeFrom="paragraph">
                  <wp:posOffset>29210</wp:posOffset>
                </wp:positionV>
                <wp:extent cx="1260475" cy="279400"/>
                <wp:effectExtent l="0" t="0" r="0" b="0"/>
                <wp:wrapSquare wrapText="bothSides"/>
                <wp:docPr id="33" name="Frame13"/>
                <a:graphic xmlns:a="http://schemas.openxmlformats.org/drawingml/2006/main">
                  <a:graphicData uri="http://schemas.microsoft.com/office/word/2010/wordprocessingShape">
                    <wps:wsp>
                      <wps:cNvSpPr txBox="1"/>
                      <wps:spPr>
                        <a:xfrm>
                          <a:off x="0" y="0"/>
                          <a:ext cx="1260475" cy="279400"/>
                        </a:xfrm>
                        <a:prstGeom prst="rect"/>
                        <a:solidFill>
                          <a:srgbClr val="FFFFFF">
                            <a:alpha val="0"/>
                          </a:srgbClr>
                        </a:solidFill>
                      </wps:spPr>
                      <wps:txbx>
                        <w:txbxContent>
                          <w:p>
                            <w:pPr>
                              <w:pStyle w:val="HangingText"/>
                              <w:spacing w:lineRule="atLeast" w:line="220" w:before="0" w:after="120"/>
                              <w:jc w:val="end"/>
                              <w:rPr/>
                            </w:pPr>
                            <w:r>
                              <w:rPr/>
                              <w:t>Full cycles can span more than a decade.</w:t>
                            </w:r>
                          </w:p>
                        </w:txbxContent>
                      </wps:txbx>
                      <wps:bodyPr anchor="t" lIns="0" tIns="0" rIns="0" bIns="0">
                        <a:noAutofit/>
                      </wps:bodyPr>
                    </wps:wsp>
                  </a:graphicData>
                </a:graphic>
              </wp:anchor>
            </w:drawing>
          </mc:Choice>
          <mc:Fallback>
            <w:pict>
              <v:rect fillcolor="#FFFFFF" style="position:absolute;rotation:-0;width:99.25pt;height:22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lineRule="atLeast" w:line="220" w:before="0" w:after="120"/>
                        <w:jc w:val="end"/>
                        <w:rPr/>
                      </w:pPr>
                      <w:r>
                        <w:rPr/>
                        <w:t>Full cycles can span more than a decade.</w:t>
                      </w:r>
                    </w:p>
                  </w:txbxContent>
                </v:textbox>
                <w10:wrap type="square"/>
              </v:rect>
            </w:pict>
          </mc:Fallback>
        </mc:AlternateContent>
      </w:r>
    </w:p>
    <w:p>
      <w:pPr>
        <w:pStyle w:val="Normal"/>
        <w:rPr/>
      </w:pPr>
      <w:r>
        <w:rPr/>
        <w:t>For each of these cyclical industries, size matters.  As the majority of the products sold in these sectors are considered commodities, being able to offer low prices is critical to retaining market share.  This requires the company to maintain significant scale in order to remain efficient.</w:t>
      </w:r>
    </w:p>
    <w:p>
      <w:pPr>
        <w:pStyle w:val="Normal"/>
        <w:rPr/>
      </w:pPr>
      <w:r>
        <w:rPr/>
        <w:t xml:space="preserve">Demand has historically had a lesser impact on cycles than supply.  However, in periods of economic slowing, maintaining or even reducing supply may not have a positive effect on stock prices.  Demand has historically tracked well to GDP growth, with some adjustments for secular trends in each of the sectors.  </w:t>
      </w:r>
      <w:r>
        <mc:AlternateContent>
          <mc:Choice Requires="wps">
            <w:drawing>
              <wp:anchor behindDoc="0" distT="114935" distB="114935" distL="114935" distR="114935" simplePos="0" locked="0" layoutInCell="0" allowOverlap="1" relativeHeight="19">
                <wp:simplePos x="0" y="0"/>
                <wp:positionH relativeFrom="margin">
                  <wp:posOffset>-1475740</wp:posOffset>
                </wp:positionH>
                <wp:positionV relativeFrom="paragraph">
                  <wp:posOffset>29210</wp:posOffset>
                </wp:positionV>
                <wp:extent cx="1260475" cy="279400"/>
                <wp:effectExtent l="0" t="0" r="0" b="0"/>
                <wp:wrapSquare wrapText="bothSides"/>
                <wp:docPr id="34" name="Frame14"/>
                <a:graphic xmlns:a="http://schemas.openxmlformats.org/drawingml/2006/main">
                  <a:graphicData uri="http://schemas.microsoft.com/office/word/2010/wordprocessingShape">
                    <wps:wsp>
                      <wps:cNvSpPr txBox="1"/>
                      <wps:spPr>
                        <a:xfrm>
                          <a:off x="0" y="0"/>
                          <a:ext cx="1260475" cy="279400"/>
                        </a:xfrm>
                        <a:prstGeom prst="rect"/>
                        <a:solidFill>
                          <a:srgbClr val="FFFFFF">
                            <a:alpha val="0"/>
                          </a:srgbClr>
                        </a:solidFill>
                      </wps:spPr>
                      <wps:txbx>
                        <w:txbxContent>
                          <w:p>
                            <w:pPr>
                              <w:pStyle w:val="HangingText"/>
                              <w:spacing w:lineRule="atLeast" w:line="220" w:before="0" w:after="120"/>
                              <w:jc w:val="end"/>
                              <w:rPr/>
                            </w:pPr>
                            <w:r>
                              <w:rPr/>
                              <w:t>GDP growth continues to drive demand.</w:t>
                            </w:r>
                          </w:p>
                        </w:txbxContent>
                      </wps:txbx>
                      <wps:bodyPr anchor="t" lIns="0" tIns="0" rIns="0" bIns="0">
                        <a:noAutofit/>
                      </wps:bodyPr>
                    </wps:wsp>
                  </a:graphicData>
                </a:graphic>
              </wp:anchor>
            </w:drawing>
          </mc:Choice>
          <mc:Fallback>
            <w:pict>
              <v:rect fillcolor="#FFFFFF" style="position:absolute;rotation:-0;width:99.25pt;height:22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lineRule="atLeast" w:line="220" w:before="0" w:after="120"/>
                        <w:jc w:val="end"/>
                        <w:rPr/>
                      </w:pPr>
                      <w:r>
                        <w:rPr/>
                        <w:t>GDP growth continues to drive demand.</w:t>
                      </w:r>
                    </w:p>
                  </w:txbxContent>
                </v:textbox>
                <w10:wrap type="square"/>
              </v:rect>
            </w:pict>
          </mc:Fallback>
        </mc:AlternateContent>
      </w:r>
    </w:p>
    <w:p>
      <w:pPr>
        <w:pStyle w:val="Heading2"/>
        <w:ind w:hanging="0" w:start="0"/>
        <w:rPr/>
      </w:pPr>
      <w:bookmarkStart w:id="20" w:name="__RefHeading___Toc526931281"/>
      <w:bookmarkEnd w:id="20"/>
      <w:r>
        <w:rPr/>
        <w:t>How Does This Relate to the Power and Natural Gas Industry?</w:t>
      </w:r>
    </w:p>
    <w:p>
      <w:pPr>
        <w:pStyle w:val="Normal"/>
        <w:rPr/>
      </w:pPr>
      <w:r>
        <w:rPr/>
        <w:t xml:space="preserve">Although power companies do not have the potential for swings in inventory levels, we believe there are many similarities that can be drawn between the historically cyclical industries and the evolving deregulated Power and Natural Gas industry.  From long buildout times, to the historical need for scale, to the inherent commodity-like nature of the underlying products, the traditional power generation companies, in our opinion, are becoming increasingly subject to the same lengthy industry cycles as have been normally associated with paper, pulp, chemicals, and semiconductors. </w:t>
      </w:r>
      <w:r>
        <mc:AlternateContent>
          <mc:Choice Requires="wps">
            <w:drawing>
              <wp:anchor behindDoc="0" distT="114935" distB="114935" distL="114935" distR="114935" simplePos="0" locked="0" layoutInCell="0" allowOverlap="1" relativeHeight="20">
                <wp:simplePos x="0" y="0"/>
                <wp:positionH relativeFrom="margin">
                  <wp:posOffset>-1475740</wp:posOffset>
                </wp:positionH>
                <wp:positionV relativeFrom="paragraph">
                  <wp:posOffset>29210</wp:posOffset>
                </wp:positionV>
                <wp:extent cx="1260475" cy="698500"/>
                <wp:effectExtent l="0" t="0" r="0" b="0"/>
                <wp:wrapSquare wrapText="bothSides"/>
                <wp:docPr id="35" name="Frame15"/>
                <a:graphic xmlns:a="http://schemas.openxmlformats.org/drawingml/2006/main">
                  <a:graphicData uri="http://schemas.microsoft.com/office/word/2010/wordprocessingShape">
                    <wps:wsp>
                      <wps:cNvSpPr txBox="1"/>
                      <wps:spPr>
                        <a:xfrm>
                          <a:off x="0" y="0"/>
                          <a:ext cx="1260475" cy="698500"/>
                        </a:xfrm>
                        <a:prstGeom prst="rect"/>
                        <a:solidFill>
                          <a:srgbClr val="FFFFFF">
                            <a:alpha val="0"/>
                          </a:srgbClr>
                        </a:solidFill>
                      </wps:spPr>
                      <wps:txbx>
                        <w:txbxContent>
                          <w:p>
                            <w:pPr>
                              <w:pStyle w:val="HangingText"/>
                              <w:spacing w:lineRule="atLeast" w:line="220" w:before="0" w:after="120"/>
                              <w:jc w:val="end"/>
                              <w:rPr/>
                            </w:pPr>
                            <w:r>
                              <w:rPr/>
                              <w:t>There are many similarities between traditional cyclical and Power and Natural Gas companies.</w:t>
                            </w:r>
                          </w:p>
                        </w:txbxContent>
                      </wps:txbx>
                      <wps:bodyPr anchor="t" lIns="0" tIns="0" rIns="0" bIns="0">
                        <a:noAutofit/>
                      </wps:bodyPr>
                    </wps:wsp>
                  </a:graphicData>
                </a:graphic>
              </wp:anchor>
            </w:drawing>
          </mc:Choice>
          <mc:Fallback>
            <w:pict>
              <v:rect fillcolor="#FFFFFF" style="position:absolute;rotation:-0;width:99.25pt;height:55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lineRule="atLeast" w:line="220" w:before="0" w:after="120"/>
                        <w:jc w:val="end"/>
                        <w:rPr/>
                      </w:pPr>
                      <w:r>
                        <w:rPr/>
                        <w:t>There are many similarities between traditional cyclical and Power and Natural Gas companies.</w:t>
                      </w:r>
                    </w:p>
                  </w:txbxContent>
                </v:textbox>
                <w10:wrap type="square"/>
              </v:rect>
            </w:pict>
          </mc:Fallback>
        </mc:AlternateContent>
      </w:r>
    </w:p>
    <w:p>
      <w:pPr>
        <w:pStyle w:val="Heading3"/>
        <w:ind w:hanging="0" w:start="0"/>
        <w:rPr/>
      </w:pPr>
      <w:r>
        <w:rPr/>
        <w:t>Cycle Drivers</w:t>
      </w:r>
    </w:p>
    <w:p>
      <w:pPr>
        <w:pStyle w:val="Normal"/>
        <w:rPr/>
      </w:pPr>
      <w:r>
        <w:rPr/>
        <w:t>Along with the Power and Natural Gas sector’s above-mentioned similarities to the cyclical sectors come several of the same drivers for creating cyclical peaks and troughs, none more evident in our minds than the potential supply of power in the marketplace.  This can be defined not only by the amount of production capacity currently in the market, but, more importantly, by the level of future expansion anticipated.  With an average cost of approximately $400,000–$600,000 per megawatt (MW), the decision to add capacity to a company’s asset portfolio relies heavily on the health and liquidity of the bank and capital markets, as most power companies require external financing for significant expansion.</w:t>
      </w:r>
      <w:r>
        <mc:AlternateContent>
          <mc:Choice Requires="wps">
            <w:drawing>
              <wp:anchor behindDoc="0" distT="114935" distB="114935" distL="114935" distR="114935" simplePos="0" locked="0" layoutInCell="0" allowOverlap="1" relativeHeight="21">
                <wp:simplePos x="0" y="0"/>
                <wp:positionH relativeFrom="margin">
                  <wp:posOffset>-1475740</wp:posOffset>
                </wp:positionH>
                <wp:positionV relativeFrom="paragraph">
                  <wp:posOffset>29210</wp:posOffset>
                </wp:positionV>
                <wp:extent cx="1260475" cy="698500"/>
                <wp:effectExtent l="0" t="0" r="0" b="0"/>
                <wp:wrapSquare wrapText="bothSides"/>
                <wp:docPr id="36" name="Frame16"/>
                <a:graphic xmlns:a="http://schemas.openxmlformats.org/drawingml/2006/main">
                  <a:graphicData uri="http://schemas.microsoft.com/office/word/2010/wordprocessingShape">
                    <wps:wsp>
                      <wps:cNvSpPr txBox="1"/>
                      <wps:spPr>
                        <a:xfrm>
                          <a:off x="0" y="0"/>
                          <a:ext cx="1260475" cy="698500"/>
                        </a:xfrm>
                        <a:prstGeom prst="rect"/>
                        <a:solidFill>
                          <a:srgbClr val="FFFFFF">
                            <a:alpha val="0"/>
                          </a:srgbClr>
                        </a:solidFill>
                      </wps:spPr>
                      <wps:txbx>
                        <w:txbxContent>
                          <w:p>
                            <w:pPr>
                              <w:pStyle w:val="HangingText"/>
                              <w:spacing w:lineRule="atLeast" w:line="220" w:before="0" w:after="120"/>
                              <w:jc w:val="end"/>
                              <w:rPr/>
                            </w:pPr>
                            <w:r>
                              <w:rPr/>
                              <w:t>The cost of an additional megawatt of capacity can range between $250,000 and $700,000 per megawatt.</w:t>
                            </w:r>
                          </w:p>
                        </w:txbxContent>
                      </wps:txbx>
                      <wps:bodyPr anchor="t" lIns="0" tIns="0" rIns="0" bIns="0">
                        <a:noAutofit/>
                      </wps:bodyPr>
                    </wps:wsp>
                  </a:graphicData>
                </a:graphic>
              </wp:anchor>
            </w:drawing>
          </mc:Choice>
          <mc:Fallback>
            <w:pict>
              <v:rect fillcolor="#FFFFFF" style="position:absolute;rotation:-0;width:99.25pt;height:55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lineRule="atLeast" w:line="220" w:before="0" w:after="120"/>
                        <w:jc w:val="end"/>
                        <w:rPr/>
                      </w:pPr>
                      <w:r>
                        <w:rPr/>
                        <w:t>The cost of an additional megawatt of capacity can range between $250,000 and $700,000 per megawatt.</w:t>
                      </w:r>
                    </w:p>
                  </w:txbxContent>
                </v:textbox>
                <w10:wrap type="square"/>
              </v:rect>
            </w:pict>
          </mc:Fallback>
        </mc:AlternateContent>
      </w:r>
    </w:p>
    <w:p>
      <w:pPr>
        <w:pStyle w:val="Caption"/>
        <w:rPr/>
      </w:pPr>
      <w:bookmarkStart w:id="21" w:name="__RefHeading___Toc526931287"/>
      <w:bookmarkEnd w:id="21"/>
      <w:r>
        <w:rPr/>
        <w:t xml:space="preserve">Figure </w:t>
      </w:r>
      <w:r>
        <w:rPr/>
        <w:fldChar w:fldCharType="begin"/>
      </w:r>
      <w:r>
        <w:rPr/>
        <w:instrText xml:space="preserve"> SEQ Figure \* ARABIC </w:instrText>
      </w:r>
      <w:r>
        <w:rPr/>
        <w:fldChar w:fldCharType="separate"/>
      </w:r>
      <w:r>
        <w:rPr/>
        <w:t>5</w:t>
      </w:r>
      <w:r>
        <w:rPr/>
        <w:fldChar w:fldCharType="end"/>
      </w:r>
      <w:r>
        <w:rPr/>
        <w:t>.  The Megawatt Life Cycle</w:t>
      </w:r>
      <w:r>
        <mc:AlternateContent>
          <mc:Choice Requires="wps">
            <w:drawing>
              <wp:anchor behindDoc="0" distT="114935" distB="114935" distL="114935" distR="114935" simplePos="0" locked="0" layoutInCell="0" allowOverlap="1" relativeHeight="22">
                <wp:simplePos x="0" y="0"/>
                <wp:positionH relativeFrom="margin">
                  <wp:posOffset>-1475740</wp:posOffset>
                </wp:positionH>
                <wp:positionV relativeFrom="paragraph">
                  <wp:posOffset>29210</wp:posOffset>
                </wp:positionV>
                <wp:extent cx="1260475" cy="698500"/>
                <wp:effectExtent l="0" t="0" r="0" b="0"/>
                <wp:wrapSquare wrapText="bothSides"/>
                <wp:docPr id="37" name="Frame17"/>
                <a:graphic xmlns:a="http://schemas.openxmlformats.org/drawingml/2006/main">
                  <a:graphicData uri="http://schemas.microsoft.com/office/word/2010/wordprocessingShape">
                    <wps:wsp>
                      <wps:cNvSpPr txBox="1"/>
                      <wps:spPr>
                        <a:xfrm>
                          <a:off x="0" y="0"/>
                          <a:ext cx="1260475" cy="698500"/>
                        </a:xfrm>
                        <a:prstGeom prst="rect"/>
                        <a:solidFill>
                          <a:srgbClr val="FFFFFF">
                            <a:alpha val="0"/>
                          </a:srgbClr>
                        </a:solidFill>
                      </wps:spPr>
                      <wps:txbx>
                        <w:txbxContent>
                          <w:p>
                            <w:pPr>
                              <w:pStyle w:val="HangingText"/>
                              <w:spacing w:lineRule="atLeast" w:line="220" w:before="0" w:after="120"/>
                              <w:jc w:val="end"/>
                              <w:rPr/>
                            </w:pPr>
                            <w:r>
                              <w:rPr/>
                              <w:t>We think the power construction life cycle will be four to six years, peak to peak or trough to trough.</w:t>
                            </w:r>
                          </w:p>
                        </w:txbxContent>
                      </wps:txbx>
                      <wps:bodyPr anchor="t" lIns="0" tIns="0" rIns="0" bIns="0">
                        <a:noAutofit/>
                      </wps:bodyPr>
                    </wps:wsp>
                  </a:graphicData>
                </a:graphic>
              </wp:anchor>
            </w:drawing>
          </mc:Choice>
          <mc:Fallback>
            <w:pict>
              <v:rect fillcolor="#FFFFFF" style="position:absolute;rotation:-0;width:99.25pt;height:55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lineRule="atLeast" w:line="220" w:before="0" w:after="120"/>
                        <w:jc w:val="end"/>
                        <w:rPr/>
                      </w:pPr>
                      <w:r>
                        <w:rPr/>
                        <w:t>We think the power construction life cycle will be four to six years, peak to peak or trough to trough.</w:t>
                      </w:r>
                    </w:p>
                  </w:txbxContent>
                </v:textbox>
                <w10:wrap type="square"/>
              </v:rect>
            </w:pict>
          </mc:Fallback>
        </mc:AlternateContent>
      </w:r>
    </w:p>
    <w:p>
      <w:pPr>
        <w:pStyle w:val="Normal"/>
        <w:rPr/>
      </w:pPr>
      <w:r>
        <w:rPr>
          <w:rFonts w:eastAsia="Times"/>
        </w:rPr>
        <w:t xml:space="preserve">                                  </w:t>
      </w:r>
      <w:r>
        <w:rPr/>
        <w:drawing>
          <wp:inline distT="0" distB="0" distL="0" distR="0">
            <wp:extent cx="2308860" cy="2385695"/>
            <wp:effectExtent l="0" t="0" r="0" b="0"/>
            <wp:docPr id="3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6" descr="" title=""/>
                    <pic:cNvPicPr>
                      <a:picLocks noChangeAspect="1" noChangeArrowheads="1"/>
                    </pic:cNvPicPr>
                  </pic:nvPicPr>
                  <pic:blipFill>
                    <a:blip r:embed="rId26"/>
                    <a:srcRect l="-6" t="-6" r="-6" b="-6"/>
                    <a:stretch>
                      <a:fillRect/>
                    </a:stretch>
                  </pic:blipFill>
                  <pic:spPr bwMode="auto">
                    <a:xfrm>
                      <a:off x="0" y="0"/>
                      <a:ext cx="2308860" cy="2385695"/>
                    </a:xfrm>
                    <a:prstGeom prst="rect">
                      <a:avLst/>
                    </a:prstGeom>
                    <a:noFill/>
                  </pic:spPr>
                </pic:pic>
              </a:graphicData>
            </a:graphic>
          </wp:inline>
        </w:drawing>
      </w:r>
    </w:p>
    <w:p>
      <w:pPr>
        <w:pStyle w:val="Source"/>
        <w:rPr/>
      </w:pPr>
      <w:r>
        <w:rPr/>
        <w:t>Source:  Salomon Smith Barney.</w:t>
      </w:r>
    </w:p>
    <w:p>
      <w:pPr>
        <w:pStyle w:val="Normal"/>
        <w:rPr/>
      </w:pPr>
      <w:r>
        <w:rPr/>
        <w:t>One of the advantages the Power and Natural Gas industry maintains is the ability for players to use peaking plants that can be operated remotely or turned off and on with the flip of a switch.  This acts as a way to better match supply with demand, turning on the peaking plants whenever needed and keeping them idle when demand is low.  However, it is important to realize that an overbuild of peaking capacity that will continuously sit idle is inefficient as well.</w:t>
      </w:r>
      <w:r>
        <mc:AlternateContent>
          <mc:Choice Requires="wps">
            <w:drawing>
              <wp:anchor behindDoc="0" distT="114935" distB="114935" distL="114935" distR="114935" simplePos="0" locked="0" layoutInCell="0" allowOverlap="1" relativeHeight="24">
                <wp:simplePos x="0" y="0"/>
                <wp:positionH relativeFrom="margin">
                  <wp:posOffset>-1475740</wp:posOffset>
                </wp:positionH>
                <wp:positionV relativeFrom="paragraph">
                  <wp:posOffset>29210</wp:posOffset>
                </wp:positionV>
                <wp:extent cx="1260475" cy="419100"/>
                <wp:effectExtent l="0" t="0" r="0" b="0"/>
                <wp:wrapSquare wrapText="bothSides"/>
                <wp:docPr id="39" name="Frame18"/>
                <a:graphic xmlns:a="http://schemas.openxmlformats.org/drawingml/2006/main">
                  <a:graphicData uri="http://schemas.microsoft.com/office/word/2010/wordprocessingShape">
                    <wps:wsp>
                      <wps:cNvSpPr txBox="1"/>
                      <wps:spPr>
                        <a:xfrm>
                          <a:off x="0" y="0"/>
                          <a:ext cx="1260475" cy="419100"/>
                        </a:xfrm>
                        <a:prstGeom prst="rect"/>
                        <a:solidFill>
                          <a:srgbClr val="FFFFFF">
                            <a:alpha val="0"/>
                          </a:srgbClr>
                        </a:solidFill>
                      </wps:spPr>
                      <wps:txbx>
                        <w:txbxContent>
                          <w:p>
                            <w:pPr>
                              <w:pStyle w:val="HangingText"/>
                              <w:spacing w:lineRule="atLeast" w:line="220" w:before="0" w:after="120"/>
                              <w:jc w:val="end"/>
                              <w:rPr/>
                            </w:pPr>
                            <w:r>
                              <w:rPr/>
                              <w:t>Access to capital is an important factor in the pricing life cycle.</w:t>
                            </w:r>
                          </w:p>
                        </w:txbxContent>
                      </wps:txbx>
                      <wps:bodyPr anchor="t" lIns="0" tIns="0" rIns="0" bIns="0">
                        <a:noAutofit/>
                      </wps:bodyPr>
                    </wps:wsp>
                  </a:graphicData>
                </a:graphic>
              </wp:anchor>
            </w:drawing>
          </mc:Choice>
          <mc:Fallback>
            <w:pict>
              <v:rect fillcolor="#FFFFFF" style="position:absolute;rotation:-0;width:99.25pt;height:33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lineRule="atLeast" w:line="220" w:before="0" w:after="120"/>
                        <w:jc w:val="end"/>
                        <w:rPr/>
                      </w:pPr>
                      <w:r>
                        <w:rPr/>
                        <w:t>Access to capital is an important factor in the pricing life cycle.</w:t>
                      </w:r>
                    </w:p>
                  </w:txbxContent>
                </v:textbox>
                <w10:wrap type="square"/>
              </v:rect>
            </w:pict>
          </mc:Fallback>
        </mc:AlternateContent>
      </w:r>
    </w:p>
    <w:p>
      <w:pPr>
        <w:pStyle w:val="Normal"/>
        <w:rPr/>
      </w:pPr>
      <w:r>
        <w:rPr/>
        <w:t xml:space="preserve">We expect the Power and Natural Gas industry to demonstrate the cyclical pattern shown in Figure 5.  Companies with access to the capital markets have the ability to expand their asset portfolio by adding megawatts to the overall market supply.  This combined industry expansion, usually in excess of the amount demanded by the market, almost inevitably leads to a glut of power available and eventually drives down the price of the commodity.  As lower prices deteriorate corporate earnings, the bank and capital markets dry up, and firms are no longer able to borrow funds or issue equity to continue expansion projects.  With tighter financial markets, capacity expansions decrease or are cancelled, allowing time for the supply in the market to come back in line with, or even fall below, overall demand.  As this happens, there is upward pressure on prices, which inevitably helps corporate earnings.  As financial situations firm up, the bank and capital markets begin to look more favorably on lending money for expansionary projects once again.  </w:t>
      </w:r>
    </w:p>
    <w:p>
      <w:pPr>
        <w:pStyle w:val="Normal"/>
        <w:rPr/>
      </w:pPr>
      <w:r>
        <w:rPr/>
        <w:t>This cycle, although its description is brief, takes a period of several years to come full circle.  With the average capacity expansion taking two to three years from start to finish, the impact of an announced expansion project may not be felt for an even greater period of time.  It is our estimate that a full cycle in the power and natural gas industry may not be completed for a period of up to four to six years.</w:t>
      </w:r>
      <w:r>
        <mc:AlternateContent>
          <mc:Choice Requires="wps">
            <w:drawing>
              <wp:anchor behindDoc="0" distT="114935" distB="114935" distL="114935" distR="114935" simplePos="0" locked="0" layoutInCell="0" allowOverlap="1" relativeHeight="25">
                <wp:simplePos x="0" y="0"/>
                <wp:positionH relativeFrom="margin">
                  <wp:posOffset>-1475740</wp:posOffset>
                </wp:positionH>
                <wp:positionV relativeFrom="paragraph">
                  <wp:posOffset>29210</wp:posOffset>
                </wp:positionV>
                <wp:extent cx="1260475" cy="279400"/>
                <wp:effectExtent l="0" t="0" r="0" b="0"/>
                <wp:wrapSquare wrapText="bothSides"/>
                <wp:docPr id="40" name="Frame19"/>
                <a:graphic xmlns:a="http://schemas.openxmlformats.org/drawingml/2006/main">
                  <a:graphicData uri="http://schemas.microsoft.com/office/word/2010/wordprocessingShape">
                    <wps:wsp>
                      <wps:cNvSpPr txBox="1"/>
                      <wps:spPr>
                        <a:xfrm>
                          <a:off x="0" y="0"/>
                          <a:ext cx="1260475" cy="279400"/>
                        </a:xfrm>
                        <a:prstGeom prst="rect"/>
                        <a:solidFill>
                          <a:srgbClr val="FFFFFF">
                            <a:alpha val="0"/>
                          </a:srgbClr>
                        </a:solidFill>
                      </wps:spPr>
                      <wps:txbx>
                        <w:txbxContent>
                          <w:p>
                            <w:pPr>
                              <w:pStyle w:val="HangingText"/>
                              <w:spacing w:lineRule="atLeast" w:line="220" w:before="0" w:after="120"/>
                              <w:jc w:val="end"/>
                              <w:rPr/>
                            </w:pPr>
                            <w:r>
                              <w:rPr/>
                              <w:t>Capacity expansions are multiyear endeavors.</w:t>
                            </w:r>
                          </w:p>
                        </w:txbxContent>
                      </wps:txbx>
                      <wps:bodyPr anchor="t" lIns="0" tIns="0" rIns="0" bIns="0">
                        <a:noAutofit/>
                      </wps:bodyPr>
                    </wps:wsp>
                  </a:graphicData>
                </a:graphic>
              </wp:anchor>
            </w:drawing>
          </mc:Choice>
          <mc:Fallback>
            <w:pict>
              <v:rect fillcolor="#FFFFFF" style="position:absolute;rotation:-0;width:99.25pt;height:22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lineRule="atLeast" w:line="220" w:before="0" w:after="120"/>
                        <w:jc w:val="end"/>
                        <w:rPr/>
                      </w:pPr>
                      <w:r>
                        <w:rPr/>
                        <w:t>Capacity expansions are multiyear endeavors.</w:t>
                      </w:r>
                    </w:p>
                  </w:txbxContent>
                </v:textbox>
                <w10:wrap type="square"/>
              </v:rect>
            </w:pict>
          </mc:Fallback>
        </mc:AlternateContent>
      </w:r>
    </w:p>
    <w:p>
      <w:pPr>
        <w:pStyle w:val="Heading3"/>
        <w:ind w:hanging="0" w:start="0"/>
        <w:rPr/>
      </w:pPr>
      <w:r>
        <w:rPr/>
        <w:t>Differentiating Energy Merchants from Power Producers</w:t>
      </w:r>
    </w:p>
    <w:p>
      <w:pPr>
        <w:pStyle w:val="Normal"/>
        <w:rPr/>
      </w:pPr>
      <w:r>
        <w:rPr/>
        <w:t>From a stock price perspective, one of the more important similarities we have witnessed between the Power and Natural Gas industry and traditional cyclical companies is that historical stock prices have trended inversely to the announcement of new capacity expansions (see Figure 6).  Interestingly, we have found that, among our industry subgroups, Power Producers were affected to a greater degree by the movements across and within business cycles than were Energy Merchants.  Although Energy Merchants were not left completely unscathed by industry swings, they appear to have been subject to dampened levels of fluctuation.  This makes sense, in our view, given that Energy Merchants are not “swing for the fences” type of players.  That is, they are less “long” power in certain cases and are “neutral” the commodity, showing little or no earnings sensitivity to commodity prices.  Thus, the Energy Merchants’ ability to make money from and hedge against the shifts in these underlying price movements provides them with the ability to operate and produce returns less dependent on market factors such as capacity announcements.</w:t>
      </w:r>
      <w:r>
        <mc:AlternateContent>
          <mc:Choice Requires="wps">
            <w:drawing>
              <wp:anchor behindDoc="0" distT="114935" distB="114935" distL="114935" distR="114935" simplePos="0" locked="0" layoutInCell="0" allowOverlap="1" relativeHeight="26">
                <wp:simplePos x="0" y="0"/>
                <wp:positionH relativeFrom="margin">
                  <wp:posOffset>-1475740</wp:posOffset>
                </wp:positionH>
                <wp:positionV relativeFrom="paragraph">
                  <wp:posOffset>29210</wp:posOffset>
                </wp:positionV>
                <wp:extent cx="1260475" cy="838200"/>
                <wp:effectExtent l="0" t="0" r="0" b="0"/>
                <wp:wrapSquare wrapText="bothSides"/>
                <wp:docPr id="41" name="Frame20"/>
                <a:graphic xmlns:a="http://schemas.openxmlformats.org/drawingml/2006/main">
                  <a:graphicData uri="http://schemas.microsoft.com/office/word/2010/wordprocessingShape">
                    <wps:wsp>
                      <wps:cNvSpPr txBox="1"/>
                      <wps:spPr>
                        <a:xfrm>
                          <a:off x="0" y="0"/>
                          <a:ext cx="1260475" cy="838200"/>
                        </a:xfrm>
                        <a:prstGeom prst="rect"/>
                        <a:solidFill>
                          <a:srgbClr val="FFFFFF">
                            <a:alpha val="0"/>
                          </a:srgbClr>
                        </a:solidFill>
                      </wps:spPr>
                      <wps:txbx>
                        <w:txbxContent>
                          <w:p>
                            <w:pPr>
                              <w:pStyle w:val="HangingText"/>
                              <w:spacing w:lineRule="atLeast" w:line="220" w:before="0" w:after="120"/>
                              <w:jc w:val="end"/>
                              <w:rPr/>
                            </w:pPr>
                            <w:r>
                              <w:rPr/>
                              <w:t>Historical stock prices have trended inversely to capacity announcements, as they do in other cyclical sectors.</w:t>
                            </w:r>
                          </w:p>
                        </w:txbxContent>
                      </wps:txbx>
                      <wps:bodyPr anchor="t" lIns="0" tIns="0" rIns="0" bIns="0">
                        <a:noAutofit/>
                      </wps:bodyPr>
                    </wps:wsp>
                  </a:graphicData>
                </a:graphic>
              </wp:anchor>
            </w:drawing>
          </mc:Choice>
          <mc:Fallback>
            <w:pict>
              <v:rect fillcolor="#FFFFFF" style="position:absolute;rotation:-0;width:99.25pt;height:66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lineRule="atLeast" w:line="220" w:before="0" w:after="120"/>
                        <w:jc w:val="end"/>
                        <w:rPr/>
                      </w:pPr>
                      <w:r>
                        <w:rPr/>
                        <w:t>Historical stock prices have trended inversely to capacity announcements, as they do in other cyclical sectors.</w:t>
                      </w:r>
                    </w:p>
                  </w:txbxContent>
                </v:textbox>
                <w10:wrap type="square"/>
              </v:rect>
            </w:pict>
          </mc:Fallback>
        </mc:AlternateContent>
      </w:r>
    </w:p>
    <w:p>
      <w:pPr>
        <w:pStyle w:val="Caption"/>
        <w:rPr/>
      </w:pPr>
      <w:bookmarkStart w:id="22" w:name="__RefHeading___Toc526931288"/>
      <w:bookmarkEnd w:id="22"/>
      <w:r>
        <w:rPr/>
        <w:t xml:space="preserve">Figure </w:t>
      </w:r>
      <w:r>
        <w:rPr/>
        <w:fldChar w:fldCharType="begin"/>
      </w:r>
      <w:r>
        <w:rPr/>
        <w:instrText xml:space="preserve"> SEQ Figure \* ARABIC </w:instrText>
      </w:r>
      <w:r>
        <w:rPr/>
        <w:fldChar w:fldCharType="separate"/>
      </w:r>
      <w:r>
        <w:rPr/>
        <w:t>6</w:t>
      </w:r>
      <w:r>
        <w:rPr/>
        <w:fldChar w:fldCharType="end"/>
      </w:r>
      <w:r>
        <w:rPr/>
        <w:t>.  Ripples Among the Waves:  Energy Merchant, Power Producer, and SPX Performance vs. Three-Month Trailing Average of U.S. Capacity Announcements</w:t>
      </w:r>
      <w:r>
        <w:rPr>
          <w:rStyle w:val="FootnoteCharacters"/>
          <w:rStyle w:val="FootnoteReference"/>
        </w:rPr>
        <w:footnoteReference w:id="2"/>
      </w:r>
    </w:p>
    <w:p>
      <w:pPr>
        <w:pStyle w:val="Normal"/>
        <w:rPr>
          <w:lang w:val="en-CA"/>
        </w:rPr>
      </w:pPr>
      <w:r>
        <w:rPr>
          <w:lang w:val="en-CA"/>
        </w:rPr>
        <w:drawing>
          <wp:inline distT="0" distB="0" distL="0" distR="0">
            <wp:extent cx="4754880" cy="2473960"/>
            <wp:effectExtent l="0" t="0" r="0" b="0"/>
            <wp:docPr id="42"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7" descr="" title=""/>
                    <pic:cNvPicPr>
                      <a:picLocks noChangeAspect="1" noChangeArrowheads="1"/>
                    </pic:cNvPicPr>
                  </pic:nvPicPr>
                  <pic:blipFill>
                    <a:blip r:embed="rId27"/>
                    <a:srcRect l="-6" t="-12" r="-6" b="-12"/>
                    <a:stretch>
                      <a:fillRect/>
                    </a:stretch>
                  </pic:blipFill>
                  <pic:spPr bwMode="auto">
                    <a:xfrm>
                      <a:off x="0" y="0"/>
                      <a:ext cx="4754880" cy="2473960"/>
                    </a:xfrm>
                    <a:prstGeom prst="rect">
                      <a:avLst/>
                    </a:prstGeom>
                    <a:noFill/>
                  </pic:spPr>
                </pic:pic>
              </a:graphicData>
            </a:graphic>
          </wp:inline>
        </w:drawing>
      </w:r>
    </w:p>
    <w:p>
      <w:pPr>
        <w:pStyle w:val="Source"/>
        <w:rPr/>
      </w:pPr>
      <w:r>
        <w:rPr/>
        <w:t>Source:  Company reports and Salomon Smith Barney.</w:t>
      </w:r>
    </w:p>
    <w:p>
      <w:pPr>
        <w:pStyle w:val="Normal"/>
        <w:rPr/>
      </w:pPr>
      <w:r>
        <w:rPr/>
        <w:t xml:space="preserve">The extent to which Energy Merchants are subject to cyclical swings becomes increasingly important when looking at the historical performance of cyclical versus noncyclical stocks.  In a recent study performed by the SSB equity strategy group, it was found that, on average, noncyclical sectors outperformed cyclical sectors relative to the S&amp;P 500, going back as far as 1970; out of 13 cyclical sectors surveyed, only two outperformed the S&amp;P between 1970 and the present.  In comparison, six out of seven noncyclical sectors posted stronger returns than the broader index over that time, thus implying a premium offered to those stocks that are less subject to cyclical swings.  Assuming Power Producers are more subject to cyclical swings than Energy Merchants, as we believe them to be, this would further strengthen our current view that Energy Merchants should maintain a premium to Power Producers. </w:t>
      </w:r>
      <w:r>
        <mc:AlternateContent>
          <mc:Choice Requires="wps">
            <w:drawing>
              <wp:anchor behindDoc="0" distT="114935" distB="114935" distL="114935" distR="114935" simplePos="0" locked="0" layoutInCell="0" allowOverlap="1" relativeHeight="28">
                <wp:simplePos x="0" y="0"/>
                <wp:positionH relativeFrom="margin">
                  <wp:posOffset>-1475740</wp:posOffset>
                </wp:positionH>
                <wp:positionV relativeFrom="paragraph">
                  <wp:posOffset>29210</wp:posOffset>
                </wp:positionV>
                <wp:extent cx="1260475" cy="698500"/>
                <wp:effectExtent l="0" t="0" r="0" b="0"/>
                <wp:wrapSquare wrapText="bothSides"/>
                <wp:docPr id="43" name="Frame21"/>
                <a:graphic xmlns:a="http://schemas.openxmlformats.org/drawingml/2006/main">
                  <a:graphicData uri="http://schemas.microsoft.com/office/word/2010/wordprocessingShape">
                    <wps:wsp>
                      <wps:cNvSpPr txBox="1"/>
                      <wps:spPr>
                        <a:xfrm>
                          <a:off x="0" y="0"/>
                          <a:ext cx="1260475" cy="698500"/>
                        </a:xfrm>
                        <a:prstGeom prst="rect"/>
                        <a:solidFill>
                          <a:srgbClr val="FFFFFF">
                            <a:alpha val="0"/>
                          </a:srgbClr>
                        </a:solidFill>
                      </wps:spPr>
                      <wps:txbx>
                        <w:txbxContent>
                          <w:p>
                            <w:pPr>
                              <w:pStyle w:val="HangingText"/>
                              <w:spacing w:lineRule="atLeast" w:line="220" w:before="0" w:after="120"/>
                              <w:jc w:val="end"/>
                              <w:rPr/>
                            </w:pPr>
                            <w:r>
                              <w:rPr/>
                              <w:t>Power Producers tend to feel the impact of cyclical swings more than the Energy Merchants.</w:t>
                            </w:r>
                          </w:p>
                        </w:txbxContent>
                      </wps:txbx>
                      <wps:bodyPr anchor="t" lIns="0" tIns="0" rIns="0" bIns="0">
                        <a:noAutofit/>
                      </wps:bodyPr>
                    </wps:wsp>
                  </a:graphicData>
                </a:graphic>
              </wp:anchor>
            </w:drawing>
          </mc:Choice>
          <mc:Fallback>
            <w:pict>
              <v:rect fillcolor="#FFFFFF" style="position:absolute;rotation:-0;width:99.25pt;height:55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lineRule="atLeast" w:line="220" w:before="0" w:after="120"/>
                        <w:jc w:val="end"/>
                        <w:rPr/>
                      </w:pPr>
                      <w:r>
                        <w:rPr/>
                        <w:t>Power Producers tend to feel the impact of cyclical swings more than the Energy Merchants.</w:t>
                      </w:r>
                    </w:p>
                  </w:txbxContent>
                </v:textbox>
                <w10:wrap type="square"/>
              </v:rect>
            </w:pict>
          </mc:Fallback>
        </mc:AlternateContent>
      </w:r>
    </w:p>
    <w:p>
      <w:pPr>
        <w:pStyle w:val="Heading3"/>
        <w:ind w:hanging="0" w:start="0"/>
        <w:rPr/>
      </w:pPr>
      <w:r>
        <w:rPr/>
        <w:t>Demand Drivers</w:t>
      </w:r>
    </w:p>
    <w:p>
      <w:pPr>
        <w:pStyle w:val="Normal"/>
        <w:rPr/>
      </w:pPr>
      <w:r>
        <w:rPr/>
        <w:t xml:space="preserve">On the opposite side of the equation, the demand for energy has historically been driven by changes in GDP growth.  However, it is important to note that, over the past several decades, the relative change in demand for energy has decreased as a percentage of the overall GDP.  In our opinion, this can be attributed to increases in technology and an ever-increasing demand for process improvements and efficiencies, all of which reduce the “electricity intensity” of the economy.  Currently, we believe a 1% increase in the GDP would relate to a 0.65%–0.75% increase in electricity demand.   </w:t>
      </w:r>
      <w:r>
        <mc:AlternateContent>
          <mc:Choice Requires="wps">
            <w:drawing>
              <wp:anchor behindDoc="0" distT="114935" distB="114935" distL="114935" distR="114935" simplePos="0" locked="0" layoutInCell="0" allowOverlap="1" relativeHeight="29">
                <wp:simplePos x="0" y="0"/>
                <wp:positionH relativeFrom="margin">
                  <wp:posOffset>-1475740</wp:posOffset>
                </wp:positionH>
                <wp:positionV relativeFrom="paragraph">
                  <wp:posOffset>29210</wp:posOffset>
                </wp:positionV>
                <wp:extent cx="1260475" cy="698500"/>
                <wp:effectExtent l="0" t="0" r="0" b="0"/>
                <wp:wrapSquare wrapText="bothSides"/>
                <wp:docPr id="44" name="Frame22"/>
                <a:graphic xmlns:a="http://schemas.openxmlformats.org/drawingml/2006/main">
                  <a:graphicData uri="http://schemas.microsoft.com/office/word/2010/wordprocessingShape">
                    <wps:wsp>
                      <wps:cNvSpPr txBox="1"/>
                      <wps:spPr>
                        <a:xfrm>
                          <a:off x="0" y="0"/>
                          <a:ext cx="1260475" cy="698500"/>
                        </a:xfrm>
                        <a:prstGeom prst="rect"/>
                        <a:solidFill>
                          <a:srgbClr val="FFFFFF">
                            <a:alpha val="0"/>
                          </a:srgbClr>
                        </a:solidFill>
                      </wps:spPr>
                      <wps:txbx>
                        <w:txbxContent>
                          <w:p>
                            <w:pPr>
                              <w:pStyle w:val="HangingText"/>
                              <w:spacing w:lineRule="atLeast" w:line="220" w:before="0" w:after="120"/>
                              <w:jc w:val="end"/>
                              <w:rPr/>
                            </w:pPr>
                            <w:r>
                              <w:rPr/>
                              <w:t>Demand for power has decreased as a percentage of the GDP over the past few decades.</w:t>
                            </w:r>
                          </w:p>
                        </w:txbxContent>
                      </wps:txbx>
                      <wps:bodyPr anchor="t" lIns="0" tIns="0" rIns="0" bIns="0">
                        <a:noAutofit/>
                      </wps:bodyPr>
                    </wps:wsp>
                  </a:graphicData>
                </a:graphic>
              </wp:anchor>
            </w:drawing>
          </mc:Choice>
          <mc:Fallback>
            <w:pict>
              <v:rect fillcolor="#FFFFFF" style="position:absolute;rotation:-0;width:99.25pt;height:55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lineRule="atLeast" w:line="220" w:before="0" w:after="120"/>
                        <w:jc w:val="end"/>
                        <w:rPr/>
                      </w:pPr>
                      <w:r>
                        <w:rPr/>
                        <w:t>Demand for power has decreased as a percentage of the GDP over the past few decades.</w:t>
                      </w:r>
                    </w:p>
                  </w:txbxContent>
                </v:textbox>
                <w10:wrap type="square"/>
              </v:rect>
            </w:pict>
          </mc:Fallback>
        </mc:AlternateContent>
      </w:r>
    </w:p>
    <w:p>
      <w:pPr>
        <w:pStyle w:val="Heading3"/>
        <w:ind w:hanging="0" w:start="0"/>
        <w:rPr/>
      </w:pPr>
      <w:r>
        <w:rPr/>
        <w:t>Effects of Spark Spreads</w:t>
      </w:r>
    </w:p>
    <w:p>
      <w:pPr>
        <w:pStyle w:val="Normal"/>
        <w:rPr/>
      </w:pPr>
      <w:r>
        <w:rPr/>
        <w:t>In addition, we believe industry-specific measures, such as spark spreads, will provide insight into where inflection points will occur, as well as how stock prices will fair throughout the cycles.  (Please see our report “Power Curve No. 7,” October 1, 2001, order no. US10J002, for more details regarding our views on industry prices and spark spreads.)  Excluding outlier movements in the summers of 1998 and 1999, the price index of Energy Merchants and Power Producers and their relative performance to the S&amp;P 500 has trended in line with that of the movement in spark spreads, especially in more recent periods (see Figure 7).   If this continues to be the case, this measure will likely be an important item in predicting the bottom of the curve, as we anticipate spark spreads will see a bottom in 2003–04.</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Caption"/>
        <w:rPr/>
      </w:pPr>
      <w:bookmarkStart w:id="23" w:name="__RefHeading___Toc526931289"/>
      <w:bookmarkEnd w:id="23"/>
      <w:r>
        <w:rPr/>
        <w:t xml:space="preserve">Figure </w:t>
      </w:r>
      <w:r>
        <w:rPr/>
        <w:fldChar w:fldCharType="begin"/>
      </w:r>
      <w:r>
        <w:rPr/>
        <w:instrText xml:space="preserve"> SEQ Figure \* ARABIC </w:instrText>
      </w:r>
      <w:r>
        <w:rPr/>
        <w:fldChar w:fldCharType="separate"/>
      </w:r>
      <w:r>
        <w:rPr/>
        <w:t>7</w:t>
      </w:r>
      <w:r>
        <w:rPr/>
        <w:fldChar w:fldCharType="end"/>
      </w:r>
      <w:r>
        <w:rPr/>
        <w:t>.  The Waves — Energy Merchants and Power Producer Performance vs. Spark Spreads</w:t>
      </w:r>
      <w:r>
        <mc:AlternateContent>
          <mc:Choice Requires="wps">
            <w:drawing>
              <wp:anchor behindDoc="0" distT="114935" distB="114935" distL="114935" distR="114935" simplePos="0" locked="0" layoutInCell="0" allowOverlap="1" relativeHeight="30">
                <wp:simplePos x="0" y="0"/>
                <wp:positionH relativeFrom="margin">
                  <wp:posOffset>-1475740</wp:posOffset>
                </wp:positionH>
                <wp:positionV relativeFrom="paragraph">
                  <wp:posOffset>29210</wp:posOffset>
                </wp:positionV>
                <wp:extent cx="1260475" cy="558800"/>
                <wp:effectExtent l="0" t="0" r="0" b="0"/>
                <wp:wrapSquare wrapText="bothSides"/>
                <wp:docPr id="45" name="Frame23"/>
                <a:graphic xmlns:a="http://schemas.openxmlformats.org/drawingml/2006/main">
                  <a:graphicData uri="http://schemas.microsoft.com/office/word/2010/wordprocessingShape">
                    <wps:wsp>
                      <wps:cNvSpPr txBox="1"/>
                      <wps:spPr>
                        <a:xfrm>
                          <a:off x="0" y="0"/>
                          <a:ext cx="1260475" cy="558800"/>
                        </a:xfrm>
                        <a:prstGeom prst="rect"/>
                        <a:solidFill>
                          <a:srgbClr val="FFFFFF">
                            <a:alpha val="0"/>
                          </a:srgbClr>
                        </a:solidFill>
                      </wps:spPr>
                      <wps:txbx>
                        <w:txbxContent>
                          <w:p>
                            <w:pPr>
                              <w:pStyle w:val="HangingText"/>
                              <w:spacing w:lineRule="atLeast" w:line="220" w:before="0" w:after="120"/>
                              <w:jc w:val="end"/>
                              <w:rPr/>
                            </w:pPr>
                            <w:r>
                              <w:rPr/>
                              <w:t>Spark spreads have trended in line with relative stock performance.</w:t>
                            </w:r>
                          </w:p>
                        </w:txbxContent>
                      </wps:txbx>
                      <wps:bodyPr anchor="t" lIns="0" tIns="0" rIns="0" bIns="0">
                        <a:noAutofit/>
                      </wps:bodyPr>
                    </wps:wsp>
                  </a:graphicData>
                </a:graphic>
              </wp:anchor>
            </w:drawing>
          </mc:Choice>
          <mc:Fallback>
            <w:pict>
              <v:rect fillcolor="#FFFFFF" style="position:absolute;rotation:-0;width:99.25pt;height:44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lineRule="atLeast" w:line="220" w:before="0" w:after="120"/>
                        <w:jc w:val="end"/>
                        <w:rPr/>
                      </w:pPr>
                      <w:r>
                        <w:rPr/>
                        <w:t>Spark spreads have trended in line with relative stock performance.</w:t>
                      </w:r>
                    </w:p>
                  </w:txbxContent>
                </v:textbox>
                <w10:wrap type="square"/>
              </v:rect>
            </w:pict>
          </mc:Fallback>
        </mc:AlternateContent>
      </w:r>
    </w:p>
    <w:p>
      <w:pPr>
        <w:pStyle w:val="Normal"/>
        <w:rPr>
          <w:lang w:val="en-CA"/>
        </w:rPr>
      </w:pPr>
      <w:r>
        <w:rPr>
          <w:lang w:val="en-CA"/>
        </w:rPr>
        <w:drawing>
          <wp:inline distT="0" distB="0" distL="0" distR="0">
            <wp:extent cx="4695825" cy="3009900"/>
            <wp:effectExtent l="0" t="0" r="0" b="0"/>
            <wp:docPr id="46"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8" descr="" title=""/>
                    <pic:cNvPicPr>
                      <a:picLocks noChangeAspect="1" noChangeArrowheads="1"/>
                    </pic:cNvPicPr>
                  </pic:nvPicPr>
                  <pic:blipFill>
                    <a:blip r:embed="rId28"/>
                    <a:srcRect l="-8" t="-12" r="-8" b="-12"/>
                    <a:stretch>
                      <a:fillRect/>
                    </a:stretch>
                  </pic:blipFill>
                  <pic:spPr bwMode="auto">
                    <a:xfrm>
                      <a:off x="0" y="0"/>
                      <a:ext cx="4695825" cy="3009900"/>
                    </a:xfrm>
                    <a:prstGeom prst="rect">
                      <a:avLst/>
                    </a:prstGeom>
                    <a:noFill/>
                  </pic:spPr>
                </pic:pic>
              </a:graphicData>
            </a:graphic>
          </wp:inline>
        </w:drawing>
      </w:r>
    </w:p>
    <w:p>
      <w:pPr>
        <w:pStyle w:val="Source"/>
        <w:rPr/>
      </w:pPr>
      <w:r>
        <w:rPr/>
        <w:t>Source:  Salomon Smith Barney.</w:t>
      </w:r>
    </w:p>
    <w:p>
      <w:pPr>
        <w:pStyle w:val="Heading3"/>
        <w:ind w:hanging="0" w:start="0"/>
        <w:rPr/>
      </w:pPr>
      <w:r>
        <w:rPr/>
        <w:t>Outlook</w:t>
      </w:r>
    </w:p>
    <w:p>
      <w:pPr>
        <w:pStyle w:val="Normal"/>
        <w:rPr/>
      </w:pPr>
      <w:r>
        <w:rPr/>
        <w:t xml:space="preserve">Without question, we view the Power and Natural Gas industry as being in the contractionary portion of the cycle, the first of its kind since the industry underwent full-scale deregulation.  So the question then becomes:  Where does this crashing wave bottom out, and what will indicate the bottom?  </w:t>
      </w:r>
    </w:p>
    <w:p>
      <w:pPr>
        <w:pStyle w:val="Normal"/>
        <w:rPr/>
      </w:pPr>
      <w:r>
        <w:rPr/>
        <w:t xml:space="preserve">We would argue the number of expansionary announcements over the past 24–36 months will be more than sufficient to cover the levels of demand that will likely arise over the next several years.  Given the state of the economy today, we do not see any catalysts for a large increase in the demand for energy, but instead anticipate that it will continue to trend flat over the near term.  </w:t>
      </w:r>
      <w:r>
        <mc:AlternateContent>
          <mc:Choice Requires="wps">
            <w:drawing>
              <wp:anchor behindDoc="0" distT="114935" distB="114935" distL="114935" distR="114935" simplePos="0" locked="0" layoutInCell="0" allowOverlap="1" relativeHeight="32">
                <wp:simplePos x="0" y="0"/>
                <wp:positionH relativeFrom="margin">
                  <wp:posOffset>-1475740</wp:posOffset>
                </wp:positionH>
                <wp:positionV relativeFrom="paragraph">
                  <wp:posOffset>29210</wp:posOffset>
                </wp:positionV>
                <wp:extent cx="1260475" cy="838200"/>
                <wp:effectExtent l="0" t="0" r="0" b="0"/>
                <wp:wrapSquare wrapText="bothSides"/>
                <wp:docPr id="47" name="Frame24"/>
                <a:graphic xmlns:a="http://schemas.openxmlformats.org/drawingml/2006/main">
                  <a:graphicData uri="http://schemas.microsoft.com/office/word/2010/wordprocessingShape">
                    <wps:wsp>
                      <wps:cNvSpPr txBox="1"/>
                      <wps:spPr>
                        <a:xfrm>
                          <a:off x="0" y="0"/>
                          <a:ext cx="1260475" cy="838200"/>
                        </a:xfrm>
                        <a:prstGeom prst="rect"/>
                        <a:solidFill>
                          <a:srgbClr val="FFFFFF">
                            <a:alpha val="0"/>
                          </a:srgbClr>
                        </a:solidFill>
                      </wps:spPr>
                      <wps:txbx>
                        <w:txbxContent>
                          <w:p>
                            <w:pPr>
                              <w:pStyle w:val="HangingText"/>
                              <w:spacing w:lineRule="atLeast" w:line="220" w:before="0" w:after="120"/>
                              <w:jc w:val="end"/>
                              <w:rPr/>
                            </w:pPr>
                            <w:r>
                              <w:rPr/>
                              <w:t>We expect to see a pullback in expansionary projects and financial market liquidity as one of the first signs of a bottom in the cycle.</w:t>
                            </w:r>
                          </w:p>
                        </w:txbxContent>
                      </wps:txbx>
                      <wps:bodyPr anchor="t" lIns="0" tIns="0" rIns="0" bIns="0">
                        <a:noAutofit/>
                      </wps:bodyPr>
                    </wps:wsp>
                  </a:graphicData>
                </a:graphic>
              </wp:anchor>
            </w:drawing>
          </mc:Choice>
          <mc:Fallback>
            <w:pict>
              <v:rect fillcolor="#FFFFFF" style="position:absolute;rotation:-0;width:99.25pt;height:66pt;mso-wrap-distance-left:9.05pt;mso-wrap-distance-right:9.05pt;mso-wrap-distance-top:9.05pt;mso-wrap-distance-bottom:9.05pt;margin-top:2.3pt;mso-position-vertical-relative:text;margin-left:-116.2pt;mso-position-horizontal-relative:margin">
                <v:fill opacity="0f"/>
                <v:textbox inset="0in,0in,0in,0in">
                  <w:txbxContent>
                    <w:p>
                      <w:pPr>
                        <w:pStyle w:val="HangingText"/>
                        <w:spacing w:lineRule="atLeast" w:line="220" w:before="0" w:after="120"/>
                        <w:jc w:val="end"/>
                        <w:rPr/>
                      </w:pPr>
                      <w:r>
                        <w:rPr/>
                        <w:t>We expect to see a pullback in expansionary projects and financial market liquidity as one of the first signs of a bottom in the cycle.</w:t>
                      </w:r>
                    </w:p>
                  </w:txbxContent>
                </v:textbox>
                <w10:wrap type="square"/>
              </v:rect>
            </w:pict>
          </mc:Fallback>
        </mc:AlternateContent>
      </w:r>
    </w:p>
    <w:p>
      <w:pPr>
        <w:pStyle w:val="Normal"/>
        <w:rPr/>
      </w:pPr>
      <w:r>
        <w:rPr/>
        <w:t xml:space="preserve">There are a number of events we are watching for that may indicate the beginning of a flattening in the downward cycle curve:  First, we are looking for a deterioration in the level of announced capacity expansions, best witnessed by having several-month blocks in which no announcements are made.  Second, we anticipate that several of the previously announced expansionary projects will be put on hold or cancelled altogether.  Third, we believe we will see a sharp increase in the activity of secondary markets for turbine equipment.  (As original demand estimates for power are reduced, companies with overextended expansion plans no longer require the number of turbines originally purchased.)  Fourth, although bank and capital markets are in a tough situation at the moment, we believe there is still additional room for the markets to tighten.  We think it will be difficult for most companies to issue equity at current price levels.  Debt financing has also become difficult.  Further reductions in the ability to raise capital could be viewed as a sign that the worst portion of the contractionary cycle is over. </w:t>
      </w:r>
    </w:p>
    <w:p>
      <w:pPr>
        <w:pStyle w:val="Normal"/>
        <w:rPr/>
      </w:pPr>
      <w:r>
        <w:rPr/>
        <w:t>In addition, we continue to view future spark spread levels as leading indicators of industry peaks and troughs.  Given our view that spark spreads will reach a bottom in 2003–04, we expect the industry cycle will also correlate well with these margin movements.  (Please see our recently released “Power Curve 7” report, referenced earlier in this report, for further information regarding our views on future power prices and spark spreads.)</w:t>
      </w:r>
    </w:p>
    <w:p>
      <w:pPr>
        <w:pStyle w:val="Normal"/>
        <w:rPr/>
      </w:pPr>
      <w:r>
        <w:rPr/>
        <w:t>Finally, we continue to reemphasize our opinion that Energy Merchants will outperform Power Producers over the long term, especially during these early stages of the current contractionary period.  The inherent noncyclical quality Energy Merchants have shown to date is just one more piece of evidence that shows why they warrant a premium over our covered base of traditional Power Producers.  Nevertheless, at the bottom of the cycle, we think Power Producers will likely appear attractive.</w:t>
      </w:r>
    </w:p>
    <w:p>
      <w:pPr>
        <w:pStyle w:val="Boxspace"/>
        <w:rPr>
          <w:lang w:val="en-GB"/>
        </w:rPr>
      </w:pPr>
      <w:r>
        <w:rPr>
          <w:lang w:val="en-GB"/>
        </w:rPr>
      </w:r>
      <w:r>
        <mc:AlternateContent>
          <mc:Choice Requires="wps">
            <w:drawing>
              <wp:anchor behindDoc="0" distT="0" distB="0" distL="114935" distR="114935" simplePos="0" locked="0" layoutInCell="0" allowOverlap="1" relativeHeight="33">
                <wp:simplePos x="0" y="0"/>
                <wp:positionH relativeFrom="margin">
                  <wp:posOffset>0</wp:posOffset>
                </wp:positionH>
                <wp:positionV relativeFrom="page">
                  <wp:posOffset>375285</wp:posOffset>
                </wp:positionV>
                <wp:extent cx="4770755" cy="908685"/>
                <wp:effectExtent l="0" t="0" r="0" b="0"/>
                <wp:wrapSquare wrapText="bothSides"/>
                <wp:docPr id="48" name="Frame25"/>
                <a:graphic xmlns:a="http://schemas.openxmlformats.org/drawingml/2006/main">
                  <a:graphicData uri="http://schemas.microsoft.com/office/word/2010/wordprocessingShape">
                    <wps:wsp>
                      <wps:cNvSpPr txBox="1"/>
                      <wps:spPr>
                        <a:xfrm>
                          <a:off x="0" y="0"/>
                          <a:ext cx="4770755" cy="908685"/>
                        </a:xfrm>
                        <a:prstGeom prst="rect"/>
                        <a:solidFill>
                          <a:srgbClr val="FFFFFF">
                            <a:alpha val="0"/>
                          </a:srgbClr>
                        </a:solidFill>
                      </wps:spPr>
                      <wps:txbx>
                        <w:txbxContent>
                          <w:tbl>
                            <w:tblPr>
                              <w:tblW w:w="7513" w:type="dxa"/>
                              <w:jc w:val="start"/>
                              <w:tblInd w:w="0" w:type="dxa"/>
                              <w:tblLayout w:type="fixed"/>
                              <w:tblCellMar>
                                <w:top w:w="0" w:type="dxa"/>
                                <w:start w:w="0" w:type="dxa"/>
                                <w:bottom w:w="0" w:type="dxa"/>
                                <w:end w:w="0" w:type="dxa"/>
                              </w:tblCellMar>
                            </w:tblPr>
                            <w:tblGrid>
                              <w:gridCol w:w="2665"/>
                              <w:gridCol w:w="4848"/>
                            </w:tblGrid>
                            <w:tr>
                              <w:trPr>
                                <w:trHeight w:val="284" w:hRule="exact"/>
                              </w:trPr>
                              <w:tc>
                                <w:tcPr>
                                  <w:tcW w:w="2665" w:type="dxa"/>
                                  <w:tcBorders/>
                                </w:tcPr>
                                <w:p>
                                  <w:pPr>
                                    <w:pStyle w:val="Normal"/>
                                    <w:pageBreakBefore/>
                                    <w:shd w:fill="000000" w:val="clear"/>
                                    <w:snapToGrid w:val="false"/>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spacing w:before="0" w:after="120"/>
                                    <w:rPr>
                                      <w:lang w:val="en-GB"/>
                                    </w:rPr>
                                  </w:pPr>
                                  <w:r>
                                    <w:rPr>
                                      <w:lang w:val="en-GB"/>
                                    </w:rPr>
                                  </w:r>
                                </w:p>
                              </w:tc>
                              <w:tc>
                                <w:tcPr>
                                  <w:tcW w:w="4848" w:type="dxa"/>
                                  <w:tcBorders/>
                                </w:tcPr>
                                <w:p>
                                  <w:pPr>
                                    <w:pStyle w:val="Normal"/>
                                    <w:snapToGrid w:val="false"/>
                                    <w:spacing w:before="0" w:after="120"/>
                                    <w:rPr>
                                      <w:lang w:val="en-GB"/>
                                    </w:rPr>
                                  </w:pPr>
                                  <w:r>
                                    <w:rPr>
                                      <w:lang w:val="en-GB"/>
                                    </w:rPr>
                                  </w:r>
                                </w:p>
                              </w:tc>
                            </w:tr>
                          </w:tbl>
                          <w:p>
                            <w:pPr>
                              <w:pStyle w:val="Heading1"/>
                              <w:rPr>
                                <w:lang w:val="en-GB"/>
                              </w:rPr>
                            </w:pPr>
                            <w:bookmarkStart w:id="24" w:name="__RefHeading___Toc526931282"/>
                            <w:bookmarkEnd w:id="24"/>
                            <w:r>
                              <w:rPr>
                                <w:lang w:val="en-GB"/>
                              </w:rPr>
                              <w:t>Appendix:  Specific Industry Comments</w:t>
                            </w:r>
                          </w:p>
                        </w:txbxContent>
                      </wps:txbx>
                      <wps:bodyPr anchor="t" lIns="0" tIns="0" rIns="0" bIns="0">
                        <a:noAutofit/>
                      </wps:bodyPr>
                    </wps:wsp>
                  </a:graphicData>
                </a:graphic>
              </wp:anchor>
            </w:drawing>
          </mc:Choice>
          <mc:Fallback>
            <w:pict>
              <v:rect fillcolor="#FFFFFF" style="position:absolute;rotation:-0;width:375.65pt;height:71.55pt;mso-wrap-distance-left:9.05pt;mso-wrap-distance-right:9.05pt;mso-wrap-distance-top:0pt;mso-wrap-distance-bottom:0pt;margin-top:29.55pt;mso-position-vertical-relative:page;margin-left:0pt;mso-position-horizontal-relative:margin">
                <v:fill opacity="0f"/>
                <v:textbox inset="0in,0in,0in,0in">
                  <w:txbxContent>
                    <w:tbl>
                      <w:tblPr>
                        <w:tblW w:w="7513" w:type="dxa"/>
                        <w:jc w:val="start"/>
                        <w:tblInd w:w="0" w:type="dxa"/>
                        <w:tblLayout w:type="fixed"/>
                        <w:tblCellMar>
                          <w:top w:w="0" w:type="dxa"/>
                          <w:start w:w="0" w:type="dxa"/>
                          <w:bottom w:w="0" w:type="dxa"/>
                          <w:end w:w="0" w:type="dxa"/>
                        </w:tblCellMar>
                      </w:tblPr>
                      <w:tblGrid>
                        <w:gridCol w:w="2665"/>
                        <w:gridCol w:w="4848"/>
                      </w:tblGrid>
                      <w:tr>
                        <w:trPr>
                          <w:trHeight w:val="284" w:hRule="exact"/>
                        </w:trPr>
                        <w:tc>
                          <w:tcPr>
                            <w:tcW w:w="2665" w:type="dxa"/>
                            <w:tcBorders/>
                          </w:tcPr>
                          <w:p>
                            <w:pPr>
                              <w:pStyle w:val="Normal"/>
                              <w:pageBreakBefore/>
                              <w:shd w:fill="000000" w:val="clear"/>
                              <w:snapToGrid w:val="false"/>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rPr>
                                <w:lang w:val="en-GB"/>
                              </w:rPr>
                            </w:pPr>
                            <w:r>
                              <w:rPr>
                                <w:lang w:val="en-GB"/>
                              </w:rPr>
                            </w:r>
                          </w:p>
                          <w:p>
                            <w:pPr>
                              <w:pStyle w:val="Normal"/>
                              <w:shd w:fill="000000" w:val="clear"/>
                              <w:spacing w:before="0" w:after="120"/>
                              <w:rPr>
                                <w:lang w:val="en-GB"/>
                              </w:rPr>
                            </w:pPr>
                            <w:r>
                              <w:rPr>
                                <w:lang w:val="en-GB"/>
                              </w:rPr>
                            </w:r>
                          </w:p>
                        </w:tc>
                        <w:tc>
                          <w:tcPr>
                            <w:tcW w:w="4848" w:type="dxa"/>
                            <w:tcBorders/>
                          </w:tcPr>
                          <w:p>
                            <w:pPr>
                              <w:pStyle w:val="Normal"/>
                              <w:snapToGrid w:val="false"/>
                              <w:spacing w:before="0" w:after="120"/>
                              <w:rPr>
                                <w:lang w:val="en-GB"/>
                              </w:rPr>
                            </w:pPr>
                            <w:r>
                              <w:rPr>
                                <w:lang w:val="en-GB"/>
                              </w:rPr>
                            </w:r>
                          </w:p>
                        </w:tc>
                      </w:tr>
                    </w:tbl>
                    <w:p>
                      <w:pPr>
                        <w:pStyle w:val="Heading1"/>
                        <w:rPr>
                          <w:lang w:val="en-GB"/>
                        </w:rPr>
                      </w:pPr>
                      <w:bookmarkStart w:id="25" w:name="__RefHeading___Toc526931282"/>
                      <w:bookmarkEnd w:id="25"/>
                      <w:r>
                        <w:rPr>
                          <w:lang w:val="en-GB"/>
                        </w:rPr>
                        <w:t>Appendix:  Specific Industry Comments</w:t>
                      </w:r>
                    </w:p>
                  </w:txbxContent>
                </v:textbox>
                <w10:wrap type="square"/>
              </v:rect>
            </w:pict>
          </mc:Fallback>
        </mc:AlternateContent>
      </w:r>
    </w:p>
    <w:p>
      <w:pPr>
        <w:pStyle w:val="Normal"/>
        <w:rPr>
          <w:i/>
          <w:i/>
        </w:rPr>
      </w:pPr>
      <w:r>
        <w:rPr>
          <w:i/>
        </w:rPr>
        <w:t>We wish to thank Brian Harris (Airlines), P.J. Juvekar (Chemicals), Paul Ting (Oil), Chip Dillon (Paper and Forest Products), Jonathan Joseph (Semiconductors), and Glen Yeung (Semiconductor Equipment) for their comments, which we have summarized below.</w:t>
      </w:r>
    </w:p>
    <w:p>
      <w:pPr>
        <w:pStyle w:val="Normal"/>
        <w:rPr/>
      </w:pPr>
      <w:r>
        <w:rPr/>
      </w:r>
    </w:p>
    <w:p>
      <w:pPr>
        <w:pStyle w:val="Heading3"/>
        <w:ind w:hanging="0" w:start="0"/>
        <w:rPr/>
      </w:pPr>
      <w:r>
        <w:rPr/>
        <w:t>Airlines</w:t>
      </w:r>
    </w:p>
    <w:p>
      <w:pPr>
        <w:pStyle w:val="Bullet"/>
        <w:numPr>
          <w:ilvl w:val="0"/>
          <w:numId w:val="14"/>
        </w:numPr>
        <w:ind w:hanging="0" w:start="0"/>
        <w:rPr/>
      </w:pPr>
      <w:r>
        <w:rPr/>
        <w:t>Airlines have only been through two cycles since deregulation (approximately 20 years ago).</w:t>
      </w:r>
    </w:p>
    <w:p>
      <w:pPr>
        <w:pStyle w:val="Bullet"/>
        <w:numPr>
          <w:ilvl w:val="0"/>
          <w:numId w:val="14"/>
        </w:numPr>
        <w:ind w:hanging="0" w:start="0"/>
        <w:rPr/>
      </w:pPr>
      <w:r>
        <w:rPr/>
        <w:t>The industry is currently in the trough of its cycle.   The downturn in prices can be attributed to increased corporate cost cutting.</w:t>
      </w:r>
    </w:p>
    <w:p>
      <w:pPr>
        <w:pStyle w:val="Bullet"/>
        <w:numPr>
          <w:ilvl w:val="0"/>
          <w:numId w:val="14"/>
        </w:numPr>
        <w:ind w:hanging="0" w:start="0"/>
        <w:rPr/>
      </w:pPr>
      <w:r>
        <w:rPr/>
        <w:t xml:space="preserve">Operational inputs help to drive short cycles within larger ones.  Fuel and labor costs make up more than 50% of the industry’s total costs.  Increases and decreases in the price of oil can affect stock prices and airline prices at various rates, depending on how much they can pass on to the consumer.  Changes in labor contracts can have the same effect.  Low labor costs were a reality when the companies came out of bankruptcy.  Profitability in the late 1990’s led to more expensive labor contracts. </w:t>
      </w:r>
    </w:p>
    <w:p>
      <w:pPr>
        <w:pStyle w:val="Bullet"/>
        <w:numPr>
          <w:ilvl w:val="0"/>
          <w:numId w:val="14"/>
        </w:numPr>
        <w:ind w:hanging="0" w:start="0"/>
        <w:rPr/>
      </w:pPr>
      <w:r>
        <w:rPr/>
        <w:t xml:space="preserve">The airline group looks at normalized earnings and price multiples over the past two troughs to gauge when the next bottom will hit.  </w:t>
      </w:r>
    </w:p>
    <w:p>
      <w:pPr>
        <w:pStyle w:val="Bullet"/>
        <w:numPr>
          <w:ilvl w:val="0"/>
          <w:numId w:val="14"/>
        </w:numPr>
        <w:ind w:hanging="0" w:start="0"/>
        <w:rPr/>
      </w:pPr>
      <w:r>
        <w:rPr/>
        <w:t>Supply issues are also very relevant to this sector.  The group tracks supply growth versus GDP growth.  It becomes a problem when this measure gets out of line.  The sign of a market downturn is when supply growth becomes greater than GDP growth.</w:t>
      </w:r>
    </w:p>
    <w:p>
      <w:pPr>
        <w:pStyle w:val="Bullet"/>
        <w:numPr>
          <w:ilvl w:val="0"/>
          <w:numId w:val="14"/>
        </w:numPr>
        <w:ind w:hanging="0" w:start="0"/>
        <w:rPr/>
      </w:pPr>
      <w:r>
        <w:rPr/>
        <w:t>The airlines sector is a lagging indicator to the economy.  GDP is typically a good indicator of demand.</w:t>
      </w:r>
    </w:p>
    <w:p>
      <w:pPr>
        <w:pStyle w:val="Normal"/>
        <w:rPr/>
      </w:pPr>
      <w:r>
        <w:rPr/>
      </w:r>
    </w:p>
    <w:p>
      <w:pPr>
        <w:pStyle w:val="Heading3"/>
        <w:ind w:hanging="0" w:start="0"/>
        <w:rPr/>
      </w:pPr>
      <w:r>
        <w:rPr/>
      </w:r>
    </w:p>
    <w:p>
      <w:pPr>
        <w:pStyle w:val="Heading3"/>
        <w:ind w:hanging="0" w:start="0"/>
        <w:rPr/>
      </w:pPr>
      <w:r>
        <w:rPr/>
      </w:r>
    </w:p>
    <w:p>
      <w:pPr>
        <w:pStyle w:val="Normal"/>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Normal"/>
        <w:rPr/>
      </w:pPr>
      <w:r>
        <w:rPr/>
      </w:r>
    </w:p>
    <w:p>
      <w:pPr>
        <w:pStyle w:val="Heading3"/>
        <w:ind w:hanging="0" w:start="0"/>
        <w:rPr/>
      </w:pPr>
      <w:r>
        <w:rPr/>
        <w:t>Chemicals</w:t>
      </w:r>
    </w:p>
    <w:p>
      <w:pPr>
        <w:pStyle w:val="Bullet"/>
        <w:numPr>
          <w:ilvl w:val="0"/>
          <w:numId w:val="14"/>
        </w:numPr>
        <w:ind w:hanging="0" w:start="0"/>
        <w:rPr/>
      </w:pPr>
      <w:r>
        <w:rPr/>
        <w:t>Cycles are supply versus demand driven.</w:t>
      </w:r>
    </w:p>
    <w:p>
      <w:pPr>
        <w:pStyle w:val="Bullet"/>
        <w:numPr>
          <w:ilvl w:val="0"/>
          <w:numId w:val="14"/>
        </w:numPr>
        <w:ind w:hanging="0" w:start="0"/>
        <w:rPr/>
      </w:pPr>
      <w:r>
        <w:rPr/>
        <w:t>Cycles typically last approximately five to seven years.</w:t>
      </w:r>
    </w:p>
    <w:p>
      <w:pPr>
        <w:pStyle w:val="Bullet"/>
        <w:numPr>
          <w:ilvl w:val="0"/>
          <w:numId w:val="14"/>
        </w:numPr>
        <w:ind w:hanging="0" w:start="0"/>
        <w:rPr/>
      </w:pPr>
      <w:r>
        <w:rPr/>
        <w:t>The industry maintains long buildout times.  It takes approximately two years for a facility to be built.</w:t>
      </w:r>
    </w:p>
    <w:p>
      <w:pPr>
        <w:pStyle w:val="Bullet"/>
        <w:numPr>
          <w:ilvl w:val="0"/>
          <w:numId w:val="14"/>
        </w:numPr>
        <w:ind w:hanging="0" w:start="0"/>
        <w:rPr/>
      </w:pPr>
      <w:r>
        <w:rPr/>
        <w:t>Operating rates (capacity utilization rates) are a major signal of when capacity needs to be built.  The group looks for 90%-plus capacity rates.  Increasing utilization rates lead to increasing margins and, thus, a desire for companies to try to capture the additional profits by increasing capacity.</w:t>
      </w:r>
    </w:p>
    <w:p>
      <w:pPr>
        <w:pStyle w:val="Bullet"/>
        <w:numPr>
          <w:ilvl w:val="0"/>
          <w:numId w:val="14"/>
        </w:numPr>
        <w:ind w:hanging="0" w:start="0"/>
        <w:rPr/>
      </w:pPr>
      <w:r>
        <w:rPr/>
        <w:t>Plants typically run at 80%–90% utilization rates.  Decreases in the demand for chemicals have caused utilization rates to slide to 75%.</w:t>
      </w:r>
    </w:p>
    <w:p>
      <w:pPr>
        <w:pStyle w:val="Bullet"/>
        <w:numPr>
          <w:ilvl w:val="0"/>
          <w:numId w:val="14"/>
        </w:numPr>
        <w:ind w:hanging="0" w:start="0"/>
        <w:rPr/>
      </w:pPr>
      <w:r>
        <w:rPr/>
        <w:t>The industry is currently in its trough.  The Chemicals group is looking for an indication of a pickup in demand as a sign to call the bottom.  They are also looking at inventory levels.  A sign that producers are building out inventory would be a good sign.</w:t>
      </w:r>
    </w:p>
    <w:p>
      <w:pPr>
        <w:pStyle w:val="Bullet"/>
        <w:numPr>
          <w:ilvl w:val="0"/>
          <w:numId w:val="14"/>
        </w:numPr>
        <w:ind w:hanging="0" w:start="0"/>
        <w:rPr/>
      </w:pPr>
      <w:r>
        <w:rPr/>
        <w:t>Stock prices typically move six to nine months ahead of chemical prices.</w:t>
      </w:r>
    </w:p>
    <w:p>
      <w:pPr>
        <w:pStyle w:val="Bullet"/>
        <w:numPr>
          <w:ilvl w:val="0"/>
          <w:numId w:val="14"/>
        </w:numPr>
        <w:ind w:hanging="0" w:start="0"/>
        <w:rPr/>
      </w:pPr>
      <w:r>
        <w:rPr/>
        <w:t>Buyers usually wait for prices to fall in down markets and buy ahead of price increases in rising markets.  Therefore, when customers stop buying it is a good sign that chemical prices are at their peak.  When customers begin to buy in great quantities, it is a good sign that prices are at their trough.</w:t>
      </w:r>
    </w:p>
    <w:p>
      <w:pPr>
        <w:pStyle w:val="Bullet"/>
        <w:numPr>
          <w:ilvl w:val="0"/>
          <w:numId w:val="14"/>
        </w:numPr>
        <w:ind w:hanging="0" w:start="0"/>
        <w:rPr/>
      </w:pPr>
      <w:r>
        <w:rPr/>
        <w:t>The group tracks demand based on GDP growth and consumer sentiment.</w:t>
      </w:r>
    </w:p>
    <w:p>
      <w:pPr>
        <w:pStyle w:val="Normal"/>
        <w:rPr/>
      </w:pPr>
      <w:r>
        <w:rPr/>
      </w:r>
    </w:p>
    <w:p>
      <w:pPr>
        <w:pStyle w:val="Heading3"/>
        <w:ind w:hanging="0" w:start="0"/>
        <w:rPr/>
      </w:pPr>
      <w:r>
        <w:rPr/>
        <w:t xml:space="preserve">Oil/Refining </w:t>
      </w:r>
    </w:p>
    <w:p>
      <w:pPr>
        <w:pStyle w:val="Bullet"/>
        <w:numPr>
          <w:ilvl w:val="0"/>
          <w:numId w:val="14"/>
        </w:numPr>
        <w:ind w:hanging="0" w:start="0"/>
        <w:rPr>
          <w:lang w:eastAsia="en-US"/>
        </w:rPr>
      </w:pPr>
      <w:r>
        <w:rPr>
          <w:lang w:eastAsia="en-US"/>
        </w:rPr>
        <w:t xml:space="preserve">Supply is a key driver of the profit cycle. </w:t>
      </w:r>
    </w:p>
    <w:p>
      <w:pPr>
        <w:pStyle w:val="Bullet"/>
        <w:numPr>
          <w:ilvl w:val="0"/>
          <w:numId w:val="14"/>
        </w:numPr>
        <w:ind w:hanging="0" w:start="0"/>
        <w:rPr>
          <w:lang w:eastAsia="en-US"/>
        </w:rPr>
      </w:pPr>
      <w:r>
        <w:rPr>
          <w:lang w:eastAsia="en-US"/>
        </w:rPr>
        <w:t xml:space="preserve">Historically, cycles have lasted ten years on average, but duration of individual cycles can vary significantly. </w:t>
      </w:r>
    </w:p>
    <w:p>
      <w:pPr>
        <w:pStyle w:val="Bullet"/>
        <w:numPr>
          <w:ilvl w:val="0"/>
          <w:numId w:val="14"/>
        </w:numPr>
        <w:ind w:hanging="0" w:start="0"/>
        <w:rPr>
          <w:lang w:eastAsia="en-US"/>
        </w:rPr>
      </w:pPr>
      <w:r>
        <w:rPr>
          <w:lang w:eastAsia="en-US"/>
        </w:rPr>
        <w:t xml:space="preserve">Expansions require long buildout times, typically several years from the time a facility is planned to its completion and start-up. </w:t>
      </w:r>
    </w:p>
    <w:p>
      <w:pPr>
        <w:pStyle w:val="Bullet"/>
        <w:numPr>
          <w:ilvl w:val="0"/>
          <w:numId w:val="14"/>
        </w:numPr>
        <w:ind w:hanging="0" w:start="0"/>
        <w:rPr>
          <w:lang w:eastAsia="en-US"/>
        </w:rPr>
      </w:pPr>
      <w:r>
        <w:rPr>
          <w:lang w:eastAsia="en-US"/>
        </w:rPr>
        <w:t xml:space="preserve">Refining margins are correlated with capital spending.  When returns are at their highest, capital spending for buildouts tends to be high.  </w:t>
      </w:r>
    </w:p>
    <w:p>
      <w:pPr>
        <w:pStyle w:val="Bullet"/>
        <w:numPr>
          <w:ilvl w:val="0"/>
          <w:numId w:val="14"/>
        </w:numPr>
        <w:ind w:hanging="0" w:start="0"/>
        <w:rPr>
          <w:lang w:eastAsia="en-US"/>
        </w:rPr>
      </w:pPr>
      <w:r>
        <w:rPr>
          <w:lang w:eastAsia="en-US"/>
        </w:rPr>
        <w:t>Exceptional weakness in recent demand could forestall a cyclical recovery, even as capital spending remains low.</w:t>
      </w:r>
    </w:p>
    <w:p>
      <w:pPr>
        <w:pStyle w:val="Bullet"/>
        <w:numPr>
          <w:ilvl w:val="0"/>
          <w:numId w:val="14"/>
        </w:numPr>
        <w:ind w:hanging="0" w:start="0"/>
        <w:rPr/>
      </w:pPr>
      <w:r>
        <w:rPr>
          <w:lang w:eastAsia="en-US"/>
        </w:rPr>
        <w:t>Furthermore, utilization rates globally have been low (in the mid-80% range) due to excess capacity.  Until utilization rates increase to a threshold level (greater than 90%) sustainable profit recovery could be forestalled.  Until then, profits will likely follow a predictable seasonal pattern.</w:t>
      </w:r>
    </w:p>
    <w:p>
      <w:pPr>
        <w:pStyle w:val="Heading3"/>
        <w:ind w:hanging="0" w:start="0"/>
        <w:rPr/>
      </w:pPr>
      <w:r>
        <w:rPr/>
      </w:r>
    </w:p>
    <w:p>
      <w:pPr>
        <w:pStyle w:val="Heading3"/>
        <w:ind w:hanging="0" w:start="0"/>
        <w:rPr/>
      </w:pPr>
      <w:r>
        <w:rPr/>
      </w:r>
    </w:p>
    <w:p>
      <w:pPr>
        <w:pStyle w:val="Normal"/>
        <w:rPr/>
      </w:pPr>
      <w:r>
        <w:rPr/>
      </w:r>
    </w:p>
    <w:p>
      <w:pPr>
        <w:pStyle w:val="Heading3"/>
        <w:ind w:hanging="0" w:start="0"/>
        <w:rPr/>
      </w:pPr>
      <w:r>
        <w:rPr/>
        <w:t>Paper and Forest Products</w:t>
      </w:r>
    </w:p>
    <w:p>
      <w:pPr>
        <w:pStyle w:val="Bullet"/>
        <w:numPr>
          <w:ilvl w:val="0"/>
          <w:numId w:val="14"/>
        </w:numPr>
        <w:ind w:hanging="0" w:start="0"/>
        <w:rPr/>
      </w:pPr>
      <w:r>
        <w:rPr/>
        <w:t>Cycles are extremely supply driven.</w:t>
      </w:r>
    </w:p>
    <w:p>
      <w:pPr>
        <w:pStyle w:val="Bullet"/>
        <w:numPr>
          <w:ilvl w:val="0"/>
          <w:numId w:val="14"/>
        </w:numPr>
        <w:ind w:hanging="0" w:start="0"/>
        <w:rPr/>
      </w:pPr>
      <w:r>
        <w:rPr/>
        <w:t>Cycles typically last five to seven years from peak-to-peak or trough-to-trough.</w:t>
      </w:r>
    </w:p>
    <w:p>
      <w:pPr>
        <w:pStyle w:val="Bullet"/>
        <w:numPr>
          <w:ilvl w:val="0"/>
          <w:numId w:val="14"/>
        </w:numPr>
        <w:ind w:hanging="0" w:start="0"/>
        <w:rPr/>
      </w:pPr>
      <w:r>
        <w:rPr/>
        <w:t>The industry maintains long buildout times.  Construction projects take a minimum of two years.</w:t>
      </w:r>
    </w:p>
    <w:p>
      <w:pPr>
        <w:pStyle w:val="Bullet"/>
        <w:numPr>
          <w:ilvl w:val="0"/>
          <w:numId w:val="14"/>
        </w:numPr>
        <w:ind w:hanging="0" w:start="0"/>
        <w:rPr/>
      </w:pPr>
      <w:r>
        <w:rPr/>
        <w:t>Industry buildouts are very expensive ($1 billion to $2 billion per plant).</w:t>
      </w:r>
    </w:p>
    <w:p>
      <w:pPr>
        <w:pStyle w:val="Bullet"/>
        <w:numPr>
          <w:ilvl w:val="0"/>
          <w:numId w:val="14"/>
        </w:numPr>
        <w:ind w:hanging="0" w:start="0"/>
        <w:rPr/>
      </w:pPr>
      <w:r>
        <w:rPr/>
        <w:t>The demand side of equation is usually rather stable, as it tracks well with GDP (half of all boxes are used in supermarkets).</w:t>
      </w:r>
    </w:p>
    <w:p>
      <w:pPr>
        <w:pStyle w:val="Bullet"/>
        <w:numPr>
          <w:ilvl w:val="0"/>
          <w:numId w:val="14"/>
        </w:numPr>
        <w:ind w:hanging="0" w:start="0"/>
        <w:rPr/>
      </w:pPr>
      <w:r>
        <w:rPr/>
        <w:t>Players in this industry need to be big to be efficient.</w:t>
      </w:r>
    </w:p>
    <w:p>
      <w:pPr>
        <w:pStyle w:val="Bullet"/>
        <w:numPr>
          <w:ilvl w:val="0"/>
          <w:numId w:val="14"/>
        </w:numPr>
        <w:ind w:hanging="0" w:start="0"/>
        <w:rPr/>
      </w:pPr>
      <w:r>
        <w:rPr/>
        <w:t>Stock price movements are typically negatively correlated to capacity buildout announcements.</w:t>
      </w:r>
    </w:p>
    <w:p>
      <w:pPr>
        <w:pStyle w:val="Bullet"/>
        <w:numPr>
          <w:ilvl w:val="0"/>
          <w:numId w:val="14"/>
        </w:numPr>
        <w:ind w:hanging="0" w:start="0"/>
        <w:rPr/>
      </w:pPr>
      <w:r>
        <w:rPr/>
        <w:t xml:space="preserve">Peaks and troughs are mainly driven by market supply.  Stock prices typically get hurt when large-scale buildouts begin to be announced.  Buildouts are driven by large operating profits stemming from high capacity utilization rates.  The higher the utilization rates, the higher commodity prices will tend to be, thus increasing overall returns.  Higher returns usually attract new capacity expansion programs.  </w:t>
      </w:r>
    </w:p>
    <w:p>
      <w:pPr>
        <w:pStyle w:val="Bullet"/>
        <w:numPr>
          <w:ilvl w:val="0"/>
          <w:numId w:val="14"/>
        </w:numPr>
        <w:ind w:hanging="0" w:start="0"/>
        <w:rPr/>
      </w:pPr>
      <w:r>
        <w:rPr/>
        <w:t>Expansion programs occur in bunches.  Once one firm announces an expansion, the rest expand in order to try to keep up.  This inevitably leads to a buildout that continues past the optimal equilibrium point.</w:t>
      </w:r>
    </w:p>
    <w:p>
      <w:pPr>
        <w:pStyle w:val="Bullet"/>
        <w:numPr>
          <w:ilvl w:val="0"/>
          <w:numId w:val="14"/>
        </w:numPr>
        <w:ind w:hanging="0" w:start="0"/>
        <w:rPr/>
      </w:pPr>
      <w:r>
        <w:rPr/>
        <w:t>Likewise, when buildouts slow for a significant period, it usually signals the base of the trough.  This leads to an increase in stock prices because of anticipated lower supply levels, leading to future price increases.</w:t>
      </w:r>
    </w:p>
    <w:p>
      <w:pPr>
        <w:pStyle w:val="Bullet"/>
        <w:numPr>
          <w:ilvl w:val="0"/>
          <w:numId w:val="14"/>
        </w:numPr>
        <w:ind w:hanging="0" w:start="0"/>
        <w:rPr/>
      </w:pPr>
      <w:r>
        <w:rPr/>
        <w:t>Stock price movements are a leading indicator of movements in paper prices.  Paper prices usually reach their peaks subsequent to stock prices.</w:t>
      </w:r>
    </w:p>
    <w:p>
      <w:pPr>
        <w:pStyle w:val="Bullet"/>
        <w:numPr>
          <w:ilvl w:val="0"/>
          <w:numId w:val="14"/>
        </w:numPr>
        <w:ind w:hanging="0" w:start="0"/>
        <w:rPr/>
      </w:pPr>
      <w:r>
        <w:rPr/>
        <w:t>The industry’s relative stock price drop over the past few years was an anomaly and was demand driven.  The two major drivers were the Asian crisis (which had Asia exporting paper back to the U.S. instead of purchasing it) and atypical trading in paper stocks due to dot com mania.</w:t>
      </w:r>
    </w:p>
    <w:p>
      <w:pPr>
        <w:pStyle w:val="Bullet"/>
        <w:numPr>
          <w:ilvl w:val="0"/>
          <w:numId w:val="14"/>
        </w:numPr>
        <w:ind w:hanging="0" w:start="0"/>
        <w:rPr/>
      </w:pPr>
      <w:r>
        <w:rPr/>
        <w:t>Benchmark paper prices are at their lowest levels since 1994.</w:t>
      </w:r>
    </w:p>
    <w:p>
      <w:pPr>
        <w:pStyle w:val="Bullet"/>
        <w:numPr>
          <w:ilvl w:val="0"/>
          <w:numId w:val="14"/>
        </w:numPr>
        <w:ind w:hanging="0" w:start="0"/>
        <w:rPr/>
      </w:pPr>
      <w:r>
        <w:rPr/>
        <w:t xml:space="preserve">Another factor that affects short-term price movements is inventory corrections.  High inventory levels usually lead to decreased price levels.  Low inventory levels typically place upward pressure on prices. </w:t>
      </w:r>
    </w:p>
    <w:p>
      <w:pPr>
        <w:pStyle w:val="Bullet"/>
        <w:numPr>
          <w:ilvl w:val="0"/>
          <w:numId w:val="14"/>
        </w:numPr>
        <w:ind w:hanging="0" w:start="0"/>
        <w:rPr/>
      </w:pPr>
      <w:r>
        <w:rPr/>
        <w:t>The group tracks capacity trends from industry reports, an annual anonymous survey, and announced financings.</w:t>
      </w:r>
    </w:p>
    <w:p>
      <w:pPr>
        <w:pStyle w:val="Bullet"/>
        <w:numPr>
          <w:ilvl w:val="0"/>
          <w:numId w:val="14"/>
        </w:numPr>
        <w:ind w:hanging="0" w:start="0"/>
        <w:rPr/>
      </w:pPr>
      <w:r>
        <w:rPr/>
        <w:t>GDP growth is a good proxy for industry demand, with deviations for secular trends.</w:t>
      </w:r>
    </w:p>
    <w:p>
      <w:pPr>
        <w:pStyle w:val="Bullet"/>
        <w:numPr>
          <w:ilvl w:val="0"/>
          <w:numId w:val="14"/>
        </w:numPr>
        <w:ind w:hanging="0" w:start="0"/>
        <w:rPr/>
      </w:pPr>
      <w:r>
        <w:rPr/>
        <w:t>The group has seen several plants close over the past year.  Most are disabled so they cannot be turned back on when demand revives.</w:t>
      </w:r>
    </w:p>
    <w:p>
      <w:pPr>
        <w:pStyle w:val="Heading3"/>
        <w:ind w:hanging="0" w:start="0"/>
        <w:rPr/>
      </w:pPr>
      <w:r>
        <w:rPr/>
        <w:t xml:space="preserve">Semiconductors </w:t>
      </w:r>
    </w:p>
    <w:p>
      <w:pPr>
        <w:pStyle w:val="Bullet"/>
        <w:numPr>
          <w:ilvl w:val="0"/>
          <w:numId w:val="14"/>
        </w:numPr>
        <w:ind w:hanging="0" w:start="0"/>
        <w:rPr/>
      </w:pPr>
      <w:r>
        <w:rPr/>
        <w:t>Cycles appear to be extremely supply-and-demand driven, with greater emphasis on the supply side.</w:t>
      </w:r>
    </w:p>
    <w:p>
      <w:pPr>
        <w:pStyle w:val="Bullet"/>
        <w:numPr>
          <w:ilvl w:val="0"/>
          <w:numId w:val="14"/>
        </w:numPr>
        <w:ind w:hanging="0" w:start="0"/>
        <w:rPr/>
      </w:pPr>
      <w:r>
        <w:rPr/>
        <w:t>Cycles have lasted four to five years historically, with the last cycle spanning only two years.  The Semiconductor group attributes this downturn to advances in semiconductor technology and the changing decision-making ability of suppliers.</w:t>
      </w:r>
    </w:p>
    <w:p>
      <w:pPr>
        <w:pStyle w:val="Bullet"/>
        <w:numPr>
          <w:ilvl w:val="0"/>
          <w:numId w:val="14"/>
        </w:numPr>
        <w:ind w:hanging="0" w:start="0"/>
        <w:rPr/>
      </w:pPr>
      <w:r>
        <w:rPr/>
        <w:t xml:space="preserve">The industry requires long lead times to </w:t>
      </w:r>
      <w:r>
        <w:rPr>
          <w:lang w:eastAsia="en-US"/>
        </w:rPr>
        <w:t>buildout</w:t>
      </w:r>
      <w:r>
        <w:rPr/>
        <w:t xml:space="preserve"> capacity.  Fabs (i.e., clean rooms) require a significant investment of both time and money.</w:t>
      </w:r>
    </w:p>
    <w:p>
      <w:pPr>
        <w:pStyle w:val="Bullet"/>
        <w:numPr>
          <w:ilvl w:val="0"/>
          <w:numId w:val="14"/>
        </w:numPr>
        <w:ind w:hanging="0" w:start="0"/>
        <w:rPr/>
      </w:pPr>
      <w:r>
        <w:rPr/>
        <w:t>On the way up the cycle the Semiconductor group usually sees the following:</w:t>
      </w:r>
    </w:p>
    <w:p>
      <w:pPr>
        <w:pStyle w:val="Normal"/>
        <w:rPr/>
      </w:pPr>
      <w:r>
        <w:rPr/>
        <w:tab/>
        <w:t>— Capacity reductions;</w:t>
      </w:r>
    </w:p>
    <w:p>
      <w:pPr>
        <w:pStyle w:val="Normal"/>
        <w:rPr/>
      </w:pPr>
      <w:r>
        <w:rPr/>
        <w:tab/>
        <w:t>— Inventories decreasing;</w:t>
      </w:r>
    </w:p>
    <w:p>
      <w:pPr>
        <w:pStyle w:val="Normal"/>
        <w:rPr/>
      </w:pPr>
      <w:r>
        <w:rPr/>
        <w:tab/>
        <w:t>— Double ordering of chips and components;</w:t>
      </w:r>
    </w:p>
    <w:p>
      <w:pPr>
        <w:pStyle w:val="Normal"/>
        <w:rPr/>
      </w:pPr>
      <w:r>
        <w:rPr/>
        <w:tab/>
        <w:t>— Lead times stretched (time from order to delivery); and</w:t>
      </w:r>
    </w:p>
    <w:p>
      <w:pPr>
        <w:pStyle w:val="Normal"/>
        <w:rPr/>
      </w:pPr>
      <w:r>
        <w:rPr/>
        <w:tab/>
        <w:t>— Prices increasing.</w:t>
      </w:r>
    </w:p>
    <w:p>
      <w:pPr>
        <w:pStyle w:val="Bullet"/>
        <w:numPr>
          <w:ilvl w:val="0"/>
          <w:numId w:val="14"/>
        </w:numPr>
        <w:ind w:hanging="0" w:start="0"/>
        <w:rPr/>
      </w:pPr>
      <w:r>
        <w:rPr/>
        <w:t>On the way down the cycle the Semiconductor group usually sees the following:</w:t>
      </w:r>
    </w:p>
    <w:p>
      <w:pPr>
        <w:pStyle w:val="Normal"/>
        <w:rPr/>
      </w:pPr>
      <w:r>
        <w:rPr/>
        <w:tab/>
        <w:t>— Capacity being added;</w:t>
      </w:r>
    </w:p>
    <w:p>
      <w:pPr>
        <w:pStyle w:val="Normal"/>
        <w:rPr/>
      </w:pPr>
      <w:r>
        <w:rPr/>
        <w:tab/>
        <w:t>— Investment in equipment orders declining;</w:t>
      </w:r>
    </w:p>
    <w:p>
      <w:pPr>
        <w:pStyle w:val="Normal"/>
        <w:rPr/>
      </w:pPr>
      <w:r>
        <w:rPr/>
        <w:tab/>
        <w:t>— Inventory levels building;</w:t>
      </w:r>
    </w:p>
    <w:p>
      <w:pPr>
        <w:pStyle w:val="Normal"/>
        <w:rPr/>
      </w:pPr>
      <w:r>
        <w:rPr/>
        <w:tab/>
        <w:t>— Lead times shrinking; and</w:t>
      </w:r>
    </w:p>
    <w:p>
      <w:pPr>
        <w:pStyle w:val="Normal"/>
        <w:rPr/>
      </w:pPr>
      <w:r>
        <w:rPr/>
        <w:tab/>
        <w:t>— Orders being cancelled.</w:t>
      </w:r>
    </w:p>
    <w:p>
      <w:pPr>
        <w:pStyle w:val="Bullet"/>
        <w:numPr>
          <w:ilvl w:val="0"/>
          <w:numId w:val="14"/>
        </w:numPr>
        <w:ind w:hanging="0" w:start="0"/>
        <w:rPr/>
      </w:pPr>
      <w:r>
        <w:rPr/>
        <w:t xml:space="preserve">When investment in semiconductor equipment is well above normal levels, this is usually a signal of the top of the cycle.  </w:t>
      </w:r>
    </w:p>
    <w:p>
      <w:pPr>
        <w:pStyle w:val="Bullet"/>
        <w:numPr>
          <w:ilvl w:val="0"/>
          <w:numId w:val="14"/>
        </w:numPr>
        <w:ind w:hanging="0" w:start="0"/>
        <w:rPr/>
      </w:pPr>
      <w:r>
        <w:rPr/>
        <w:t>The Semiconductor group looks at book-to-bill ratios.  If the ratio is well above one, this is a sign of reaching a peak of the cycle.  If it is well below one, this is a sign of hitting a bottom.</w:t>
      </w:r>
    </w:p>
    <w:p>
      <w:pPr>
        <w:pStyle w:val="Bullet"/>
        <w:numPr>
          <w:ilvl w:val="0"/>
          <w:numId w:val="14"/>
        </w:numPr>
        <w:ind w:hanging="0" w:start="0"/>
        <w:rPr/>
      </w:pPr>
      <w:r>
        <w:rPr/>
        <w:t>Stock prices in the Semiconductor sector have a tendency to lag fundamentals instead of leading them, which is different from the other sectors.</w:t>
      </w:r>
    </w:p>
    <w:p>
      <w:pPr>
        <w:pStyle w:val="Bullet"/>
        <w:numPr>
          <w:ilvl w:val="0"/>
          <w:numId w:val="14"/>
        </w:numPr>
        <w:ind w:hanging="0" w:start="0"/>
        <w:rPr/>
      </w:pPr>
      <w:r>
        <w:rPr/>
        <w:t>The group also takes into account the actions of the largest customers in the sector.  Intel, because they are so established, is a reliable driver.  When Intel raises prices, it is a good indication that the industry is coming up the curve.</w:t>
      </w:r>
    </w:p>
    <w:p>
      <w:pPr>
        <w:pStyle w:val="Bullet"/>
        <w:numPr>
          <w:ilvl w:val="0"/>
          <w:numId w:val="14"/>
        </w:numPr>
        <w:ind w:hanging="0" w:start="0"/>
        <w:rPr/>
      </w:pPr>
      <w:r>
        <w:rPr/>
        <w:t>Third party producers are an integral piece of the puzzle.  Since they are relatively new to the industry, third party manufacturers are trying to build significant scale by adding capacity.  Although this is not an issue currently, it has the potential to become one in the future.</w:t>
      </w:r>
    </w:p>
    <w:p>
      <w:pPr>
        <w:pStyle w:val="Normal"/>
        <w:rPr/>
      </w:pPr>
      <w:r>
        <w:rPr/>
      </w:r>
    </w:p>
    <w:p>
      <w:pPr>
        <w:pStyle w:val="Normal"/>
        <w:rPr/>
      </w:pPr>
      <w:r>
        <w:rPr/>
      </w:r>
    </w:p>
    <w:p>
      <w:pPr>
        <w:pStyle w:val="Normal"/>
        <w:rPr/>
      </w:pPr>
      <w:r>
        <w:rPr/>
      </w:r>
    </w:p>
    <w:p>
      <w:pPr>
        <w:pStyle w:val="Heading3"/>
        <w:ind w:hanging="0" w:start="0"/>
        <w:rPr/>
      </w:pPr>
      <w:r>
        <w:rPr/>
        <w:t>Semiconductor Equipment</w:t>
      </w:r>
    </w:p>
    <w:p>
      <w:pPr>
        <w:pStyle w:val="Bullet"/>
        <w:numPr>
          <w:ilvl w:val="0"/>
          <w:numId w:val="14"/>
        </w:numPr>
        <w:ind w:hanging="0" w:start="0"/>
        <w:rPr/>
      </w:pPr>
      <w:r>
        <w:rPr/>
        <w:t>Semiconductor equipment cycles tend to closely follow the chip sector.</w:t>
      </w:r>
    </w:p>
    <w:p>
      <w:pPr>
        <w:pStyle w:val="Bullet"/>
        <w:numPr>
          <w:ilvl w:val="0"/>
          <w:numId w:val="14"/>
        </w:numPr>
        <w:ind w:hanging="0" w:start="0"/>
        <w:rPr/>
      </w:pPr>
      <w:r>
        <w:rPr/>
        <w:t>Up or down cycles for semiconductor equipment currently last approximately one and a half to three years, but have been shortening throughout the 1990’s.  Previous downturns occurred in 1995–96, in 1998, and in 2000.</w:t>
      </w:r>
      <w:r>
        <w:rPr>
          <w:lang w:eastAsia="en-US"/>
        </w:rPr>
        <w:t xml:space="preserve">  The 2000–01 downturn marked the seventh semiconductor equipment cycle since 1972.  History shows that successive cycles (based on capital spending) have greater amplitude than prior ones, driven by increasing capital costs.  In every down cycle to date, a sharp recovery has followed the downturn, with an average annual cyclical gain of 60%.</w:t>
      </w:r>
    </w:p>
    <w:p>
      <w:pPr>
        <w:pStyle w:val="Bullet"/>
        <w:numPr>
          <w:ilvl w:val="0"/>
          <w:numId w:val="14"/>
        </w:numPr>
        <w:ind w:hanging="0" w:start="0"/>
        <w:rPr/>
      </w:pPr>
      <w:r>
        <w:rPr/>
        <w:t xml:space="preserve">Prior to September 11, 2001, the Semiconductor Equipment group believed the sector was at the bottom of the cycle. </w:t>
      </w:r>
    </w:p>
    <w:p>
      <w:pPr>
        <w:pStyle w:val="Bullet"/>
        <w:numPr>
          <w:ilvl w:val="0"/>
          <w:numId w:val="14"/>
        </w:numPr>
        <w:ind w:hanging="0" w:start="0"/>
        <w:rPr/>
      </w:pPr>
      <w:r>
        <w:rPr/>
        <w:t xml:space="preserve">The group looks for several items to signal the start of an uptick.  First, they look for inflection points in year-over-year semiconductor shipments.  </w:t>
      </w:r>
      <w:r>
        <w:rPr>
          <w:lang w:eastAsia="en-US"/>
        </w:rPr>
        <w:t>Second, they look for commodity chip price stabilization or increases.  Third, they look at customer capital spending plans in leading edge equipment.</w:t>
      </w:r>
    </w:p>
    <w:p>
      <w:pPr>
        <w:pStyle w:val="Bullet"/>
        <w:numPr>
          <w:ilvl w:val="0"/>
          <w:numId w:val="14"/>
        </w:numPr>
        <w:ind w:hanging="0" w:start="0"/>
        <w:rPr/>
      </w:pPr>
      <w:r>
        <w:rPr>
          <w:lang w:eastAsia="en-US"/>
        </w:rPr>
        <w:t>Cycles are typically a function of either:  1) global economic weakness, wherein demand for semiconductors and the resulting need for production capacity goes down (as it did in 1975, 1982, 1991, and 1998); 2) industry oversupply, wherein chipmakers, through overly aggressive capital spending, add too much capacity to make chips (as they did in 1985 and 1996); or 3) inventory corrections, wherein inventories are overbuilt and need to be worked down before additional capital expenditure is warranted.</w:t>
      </w:r>
    </w:p>
    <w:p>
      <w:pPr>
        <w:pStyle w:val="Bullet"/>
        <w:numPr>
          <w:ilvl w:val="0"/>
          <w:numId w:val="14"/>
        </w:numPr>
        <w:ind w:hanging="0" w:start="0"/>
        <w:rPr/>
      </w:pPr>
      <w:r>
        <w:rPr>
          <w:lang w:eastAsia="en-US"/>
        </w:rPr>
        <w:t>When semiconductor units are in a trough, this signals a trough in equipment stocks as well, and equipment fundamentals tend to improve three to six months later.</w:t>
      </w:r>
    </w:p>
    <w:p>
      <w:pPr>
        <w:pStyle w:val="Bullet"/>
        <w:numPr>
          <w:ilvl w:val="0"/>
          <w:numId w:val="14"/>
        </w:numPr>
        <w:ind w:hanging="0" w:start="0"/>
        <w:rPr/>
      </w:pPr>
      <w:r>
        <w:rPr/>
        <w:t>Troughing semiconductor unit cycles imply trough capacity utilization rates and usually lead to an expectation of higher capital spending.  Increased future capital spending is a good sign for equipment sales.</w:t>
      </w:r>
    </w:p>
    <w:p>
      <w:pPr>
        <w:pStyle w:val="Bullet"/>
        <w:numPr>
          <w:ilvl w:val="0"/>
          <w:numId w:val="14"/>
        </w:numPr>
        <w:ind w:hanging="0" w:start="0"/>
        <w:rPr/>
      </w:pPr>
      <w:r>
        <w:rPr/>
        <w:t>P/E ratios tend to be highest when the cycle just starting to take off (at which point P/E ratios are normally in the 80x–89x range).  Heading up the curve, P/E ratios usually drop by about 50%.  Similarly, P/E ratios are generally at their lowest at the start of the downturn and increase as the cycle makes its way downward.  On average, stocks have a P/E of approximately 21x.</w:t>
      </w:r>
    </w:p>
    <w:p>
      <w:pPr>
        <w:pStyle w:val="Bullet"/>
        <w:numPr>
          <w:ilvl w:val="0"/>
          <w:numId w:val="14"/>
        </w:numPr>
        <w:ind w:hanging="0" w:start="0"/>
        <w:rPr/>
      </w:pPr>
      <w:r>
        <w:rPr/>
        <w:t>Price swings are heavily dependent on announcements of capital spending plans.  In up cycles, companies tend to underestimate capacity growth needs.  In down cycles, companies tend to overestimate capacity needs.  Stocks typically anticipate such changes.</w:t>
      </w:r>
    </w:p>
    <w:p>
      <w:pPr>
        <w:pStyle w:val="Normal"/>
        <w:rPr/>
      </w:pPr>
      <w:r>
        <w:rPr/>
      </w:r>
    </w:p>
    <w:p>
      <w:pPr>
        <w:pStyle w:val="D-Black"/>
        <w:spacing w:lineRule="atLeast" w:line="280" w:before="0" w:after="120"/>
        <w:rPr/>
      </w:pPr>
      <w:r>
        <w:rPr/>
      </w:r>
      <w:r>
        <w:br w:type="page"/>
      </w:r>
    </w:p>
    <w:p>
      <w:pPr>
        <w:pStyle w:val="Normal"/>
        <w:rPr/>
      </w:pPr>
      <w:r>
        <w:rPr/>
      </w:r>
    </w:p>
    <w:p>
      <w:pPr>
        <w:pStyle w:val="D-Black"/>
        <w:spacing w:lineRule="atLeast" w:line="280" w:before="0" w:after="120"/>
        <w:rPr/>
      </w:pPr>
      <w:r>
        <w:rPr/>
      </w:r>
      <w:r>
        <mc:AlternateContent>
          <mc:Choice Requires="wps">
            <w:drawing>
              <wp:anchor behindDoc="0" distT="0" distB="0" distL="118745" distR="118745" simplePos="0" locked="0" layoutInCell="0" allowOverlap="1" relativeHeight="34">
                <wp:simplePos x="0" y="0"/>
                <wp:positionH relativeFrom="page">
                  <wp:posOffset>636270</wp:posOffset>
                </wp:positionH>
                <wp:positionV relativeFrom="margin">
                  <wp:align>bottom</wp:align>
                </wp:positionV>
                <wp:extent cx="6369685" cy="5293360"/>
                <wp:effectExtent l="0" t="0" r="0" b="0"/>
                <wp:wrapSquare wrapText="bothSides"/>
                <wp:docPr id="49" name="Frame26"/>
                <a:graphic xmlns:a="http://schemas.openxmlformats.org/drawingml/2006/main">
                  <a:graphicData uri="http://schemas.microsoft.com/office/word/2010/wordprocessingShape">
                    <wps:wsp>
                      <wps:cNvSpPr txBox="1"/>
                      <wps:spPr>
                        <a:xfrm>
                          <a:off x="0" y="0"/>
                          <a:ext cx="6369685" cy="5293360"/>
                        </a:xfrm>
                        <a:prstGeom prst="rect"/>
                        <a:solidFill>
                          <a:srgbClr val="FFFFFF">
                            <a:alpha val="0"/>
                          </a:srgbClr>
                        </a:solidFill>
                      </wps:spPr>
                      <wps:txbx>
                        <w:txbxContent>
                          <w:tbl>
                            <w:tblPr>
                              <w:tblW w:w="10031" w:type="dxa"/>
                              <w:jc w:val="start"/>
                              <w:tblInd w:w="108" w:type="dxa"/>
                              <w:tblLayout w:type="fixed"/>
                              <w:tblCellMar>
                                <w:top w:w="0" w:type="dxa"/>
                                <w:start w:w="108" w:type="dxa"/>
                                <w:bottom w:w="0" w:type="dxa"/>
                                <w:end w:w="108" w:type="dxa"/>
                              </w:tblCellMar>
                            </w:tblPr>
                            <w:tblGrid>
                              <w:gridCol w:w="7603"/>
                              <w:gridCol w:w="2419"/>
                              <w:gridCol w:w="9"/>
                            </w:tblGrid>
                            <w:tr>
                              <w:trPr/>
                              <w:tc>
                                <w:tcPr>
                                  <w:tcW w:w="7603" w:type="dxa"/>
                                  <w:tcBorders>
                                    <w:bottom w:val="single" w:sz="6" w:space="0" w:color="000000"/>
                                  </w:tcBorders>
                                  <w:shd w:fill="FFFFFF" w:val="clear"/>
                                </w:tcPr>
                                <w:p>
                                  <w:pPr>
                                    <w:pStyle w:val="Normal"/>
                                    <w:spacing w:before="0" w:after="60"/>
                                    <w:ind w:start="-72" w:end="0"/>
                                    <w:rPr>
                                      <w:lang w:val="en-GB"/>
                                    </w:rPr>
                                  </w:pPr>
                                  <w:r>
                                    <w:rPr>
                                      <w:sz w:val="16"/>
                                      <w:lang w:val="en-GB"/>
                                    </w:rPr>
                                    <w:t>ADDITIONAL INFORMATION IS AVAILABLE UPON REQUEST</w:t>
                                  </w:r>
                                </w:p>
                              </w:tc>
                              <w:tc>
                                <w:tcPr>
                                  <w:tcW w:w="2419" w:type="dxa"/>
                                  <w:tcBorders>
                                    <w:bottom w:val="single" w:sz="6" w:space="0" w:color="000000"/>
                                  </w:tcBorders>
                                  <w:shd w:fill="FFFFFF" w:val="clear"/>
                                </w:tcPr>
                                <w:p>
                                  <w:pPr>
                                    <w:pStyle w:val="Normal"/>
                                    <w:spacing w:before="0" w:after="60"/>
                                    <w:jc w:val="end"/>
                                    <w:rPr>
                                      <w:lang w:val="en-GB"/>
                                    </w:rPr>
                                  </w:pPr>
                                  <w:bookmarkStart w:id="26" w:name="seq_no"/>
                                  <w:r>
                                    <w:rPr>
                                      <w:lang w:val="en-GB"/>
                                    </w:rPr>
                                    <w:t>US</w:t>
                                  </w:r>
                                  <w:bookmarkEnd w:id="26"/>
                                  <w:r>
                                    <w:rPr>
                                      <w:lang w:val="en-GB"/>
                                    </w:rPr>
                                    <w:t>10J021</w:t>
                                  </w:r>
                                </w:p>
                              </w:tc>
                            </w:tr>
                            <w:tr>
                              <w:trPr/>
                              <w:tc>
                                <w:tcPr>
                                  <w:tcW w:w="10031" w:type="dxa"/>
                                  <w:gridSpan w:val="2"/>
                                  <w:tcBorders>
                                    <w:top w:val="single" w:sz="6" w:space="0" w:color="000000"/>
                                    <w:bottom w:val="single" w:sz="6" w:space="0" w:color="000000"/>
                                  </w:tcBorders>
                                  <w:shd w:fill="FFFFFF" w:val="clear"/>
                                </w:tcPr>
                                <w:p>
                                  <w:pPr>
                                    <w:pStyle w:val="Hedge"/>
                                    <w:spacing w:lineRule="exact" w:line="186" w:before="0" w:after="40"/>
                                    <w:ind w:hanging="0" w:start="-72" w:end="-72"/>
                                    <w:rPr>
                                      <w:i/>
                                      <w:i/>
                                    </w:rPr>
                                  </w:pPr>
                                  <w:r>
                                    <w:rPr/>
                                    <w:t># Within the past three years, Salomon Smith Barney, including its parent, subsidiaries, and/or affiliates, has acted as manager or co-manager of a public offering of the securities of this company.</w:t>
                                  </w:r>
                                </w:p>
                              </w:tc>
                            </w:tr>
                            <w:tr>
                              <w:trPr/>
                              <w:tc>
                                <w:tcPr>
                                  <w:tcW w:w="10031" w:type="dxa"/>
                                  <w:gridSpan w:val="2"/>
                                  <w:tcBorders>
                                    <w:top w:val="single" w:sz="6" w:space="0" w:color="000000"/>
                                    <w:bottom w:val="single" w:sz="6" w:space="0" w:color="000000"/>
                                  </w:tcBorders>
                                  <w:shd w:fill="FFFFFF" w:val="clear"/>
                                </w:tcPr>
                                <w:p>
                                  <w:pPr>
                                    <w:pStyle w:val="Hedge"/>
                                    <w:rPr/>
                                  </w:pPr>
                                  <w:r>
                                    <w:rPr/>
                                    <w:t>Salomon Smith Barney (“SSB”), including its parent, subsidiaries, and/or affiliates (“the Firm”), usually makes a market in the U.S.-traded over the counter securities recommended in this report and may sell to or buy from customers, as principal, securities recommended in this report.  The Firm or employees preparing this report may have a position in securities or options of any company recommended in this report.  An employee of the Firm may be a director of a company recommended in this report. The Firm may perform or solicit investment banking or other services from any company recommended in this report.</w:t>
                                  </w:r>
                                </w:p>
                                <w:p>
                                  <w:pPr>
                                    <w:pStyle w:val="Hedge"/>
                                    <w:rPr/>
                                  </w:pPr>
                                  <w:r>
                                    <w:rPr/>
                                    <w:t>Securities recommended, offered, or sold by SSB: (i) are not insured by the Federal Deposit Insurance Corporation; (ii) are not deposits or other obligations of any insured deposit</w:t>
                                    <w:softHyphen/>
                                    <w:t>ory institution (including Citibank); and (iii) are subject to investment risks, including the possible loss of the principal amount invested.  Although information has been obtained from and is based upon sources SSB believes to be reliable, we do not guarantee its accuracy and it may be incomplete or condensed.  All opinions and estimates constitute SSB’s judgment as of the date of the report and are subject to change without notice.  This report is for informational purposes only and is not intended as an offer or solicitation for the purchase or sale of a security.</w:t>
                                  </w:r>
                                </w:p>
                                <w:p>
                                  <w:pPr>
                                    <w:pStyle w:val="Hedge"/>
                                    <w:spacing w:lineRule="exact" w:line="186" w:before="0" w:after="40"/>
                                    <w:ind w:hanging="0" w:start="-72" w:end="-72"/>
                                    <w:rPr/>
                                  </w:pPr>
                                  <w:r>
                                    <w:rPr>
                                      <w:lang w:eastAsia="en-US"/>
                                    </w:rPr>
                                    <w:t xml:space="preserve">This report has been approved for distribution in the United Kingdom by Salomon Brothers International Limited, which is regulated by the Securities and Futures Authority.  The investments and services contained herein are not available to private customers in the UK </w:t>
                                  </w:r>
                                  <w:r>
                                    <w:rPr>
                                      <w:lang w:val="en-GB" w:eastAsia="en-US"/>
                                    </w:rPr>
                                    <w:t>and South Africa</w:t>
                                  </w:r>
                                  <w:r>
                                    <w:rPr>
                                      <w:lang w:eastAsia="en-US"/>
                                    </w:rPr>
                                    <w:t>.  This report was prepared by SSB and, if distributed in Japan by Nikko Salomon Smith Barney Limited, is being so distributed under license.  This report is made available in Australia through Salomon Smith Barney Australia Securities Pty Ltd. (ABN 64 003 114 832), a Licensed Securities Dealer, and in New Zealand through Salomon Smith Barney New Zealand Limited, a member firm of the New Zealand Stock Exchange. This report does not take into account the investment objectives or financial situation of any particular person.  Investors should obtain advice based on their own individual circumstances before making an investment decision. Salomon Smith Barney Securities (Proprietary) Limited is incorporated in the Republic of South Africa (company registration number 2000/025866/07) and its registered office is at Grosvenor Corner, 195 Jan Smuts Avenue, Rosebank, 2198, Republic of  South Africa.</w:t>
                                  </w:r>
                                </w:p>
                              </w:tc>
                            </w:tr>
                            <w:tr>
                              <w:trPr/>
                              <w:tc>
                                <w:tcPr>
                                  <w:tcW w:w="10031" w:type="dxa"/>
                                  <w:gridSpan w:val="2"/>
                                  <w:tcBorders>
                                    <w:top w:val="single" w:sz="6" w:space="0" w:color="000000"/>
                                    <w:bottom w:val="single" w:sz="6" w:space="0" w:color="000000"/>
                                  </w:tcBorders>
                                  <w:shd w:fill="FFFFFF" w:val="clear"/>
                                </w:tcPr>
                                <w:p>
                                  <w:pPr>
                                    <w:pStyle w:val="Hedge"/>
                                    <w:spacing w:lineRule="exact" w:line="186" w:before="0" w:after="40"/>
                                    <w:ind w:hanging="0" w:start="-72" w:end="-72"/>
                                    <w:rPr/>
                                  </w:pPr>
                                  <w:r>
                                    <w:rPr/>
                                    <w:t xml:space="preserve">Guide to investment ratings:  </w:t>
                                  </w:r>
                                  <w:r>
                                    <w:rPr>
                                      <w:i/>
                                    </w:rPr>
                                    <w:t xml:space="preserve">RANK </w:t>
                                  </w:r>
                                  <w:r>
                                    <w:rPr/>
                                    <w:t xml:space="preserve">is a guide to the expected total return over the next 12-18 months.  The total return required for a given rank depends on the degree of risk (see below) in a stock.  The higher the risk, the higher the required return.  For example, a 1 (Buy) rating indicates a total return ranging from 15% or greater for a low-risk stock to 30% or greater for speculative stocks.  Estimated returns for other risk categories are scaled accordingly.  </w:t>
                                  </w:r>
                                  <w:r>
                                    <w:rPr>
                                      <w:i/>
                                    </w:rPr>
                                    <w:t xml:space="preserve">RISK </w:t>
                                  </w:r>
                                  <w:r>
                                    <w:rPr/>
                                    <w:t xml:space="preserve">takes into account predictability of earnings and dividends, financial leverage, and stock price volatility.  </w:t>
                                  </w:r>
                                  <w:r>
                                    <w:rPr>
                                      <w:i/>
                                    </w:rPr>
                                    <w:t xml:space="preserve">L (Low Risk): </w:t>
                                  </w:r>
                                  <w:r>
                                    <w:rPr/>
                                    <w:t xml:space="preserve">predictable earnings and dividends, suitable for conservative investors.  </w:t>
                                  </w:r>
                                  <w:r>
                                    <w:rPr>
                                      <w:i/>
                                    </w:rPr>
                                    <w:t xml:space="preserve">M (Medium Risk): </w:t>
                                  </w:r>
                                  <w:r>
                                    <w:rPr/>
                                    <w:t xml:space="preserve">moderately predictable earnings and dividends, suitable for average equity investors.  </w:t>
                                  </w:r>
                                  <w:r>
                                    <w:rPr>
                                      <w:i/>
                                    </w:rPr>
                                    <w:t xml:space="preserve">H (High Risk): </w:t>
                                  </w:r>
                                  <w:r>
                                    <w:rPr/>
                                    <w:t xml:space="preserve">earnings and dividends are less predictable, suitable for aggressive investors.  </w:t>
                                  </w:r>
                                  <w:r>
                                    <w:rPr>
                                      <w:i/>
                                    </w:rPr>
                                    <w:t xml:space="preserve">S (Speculative): </w:t>
                                  </w:r>
                                  <w:r>
                                    <w:rPr/>
                                    <w:t xml:space="preserve">very low predictability of fundamentals and a high degree of volatility, suitable only for investors/traders with diversified portfolios that can withstand material losses.  </w:t>
                                  </w:r>
                                  <w:r>
                                    <w:rPr>
                                      <w:i/>
                                    </w:rPr>
                                    <w:t xml:space="preserve">V (Venture): </w:t>
                                  </w:r>
                                  <w:r>
                                    <w:rPr/>
                                    <w:t>indicates a stock with venture capital characteristics that is suitable for sophisticated investors with a high tolerance for risk and broadly diversified investment portfolios.  A thorough explanation of the ratings system is available upon request.</w:t>
                                  </w:r>
                                </w:p>
                              </w:tc>
                            </w:tr>
                            <w:tr>
                              <w:trPr/>
                              <w:tc>
                                <w:tcPr>
                                  <w:tcW w:w="10031" w:type="dxa"/>
                                  <w:gridSpan w:val="2"/>
                                  <w:tcBorders>
                                    <w:top w:val="single" w:sz="6" w:space="0" w:color="000000"/>
                                    <w:bottom w:val="single" w:sz="6" w:space="0" w:color="000000"/>
                                  </w:tcBorders>
                                  <w:shd w:fill="FFFFFF" w:val="clear"/>
                                </w:tcPr>
                                <w:p>
                                  <w:pPr>
                                    <w:pStyle w:val="Hedge"/>
                                    <w:spacing w:lineRule="exact" w:line="186" w:before="0" w:after="40"/>
                                    <w:ind w:hanging="0" w:start="-72" w:end="-72"/>
                                    <w:rPr/>
                                  </w:pPr>
                                  <w:r>
                                    <w:rPr/>
                                    <w:t>Investing in non-U.S. securities, including ADRs, by U.S. persons may entail certain risks.  The securities of non-U.S. issuers may not be registered with, or be subject to, the reporting requirements of, the U.S. Securities and Exchange Commission.  There may be limited information available on foreign securities.  Foreign companies are generally not subject to uniform audit and reporting standards, practices and requirements comparable to those in the U.S.  Securities of some foreign companies may be less liquid and their prices more volatile than securities of comparable U.S. companies.  In addition, exchange rate movements may have an adverse effect on the value of an investment in a foreign stock and its corresponding dividend payment for U.S. investors. Investors who have received this report from the Firm may be prohibited in certain U.S. states from purchasing securities mentioned in this report from Salomon Smith Barney. Please ask your Financial Consultant for additional details.</w:t>
                                  </w:r>
                                </w:p>
                              </w:tc>
                            </w:tr>
                            <w:tr>
                              <w:trPr/>
                              <w:tc>
                                <w:tcPr>
                                  <w:tcW w:w="10031" w:type="dxa"/>
                                  <w:gridSpan w:val="2"/>
                                  <w:tcBorders>
                                    <w:top w:val="single" w:sz="6" w:space="0" w:color="000000"/>
                                    <w:bottom w:val="single" w:sz="6" w:space="0" w:color="000000"/>
                                  </w:tcBorders>
                                  <w:shd w:fill="FFFFFF" w:val="clear"/>
                                </w:tcPr>
                                <w:p>
                                  <w:pPr>
                                    <w:pStyle w:val="Hedge"/>
                                    <w:rPr/>
                                  </w:pPr>
                                  <w:r>
                                    <w:rPr/>
                                    <w:t>Salomon Smith Barney is a service mark of Salomon Smith Barney Inc.</w:t>
                                  </w:r>
                                </w:p>
                                <w:p>
                                  <w:pPr>
                                    <w:pStyle w:val="Hedge"/>
                                    <w:spacing w:before="0" w:after="0"/>
                                    <w:rPr/>
                                  </w:pPr>
                                  <w:r>
                                    <w:rPr/>
                                    <w:t xml:space="preserve">© Salomon Smith Barney Inc., </w:t>
                                  </w:r>
                                  <w:r>
                                    <w:rPr/>
                                    <w:fldChar w:fldCharType="begin"/>
                                  </w:r>
                                  <w:r>
                                    <w:rPr/>
                                    <w:instrText xml:space="preserve"> DATE \@"yyyy" </w:instrText>
                                  </w:r>
                                  <w:r>
                                    <w:rPr/>
                                    <w:fldChar w:fldCharType="separate"/>
                                  </w:r>
                                  <w:r>
                                    <w:rPr/>
                                    <w:t>2025</w:t>
                                  </w:r>
                                  <w:r>
                                    <w:rPr/>
                                    <w:fldChar w:fldCharType="end"/>
                                  </w:r>
                                  <w:r>
                                    <w:rPr/>
                                    <w:t>.  All rights reserved.  Any unauthorized use, duplication, or disclosure is prohibited by law and will result in prosecution.</w:t>
                                  </w:r>
                                </w:p>
                              </w:tc>
                            </w:tr>
                          </w:tbl>
                        </w:txbxContent>
                      </wps:txbx>
                      <wps:bodyPr anchor="t" lIns="0" tIns="0" rIns="0" bIns="0">
                        <a:noAutofit/>
                      </wps:bodyPr>
                    </wps:wsp>
                  </a:graphicData>
                </a:graphic>
              </wp:anchor>
            </w:drawing>
          </mc:Choice>
          <mc:Fallback>
            <w:pict>
              <v:rect fillcolor="#FFFFFF" style="position:absolute;rotation:-0;width:501.55pt;height:416.8pt;mso-wrap-distance-left:9.35pt;mso-wrap-distance-right:9.35pt;mso-wrap-distance-top:0pt;mso-wrap-distance-bottom:0pt;margin-top:243.65pt;mso-position-vertical:bottom;mso-position-vertical-relative:margin;margin-left:50.1pt;mso-position-horizontal-relative:page">
                <v:fill opacity="0f"/>
                <v:textbox inset="0in,0in,0in,0in">
                  <w:txbxContent>
                    <w:tbl>
                      <w:tblPr>
                        <w:tblW w:w="10031" w:type="dxa"/>
                        <w:jc w:val="start"/>
                        <w:tblInd w:w="108" w:type="dxa"/>
                        <w:tblLayout w:type="fixed"/>
                        <w:tblCellMar>
                          <w:top w:w="0" w:type="dxa"/>
                          <w:start w:w="108" w:type="dxa"/>
                          <w:bottom w:w="0" w:type="dxa"/>
                          <w:end w:w="108" w:type="dxa"/>
                        </w:tblCellMar>
                      </w:tblPr>
                      <w:tblGrid>
                        <w:gridCol w:w="7603"/>
                        <w:gridCol w:w="2419"/>
                        <w:gridCol w:w="9"/>
                      </w:tblGrid>
                      <w:tr>
                        <w:trPr/>
                        <w:tc>
                          <w:tcPr>
                            <w:tcW w:w="7603" w:type="dxa"/>
                            <w:tcBorders>
                              <w:bottom w:val="single" w:sz="6" w:space="0" w:color="000000"/>
                            </w:tcBorders>
                            <w:shd w:fill="FFFFFF" w:val="clear"/>
                          </w:tcPr>
                          <w:p>
                            <w:pPr>
                              <w:pStyle w:val="Normal"/>
                              <w:spacing w:before="0" w:after="60"/>
                              <w:ind w:start="-72" w:end="0"/>
                              <w:rPr>
                                <w:lang w:val="en-GB"/>
                              </w:rPr>
                            </w:pPr>
                            <w:r>
                              <w:rPr>
                                <w:sz w:val="16"/>
                                <w:lang w:val="en-GB"/>
                              </w:rPr>
                              <w:t>ADDITIONAL INFORMATION IS AVAILABLE UPON REQUEST</w:t>
                            </w:r>
                          </w:p>
                        </w:tc>
                        <w:tc>
                          <w:tcPr>
                            <w:tcW w:w="2419" w:type="dxa"/>
                            <w:tcBorders>
                              <w:bottom w:val="single" w:sz="6" w:space="0" w:color="000000"/>
                            </w:tcBorders>
                            <w:shd w:fill="FFFFFF" w:val="clear"/>
                          </w:tcPr>
                          <w:p>
                            <w:pPr>
                              <w:pStyle w:val="Normal"/>
                              <w:spacing w:before="0" w:after="60"/>
                              <w:jc w:val="end"/>
                              <w:rPr>
                                <w:lang w:val="en-GB"/>
                              </w:rPr>
                            </w:pPr>
                            <w:bookmarkStart w:id="27" w:name="seq_no"/>
                            <w:r>
                              <w:rPr>
                                <w:lang w:val="en-GB"/>
                              </w:rPr>
                              <w:t>US</w:t>
                            </w:r>
                            <w:bookmarkEnd w:id="27"/>
                            <w:r>
                              <w:rPr>
                                <w:lang w:val="en-GB"/>
                              </w:rPr>
                              <w:t>10J021</w:t>
                            </w:r>
                          </w:p>
                        </w:tc>
                      </w:tr>
                      <w:tr>
                        <w:trPr/>
                        <w:tc>
                          <w:tcPr>
                            <w:tcW w:w="10031" w:type="dxa"/>
                            <w:gridSpan w:val="2"/>
                            <w:tcBorders>
                              <w:top w:val="single" w:sz="6" w:space="0" w:color="000000"/>
                              <w:bottom w:val="single" w:sz="6" w:space="0" w:color="000000"/>
                            </w:tcBorders>
                            <w:shd w:fill="FFFFFF" w:val="clear"/>
                          </w:tcPr>
                          <w:p>
                            <w:pPr>
                              <w:pStyle w:val="Hedge"/>
                              <w:spacing w:lineRule="exact" w:line="186" w:before="0" w:after="40"/>
                              <w:ind w:hanging="0" w:start="-72" w:end="-72"/>
                              <w:rPr>
                                <w:i/>
                                <w:i/>
                              </w:rPr>
                            </w:pPr>
                            <w:r>
                              <w:rPr/>
                              <w:t># Within the past three years, Salomon Smith Barney, including its parent, subsidiaries, and/or affiliates, has acted as manager or co-manager of a public offering of the securities of this company.</w:t>
                            </w:r>
                          </w:p>
                        </w:tc>
                      </w:tr>
                      <w:tr>
                        <w:trPr/>
                        <w:tc>
                          <w:tcPr>
                            <w:tcW w:w="10031" w:type="dxa"/>
                            <w:gridSpan w:val="2"/>
                            <w:tcBorders>
                              <w:top w:val="single" w:sz="6" w:space="0" w:color="000000"/>
                              <w:bottom w:val="single" w:sz="6" w:space="0" w:color="000000"/>
                            </w:tcBorders>
                            <w:shd w:fill="FFFFFF" w:val="clear"/>
                          </w:tcPr>
                          <w:p>
                            <w:pPr>
                              <w:pStyle w:val="Hedge"/>
                              <w:rPr/>
                            </w:pPr>
                            <w:r>
                              <w:rPr/>
                              <w:t>Salomon Smith Barney (“SSB”), including its parent, subsidiaries, and/or affiliates (“the Firm”), usually makes a market in the U.S.-traded over the counter securities recommended in this report and may sell to or buy from customers, as principal, securities recommended in this report.  The Firm or employees preparing this report may have a position in securities or options of any company recommended in this report.  An employee of the Firm may be a director of a company recommended in this report. The Firm may perform or solicit investment banking or other services from any company recommended in this report.</w:t>
                            </w:r>
                          </w:p>
                          <w:p>
                            <w:pPr>
                              <w:pStyle w:val="Hedge"/>
                              <w:rPr/>
                            </w:pPr>
                            <w:r>
                              <w:rPr/>
                              <w:t>Securities recommended, offered, or sold by SSB: (i) are not insured by the Federal Deposit Insurance Corporation; (ii) are not deposits or other obligations of any insured deposit</w:t>
                              <w:softHyphen/>
                              <w:t>ory institution (including Citibank); and (iii) are subject to investment risks, including the possible loss of the principal amount invested.  Although information has been obtained from and is based upon sources SSB believes to be reliable, we do not guarantee its accuracy and it may be incomplete or condensed.  All opinions and estimates constitute SSB’s judgment as of the date of the report and are subject to change without notice.  This report is for informational purposes only and is not intended as an offer or solicitation for the purchase or sale of a security.</w:t>
                            </w:r>
                          </w:p>
                          <w:p>
                            <w:pPr>
                              <w:pStyle w:val="Hedge"/>
                              <w:spacing w:lineRule="exact" w:line="186" w:before="0" w:after="40"/>
                              <w:ind w:hanging="0" w:start="-72" w:end="-72"/>
                              <w:rPr/>
                            </w:pPr>
                            <w:r>
                              <w:rPr>
                                <w:lang w:eastAsia="en-US"/>
                              </w:rPr>
                              <w:t xml:space="preserve">This report has been approved for distribution in the United Kingdom by Salomon Brothers International Limited, which is regulated by the Securities and Futures Authority.  The investments and services contained herein are not available to private customers in the UK </w:t>
                            </w:r>
                            <w:r>
                              <w:rPr>
                                <w:lang w:val="en-GB" w:eastAsia="en-US"/>
                              </w:rPr>
                              <w:t>and South Africa</w:t>
                            </w:r>
                            <w:r>
                              <w:rPr>
                                <w:lang w:eastAsia="en-US"/>
                              </w:rPr>
                              <w:t>.  This report was prepared by SSB and, if distributed in Japan by Nikko Salomon Smith Barney Limited, is being so distributed under license.  This report is made available in Australia through Salomon Smith Barney Australia Securities Pty Ltd. (ABN 64 003 114 832), a Licensed Securities Dealer, and in New Zealand through Salomon Smith Barney New Zealand Limited, a member firm of the New Zealand Stock Exchange. This report does not take into account the investment objectives or financial situation of any particular person.  Investors should obtain advice based on their own individual circumstances before making an investment decision. Salomon Smith Barney Securities (Proprietary) Limited is incorporated in the Republic of South Africa (company registration number 2000/025866/07) and its registered office is at Grosvenor Corner, 195 Jan Smuts Avenue, Rosebank, 2198, Republic of  South Africa.</w:t>
                            </w:r>
                          </w:p>
                        </w:tc>
                      </w:tr>
                      <w:tr>
                        <w:trPr/>
                        <w:tc>
                          <w:tcPr>
                            <w:tcW w:w="10031" w:type="dxa"/>
                            <w:gridSpan w:val="2"/>
                            <w:tcBorders>
                              <w:top w:val="single" w:sz="6" w:space="0" w:color="000000"/>
                              <w:bottom w:val="single" w:sz="6" w:space="0" w:color="000000"/>
                            </w:tcBorders>
                            <w:shd w:fill="FFFFFF" w:val="clear"/>
                          </w:tcPr>
                          <w:p>
                            <w:pPr>
                              <w:pStyle w:val="Hedge"/>
                              <w:spacing w:lineRule="exact" w:line="186" w:before="0" w:after="40"/>
                              <w:ind w:hanging="0" w:start="-72" w:end="-72"/>
                              <w:rPr/>
                            </w:pPr>
                            <w:r>
                              <w:rPr/>
                              <w:t xml:space="preserve">Guide to investment ratings:  </w:t>
                            </w:r>
                            <w:r>
                              <w:rPr>
                                <w:i/>
                              </w:rPr>
                              <w:t xml:space="preserve">RANK </w:t>
                            </w:r>
                            <w:r>
                              <w:rPr/>
                              <w:t xml:space="preserve">is a guide to the expected total return over the next 12-18 months.  The total return required for a given rank depends on the degree of risk (see below) in a stock.  The higher the risk, the higher the required return.  For example, a 1 (Buy) rating indicates a total return ranging from 15% or greater for a low-risk stock to 30% or greater for speculative stocks.  Estimated returns for other risk categories are scaled accordingly.  </w:t>
                            </w:r>
                            <w:r>
                              <w:rPr>
                                <w:i/>
                              </w:rPr>
                              <w:t xml:space="preserve">RISK </w:t>
                            </w:r>
                            <w:r>
                              <w:rPr/>
                              <w:t xml:space="preserve">takes into account predictability of earnings and dividends, financial leverage, and stock price volatility.  </w:t>
                            </w:r>
                            <w:r>
                              <w:rPr>
                                <w:i/>
                              </w:rPr>
                              <w:t xml:space="preserve">L (Low Risk): </w:t>
                            </w:r>
                            <w:r>
                              <w:rPr/>
                              <w:t xml:space="preserve">predictable earnings and dividends, suitable for conservative investors.  </w:t>
                            </w:r>
                            <w:r>
                              <w:rPr>
                                <w:i/>
                              </w:rPr>
                              <w:t xml:space="preserve">M (Medium Risk): </w:t>
                            </w:r>
                            <w:r>
                              <w:rPr/>
                              <w:t xml:space="preserve">moderately predictable earnings and dividends, suitable for average equity investors.  </w:t>
                            </w:r>
                            <w:r>
                              <w:rPr>
                                <w:i/>
                              </w:rPr>
                              <w:t xml:space="preserve">H (High Risk): </w:t>
                            </w:r>
                            <w:r>
                              <w:rPr/>
                              <w:t xml:space="preserve">earnings and dividends are less predictable, suitable for aggressive investors.  </w:t>
                            </w:r>
                            <w:r>
                              <w:rPr>
                                <w:i/>
                              </w:rPr>
                              <w:t xml:space="preserve">S (Speculative): </w:t>
                            </w:r>
                            <w:r>
                              <w:rPr/>
                              <w:t xml:space="preserve">very low predictability of fundamentals and a high degree of volatility, suitable only for investors/traders with diversified portfolios that can withstand material losses.  </w:t>
                            </w:r>
                            <w:r>
                              <w:rPr>
                                <w:i/>
                              </w:rPr>
                              <w:t xml:space="preserve">V (Venture): </w:t>
                            </w:r>
                            <w:r>
                              <w:rPr/>
                              <w:t>indicates a stock with venture capital characteristics that is suitable for sophisticated investors with a high tolerance for risk and broadly diversified investment portfolios.  A thorough explanation of the ratings system is available upon request.</w:t>
                            </w:r>
                          </w:p>
                        </w:tc>
                      </w:tr>
                      <w:tr>
                        <w:trPr/>
                        <w:tc>
                          <w:tcPr>
                            <w:tcW w:w="10031" w:type="dxa"/>
                            <w:gridSpan w:val="2"/>
                            <w:tcBorders>
                              <w:top w:val="single" w:sz="6" w:space="0" w:color="000000"/>
                              <w:bottom w:val="single" w:sz="6" w:space="0" w:color="000000"/>
                            </w:tcBorders>
                            <w:shd w:fill="FFFFFF" w:val="clear"/>
                          </w:tcPr>
                          <w:p>
                            <w:pPr>
                              <w:pStyle w:val="Hedge"/>
                              <w:spacing w:lineRule="exact" w:line="186" w:before="0" w:after="40"/>
                              <w:ind w:hanging="0" w:start="-72" w:end="-72"/>
                              <w:rPr/>
                            </w:pPr>
                            <w:r>
                              <w:rPr/>
                              <w:t>Investing in non-U.S. securities, including ADRs, by U.S. persons may entail certain risks.  The securities of non-U.S. issuers may not be registered with, or be subject to, the reporting requirements of, the U.S. Securities and Exchange Commission.  There may be limited information available on foreign securities.  Foreign companies are generally not subject to uniform audit and reporting standards, practices and requirements comparable to those in the U.S.  Securities of some foreign companies may be less liquid and their prices more volatile than securities of comparable U.S. companies.  In addition, exchange rate movements may have an adverse effect on the value of an investment in a foreign stock and its corresponding dividend payment for U.S. investors. Investors who have received this report from the Firm may be prohibited in certain U.S. states from purchasing securities mentioned in this report from Salomon Smith Barney. Please ask your Financial Consultant for additional details.</w:t>
                            </w:r>
                          </w:p>
                        </w:tc>
                      </w:tr>
                      <w:tr>
                        <w:trPr/>
                        <w:tc>
                          <w:tcPr>
                            <w:tcW w:w="10031" w:type="dxa"/>
                            <w:gridSpan w:val="2"/>
                            <w:tcBorders>
                              <w:top w:val="single" w:sz="6" w:space="0" w:color="000000"/>
                              <w:bottom w:val="single" w:sz="6" w:space="0" w:color="000000"/>
                            </w:tcBorders>
                            <w:shd w:fill="FFFFFF" w:val="clear"/>
                          </w:tcPr>
                          <w:p>
                            <w:pPr>
                              <w:pStyle w:val="Hedge"/>
                              <w:rPr/>
                            </w:pPr>
                            <w:r>
                              <w:rPr/>
                              <w:t>Salomon Smith Barney is a service mark of Salomon Smith Barney Inc.</w:t>
                            </w:r>
                          </w:p>
                          <w:p>
                            <w:pPr>
                              <w:pStyle w:val="Hedge"/>
                              <w:spacing w:before="0" w:after="0"/>
                              <w:rPr/>
                            </w:pPr>
                            <w:r>
                              <w:rPr/>
                              <w:t xml:space="preserve">© Salomon Smith Barney Inc., </w:t>
                            </w:r>
                            <w:r>
                              <w:rPr/>
                              <w:fldChar w:fldCharType="begin"/>
                            </w:r>
                            <w:r>
                              <w:rPr/>
                              <w:instrText xml:space="preserve"> DATE \@"yyyy" </w:instrText>
                            </w:r>
                            <w:r>
                              <w:rPr/>
                              <w:fldChar w:fldCharType="separate"/>
                            </w:r>
                            <w:r>
                              <w:rPr/>
                              <w:t>2025</w:t>
                            </w:r>
                            <w:r>
                              <w:rPr/>
                              <w:fldChar w:fldCharType="end"/>
                            </w:r>
                            <w:r>
                              <w:rPr/>
                              <w:t>.  All rights reserved.  Any unauthorized use, duplication, or disclosure is prohibited by law and will result in prosecution.</w:t>
                            </w:r>
                          </w:p>
                        </w:tc>
                      </w:tr>
                    </w:tbl>
                  </w:txbxContent>
                </v:textbox>
                <w10:wrap type="square"/>
              </v:rect>
            </w:pict>
          </mc:Fallback>
        </mc:AlternateContent>
      </w:r>
    </w:p>
    <w:sectPr>
      <w:headerReference w:type="even" r:id="rId29"/>
      <w:headerReference w:type="default" r:id="rId30"/>
      <w:headerReference w:type="first" r:id="rId31"/>
      <w:footerReference w:type="even" r:id="rId32"/>
      <w:footerReference w:type="default" r:id="rId33"/>
      <w:footerReference w:type="first" r:id="rId34"/>
      <w:footnotePr>
        <w:numFmt w:val="decimal"/>
      </w:footnotePr>
      <w:type w:val="nextPage"/>
      <w:pgSz w:w="12200" w:h="15600"/>
      <w:pgMar w:left="3398" w:right="1310" w:gutter="0" w:header="288" w:top="1138" w:footer="302" w:bottom="125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etica Black">
    <w:charset w:val="00" w:characterSet="windows-1252"/>
    <w:family w:val="swiss"/>
    <w:pitch w:val="variable"/>
  </w:font>
  <w:font w:name="Helvetica">
    <w:altName w:val="Arial"/>
    <w:charset w:val="00" w:characterSet="windows-1252"/>
    <w:family w:val="swiss"/>
    <w:pitch w:val="variable"/>
  </w:font>
  <w:font w:name="HelveticaNeue Condensed">
    <w:charset w:val="00" w:characterSet="windows-1252"/>
    <w:family w:val="swiss"/>
    <w:pitch w:val="variable"/>
  </w:font>
  <w:font w:name="Wingdings">
    <w:charset w:val="02"/>
    <w:family w:val="auto"/>
    <w:pitch w:val="variable"/>
  </w:font>
  <w:font w:name="ZapfDingbats">
    <w:charset w:val="00" w:characterSet="windows-1252"/>
    <w:family w:val="decorative"/>
    <w:pitch w:val="variable"/>
  </w:font>
  <w:font w:name="Geneva">
    <w:charset w:val="00" w:characterSet="windows-1252"/>
    <w:family w:val="swiss"/>
    <w:pitch w:val="variable"/>
  </w:font>
  <w:font w:name="Tms Rmn">
    <w:altName w:val="Times New Roman"/>
    <w:charset w:val="00" w:characterSet="windows-1252"/>
    <w:family w:val="roman"/>
    <w:pitch w:val="variable"/>
  </w:font>
  <w:font w:name="Helvetica-Black">
    <w:charset w:val="00" w:characterSet="windows-1252"/>
    <w:family w:val="swiss"/>
    <w:pitch w:val="variable"/>
  </w:font>
  <w:font w:name="Helvetica 65">
    <w:altName w:val="Arial Narrow"/>
    <w:charset w:val="00" w:characterSet="windows-1252"/>
    <w:family w:val="swiss"/>
    <w:pitch w:val="variable"/>
  </w:font>
  <w:font w:name="AGaramond">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80" w:after="180"/>
      <w:ind w:start="-2098" w:end="0"/>
      <w:rPr/>
    </w:pPr>
    <w:r>
      <w:rPr/>
      <w:fldChar w:fldCharType="begin"/>
    </w:r>
    <w:r>
      <w:rPr/>
      <w:instrText xml:space="preserve"> PAGE </w:instrText>
    </w:r>
    <w:r>
      <w:rPr/>
      <w:fldChar w:fldCharType="separate"/>
    </w:r>
    <w:r>
      <w:rPr/>
      <w:t>0</w:t>
    </w:r>
    <w: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80" w:after="180"/>
      <w:ind w:hanging="0" w:start="-2318" w:end="0"/>
      <w:rPr/>
    </w:pPr>
    <w:r>
      <w:rPr/>
      <w:fldChar w:fldCharType="begin"/>
    </w:r>
    <w:r>
      <w:rPr/>
      <w:instrText xml:space="preserve"> PAGE </w:instrText>
    </w:r>
    <w:r>
      <w:rPr/>
      <w:fldChar w:fldCharType="separate"/>
    </w:r>
    <w:r>
      <w:rPr/>
      <w:t>18</w:t>
    </w:r>
    <w:r>
      <w:rPr/>
      <w:fldChar w:fldCharType="end"/>
    </w:r>
    <w:r>
      <w:rPr/>
      <w:tab/>
    </w:r>
    <w:r>
      <w:rPr/>
      <w:drawing>
        <wp:inline distT="0" distB="0" distL="0" distR="0">
          <wp:extent cx="1216660" cy="124460"/>
          <wp:effectExtent l="0" t="0" r="0" b="0"/>
          <wp:docPr id="50"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5" descr="" title=""/>
                  <pic:cNvPicPr>
                    <a:picLocks noChangeAspect="1" noChangeArrowheads="1"/>
                  </pic:cNvPicPr>
                </pic:nvPicPr>
                <pic:blipFill>
                  <a:blip r:embed="rId1"/>
                  <a:srcRect l="-7" t="-71" r="-7" b="-71"/>
                  <a:stretch>
                    <a:fillRect/>
                  </a:stretch>
                </pic:blipFill>
                <pic:spPr bwMode="auto">
                  <a:xfrm>
                    <a:off x="0" y="0"/>
                    <a:ext cx="1216660" cy="124460"/>
                  </a:xfrm>
                  <a:prstGeom prst="rect">
                    <a:avLst/>
                  </a:prstGeom>
                  <a:noFill/>
                </pic:spPr>
              </pic:pic>
            </a:graphicData>
          </a:graphic>
        </wp:inline>
      </w:drawing>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80" w:after="180"/>
      <w:ind w:hanging="0" w:start="-2318" w:end="0"/>
      <w:rPr/>
    </w:pPr>
    <w:r>
      <w:rPr/>
      <w:drawing>
        <wp:inline distT="0" distB="0" distL="0" distR="0">
          <wp:extent cx="1216660" cy="124460"/>
          <wp:effectExtent l="0" t="0" r="0" b="0"/>
          <wp:docPr id="51"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4" descr="" title=""/>
                  <pic:cNvPicPr>
                    <a:picLocks noChangeAspect="1" noChangeArrowheads="1"/>
                  </pic:cNvPicPr>
                </pic:nvPicPr>
                <pic:blipFill>
                  <a:blip r:embed="rId1"/>
                  <a:srcRect l="-7" t="-71" r="-7" b="-71"/>
                  <a:stretch>
                    <a:fillRect/>
                  </a:stretch>
                </pic:blipFill>
                <pic:spPr bwMode="auto">
                  <a:xfrm>
                    <a:off x="0" y="0"/>
                    <a:ext cx="1216660" cy="124460"/>
                  </a:xfrm>
                  <a:prstGeom prst="rect">
                    <a:avLst/>
                  </a:prstGeom>
                  <a:noFill/>
                </pic:spPr>
              </pic:pic>
            </a:graphicData>
          </a:graphic>
        </wp:inline>
      </w:drawing>
    </w:r>
    <w:r>
      <w:rPr/>
      <w:tab/>
    </w:r>
    <w:r>
      <w:rPr/>
      <w:fldChar w:fldCharType="begin"/>
    </w:r>
    <w:r>
      <w:rPr/>
      <w:instrText xml:space="preserve"> PAGE </w:instrText>
    </w:r>
    <w:r>
      <w:rPr/>
      <w:fldChar w:fldCharType="separate"/>
    </w:r>
    <w:r>
      <w:rPr/>
      <w:t>19</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80" w:after="180"/>
      <w:ind w:start="2552" w:end="567"/>
      <w:rPr/>
    </w:pPr>
    <w:r>
      <w:rPr/>
      <w:drawing>
        <wp:anchor behindDoc="0" distT="0" distB="0" distL="0" distR="0" simplePos="0" locked="0" layoutInCell="1" allowOverlap="1" relativeHeight="0">
          <wp:simplePos x="0" y="0"/>
          <wp:positionH relativeFrom="page">
            <wp:posOffset>5829935</wp:posOffset>
          </wp:positionH>
          <wp:positionV relativeFrom="page">
            <wp:posOffset>10168255</wp:posOffset>
          </wp:positionV>
          <wp:extent cx="1207135" cy="139700"/>
          <wp:effectExtent l="0" t="0" r="0" b="0"/>
          <wp:wrapSquare wrapText="bothSides"/>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1"/>
                  <a:stretch>
                    <a:fillRect/>
                  </a:stretch>
                </pic:blipFill>
                <pic:spPr bwMode="auto">
                  <a:xfrm>
                    <a:off x="0" y="0"/>
                    <a:ext cx="1207135" cy="139700"/>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360"/>
      <w:ind w:start="2218" w:end="-576"/>
      <w:jc w:val="end"/>
      <w:rPr/>
    </w:pPr>
    <w:r>
      <w:rPr/>
      <w:drawing>
        <wp:inline distT="0" distB="0" distL="0" distR="0">
          <wp:extent cx="1194435" cy="152400"/>
          <wp:effectExtent l="0" t="0" r="0" b="0"/>
          <wp:docPr id="7"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 descr="" title=""/>
                  <pic:cNvPicPr>
                    <a:picLocks noChangeAspect="1" noChangeArrowheads="1"/>
                  </pic:cNvPicPr>
                </pic:nvPicPr>
                <pic:blipFill>
                  <a:blip r:embed="rId1"/>
                  <a:srcRect l="-30" t="-236" r="-30" b="-236"/>
                  <a:stretch>
                    <a:fillRect/>
                  </a:stretch>
                </pic:blipFill>
                <pic:spPr bwMode="auto">
                  <a:xfrm>
                    <a:off x="0" y="0"/>
                    <a:ext cx="1194435" cy="152400"/>
                  </a:xfrm>
                  <a:prstGeom prst="rect">
                    <a:avLst/>
                  </a:prstGeom>
                  <a:noFill/>
                </pic:spPr>
              </pic:pic>
            </a:graphicData>
          </a:graphic>
        </wp:inline>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Section2"/>
      <w:spacing w:before="180" w:after="180"/>
      <w:ind w:hanging="0" w:start="-1354" w:end="0"/>
      <w:rPr/>
    </w:pPr>
    <w:r>
      <w:rPr/>
      <w:fldChar w:fldCharType="begin"/>
    </w:r>
    <w:r>
      <w:rPr/>
      <w:instrText xml:space="preserve"> PAGE </w:instrText>
    </w:r>
    <w:r>
      <w:rPr/>
      <w:fldChar w:fldCharType="separate"/>
    </w:r>
    <w:r>
      <w:rPr/>
      <w:t>2</w:t>
    </w:r>
    <w:r>
      <w:rPr/>
      <w:fldChar w:fldCharType="end"/>
    </w:r>
    <w:r>
      <w:rPr/>
      <w:tab/>
    </w:r>
    <w:r>
      <w:rPr/>
      <w:drawing>
        <wp:inline distT="0" distB="0" distL="0" distR="0">
          <wp:extent cx="1216660" cy="124460"/>
          <wp:effectExtent l="0" t="0" r="0" b="0"/>
          <wp:docPr id="9"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1" descr="" title=""/>
                  <pic:cNvPicPr>
                    <a:picLocks noChangeAspect="1" noChangeArrowheads="1"/>
                  </pic:cNvPicPr>
                </pic:nvPicPr>
                <pic:blipFill>
                  <a:blip r:embed="rId1"/>
                  <a:srcRect l="-7" t="-71" r="-7" b="-71"/>
                  <a:stretch>
                    <a:fillRect/>
                  </a:stretch>
                </pic:blipFill>
                <pic:spPr bwMode="auto">
                  <a:xfrm>
                    <a:off x="0" y="0"/>
                    <a:ext cx="1216660" cy="124460"/>
                  </a:xfrm>
                  <a:prstGeom prst="rect">
                    <a:avLst/>
                  </a:prstGeom>
                  <a:noFill/>
                </pic:spPr>
              </pic:pic>
            </a:graphicData>
          </a:graphic>
        </wp:inline>
      </w:drawing>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Section2"/>
      <w:spacing w:before="180" w:after="180"/>
      <w:ind w:hanging="0" w:start="-1354" w:end="0"/>
      <w:rPr/>
    </w:pPr>
    <w:r>
      <w:rPr/>
      <w:drawing>
        <wp:inline distT="0" distB="0" distL="0" distR="0">
          <wp:extent cx="1216660" cy="124460"/>
          <wp:effectExtent l="0" t="0" r="0" b="0"/>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
                  <a:stretch>
                    <a:fillRect/>
                  </a:stretch>
                </pic:blipFill>
                <pic:spPr bwMode="auto">
                  <a:xfrm>
                    <a:off x="0" y="0"/>
                    <a:ext cx="1216660" cy="124460"/>
                  </a:xfrm>
                  <a:prstGeom prst="rect">
                    <a:avLst/>
                  </a:prstGeom>
                </pic:spPr>
              </pic:pic>
            </a:graphicData>
          </a:graphic>
        </wp:inline>
      </w:drawing>
    </w:r>
    <w:r>
      <w:rPr/>
      <w:tab/>
    </w:r>
    <w:r>
      <w:rPr/>
      <w:fldChar w:fldCharType="begin"/>
    </w:r>
    <w:r>
      <w:rPr/>
      <w:instrText xml:space="preserve"> PAGE </w:instrText>
    </w:r>
    <w:r>
      <w:rPr/>
      <w:fldChar w:fldCharType="separate"/>
    </w:r>
    <w:r>
      <w:rPr/>
      <w:t>0</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Section3"/>
      <w:spacing w:before="180" w:after="180"/>
      <w:ind w:hanging="0" w:start="-1354" w:end="0"/>
      <w:rPr/>
    </w:pPr>
    <w:r>
      <w:rPr/>
      <w:fldChar w:fldCharType="begin"/>
    </w:r>
    <w:r>
      <w:rPr/>
      <w:instrText xml:space="preserve"> PAGE </w:instrText>
    </w:r>
    <w:r>
      <w:rPr/>
      <w:fldChar w:fldCharType="separate"/>
    </w:r>
    <w:r>
      <w:rPr/>
      <w:t>0</w:t>
    </w:r>
    <w:r>
      <w:rPr/>
      <w:fldChar w:fldCharType="end"/>
    </w:r>
    <w:r>
      <w:rPr/>
      <w:tab/>
    </w:r>
    <w:r>
      <w:rPr/>
      <w:drawing>
        <wp:inline distT="0" distB="0" distL="0" distR="0">
          <wp:extent cx="1216660" cy="124460"/>
          <wp:effectExtent l="0" t="0" r="0" b="0"/>
          <wp:docPr id="19"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3" descr="" title=""/>
                  <pic:cNvPicPr>
                    <a:picLocks noChangeAspect="1" noChangeArrowheads="1"/>
                  </pic:cNvPicPr>
                </pic:nvPicPr>
                <pic:blipFill>
                  <a:blip r:embed="rId1"/>
                  <a:stretch>
                    <a:fillRect/>
                  </a:stretch>
                </pic:blipFill>
                <pic:spPr bwMode="auto">
                  <a:xfrm>
                    <a:off x="0" y="0"/>
                    <a:ext cx="1216660" cy="124460"/>
                  </a:xfrm>
                  <a:prstGeom prst="rect">
                    <a:avLst/>
                  </a:prstGeom>
                </pic:spPr>
              </pic:pic>
            </a:graphicData>
          </a:graphic>
        </wp:inline>
      </w:drawing>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Section3"/>
      <w:spacing w:before="180" w:after="180"/>
      <w:ind w:hanging="0" w:start="-1354" w:end="0"/>
      <w:rPr/>
    </w:pPr>
    <w:r>
      <w:rPr/>
      <w:drawing>
        <wp:inline distT="0" distB="0" distL="0" distR="0">
          <wp:extent cx="1216660" cy="124460"/>
          <wp:effectExtent l="0" t="0" r="0" b="0"/>
          <wp:docPr id="20"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 descr="" title=""/>
                  <pic:cNvPicPr>
                    <a:picLocks noChangeAspect="1" noChangeArrowheads="1"/>
                  </pic:cNvPicPr>
                </pic:nvPicPr>
                <pic:blipFill>
                  <a:blip r:embed="rId1"/>
                  <a:srcRect l="-7" t="-71" r="-7" b="-71"/>
                  <a:stretch>
                    <a:fillRect/>
                  </a:stretch>
                </pic:blipFill>
                <pic:spPr bwMode="auto">
                  <a:xfrm>
                    <a:off x="0" y="0"/>
                    <a:ext cx="1216660" cy="124460"/>
                  </a:xfrm>
                  <a:prstGeom prst="rect">
                    <a:avLst/>
                  </a:prstGeom>
                  <a:noFill/>
                </pic:spPr>
              </pic:pic>
            </a:graphicData>
          </a:graphic>
        </wp:inline>
      </w:drawing>
    </w:r>
    <w:r>
      <w:rPr/>
      <w:tab/>
    </w:r>
    <w:r>
      <w:rPr/>
      <w:fldChar w:fldCharType="begin"/>
    </w:r>
    <w:r>
      <w:rPr/>
      <w:instrText xml:space="preserve"> PAGE </w:instrText>
    </w:r>
    <w:r>
      <w:rPr/>
      <w:fldChar w:fldCharType="separate"/>
    </w:r>
    <w:r>
      <w:rPr/>
      <w:t>3</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tLeast" w:line="160" w:before="0" w:after="120"/>
        <w:rPr/>
      </w:pPr>
      <w:r>
        <w:rPr>
          <w:rStyle w:val="FootnoteCharacters"/>
        </w:rPr>
        <w:footnoteRef/>
      </w:r>
      <w:r>
        <w:rPr/>
        <w:t xml:space="preserve"> </w:t>
      </w:r>
      <w:r>
        <w:rPr/>
        <w:t>Capacity values consist of announced greenfield expansions by leading Energy Merchants and Power Producers.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49" w:type="dxa"/>
      <w:jc w:val="start"/>
      <w:tblInd w:w="0" w:type="dxa"/>
      <w:tblLayout w:type="fixed"/>
      <w:tblCellMar>
        <w:top w:w="0" w:type="dxa"/>
        <w:start w:w="0" w:type="dxa"/>
        <w:bottom w:w="0" w:type="dxa"/>
        <w:end w:w="0" w:type="dxa"/>
      </w:tblCellMar>
    </w:tblPr>
    <w:tblGrid>
      <w:gridCol w:w="1758"/>
      <w:gridCol w:w="340"/>
      <w:gridCol w:w="4424"/>
      <w:gridCol w:w="2427"/>
    </w:tblGrid>
    <w:tr>
      <w:trPr/>
      <w:tc>
        <w:tcPr>
          <w:tcW w:w="1758" w:type="dxa"/>
          <w:tcBorders/>
        </w:tcPr>
        <w:p>
          <w:pPr>
            <w:pStyle w:val="Normal"/>
            <w:snapToGrid w:val="false"/>
            <w:spacing w:before="0" w:after="120"/>
            <w:rPr/>
          </w:pPr>
          <w:r>
            <w:rPr/>
          </w:r>
        </w:p>
      </w:tc>
      <w:tc>
        <w:tcPr>
          <w:tcW w:w="340" w:type="dxa"/>
          <w:tcBorders/>
        </w:tcPr>
        <w:p>
          <w:pPr>
            <w:pStyle w:val="Header"/>
            <w:tabs>
              <w:tab w:val="clear" w:pos="4153"/>
              <w:tab w:val="clear" w:pos="8306"/>
            </w:tabs>
            <w:snapToGrid w:val="false"/>
            <w:spacing w:before="0" w:after="60"/>
            <w:rPr/>
          </w:pPr>
          <w:r>
            <w:rPr/>
          </w:r>
        </w:p>
      </w:tc>
      <w:tc>
        <w:tcPr>
          <w:tcW w:w="4424" w:type="dxa"/>
          <w:tcBorders/>
        </w:tcPr>
        <w:p>
          <w:pPr>
            <w:pStyle w:val="Normal"/>
            <w:snapToGrid w:val="false"/>
            <w:spacing w:before="0" w:after="120"/>
            <w:rPr/>
          </w:pPr>
          <w:r>
            <w:rPr/>
          </w:r>
        </w:p>
      </w:tc>
      <w:tc>
        <w:tcPr>
          <w:tcW w:w="2427" w:type="dxa"/>
          <w:tcBorders/>
        </w:tcPr>
        <w:p>
          <w:pPr>
            <w:pStyle w:val="Header"/>
            <w:tabs>
              <w:tab w:val="clear" w:pos="4153"/>
              <w:tab w:val="clear" w:pos="8306"/>
            </w:tabs>
            <w:snapToGrid w:val="false"/>
            <w:spacing w:before="0" w:after="60"/>
            <w:jc w:val="end"/>
            <w:rPr/>
          </w:pPr>
          <w:r>
            <w:rPr/>
          </w:r>
        </w:p>
      </w:tc>
    </w:tr>
  </w:tbl>
  <w:p>
    <w:pPr>
      <w:pStyle w:val="Header"/>
      <w:spacing w:lineRule="exact" w:line="20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TITLE </w:instrText>
    </w:r>
    <w:r>
      <w:rPr/>
      <w:fldChar w:fldCharType="separate"/>
    </w:r>
    <w:r>
      <w:rPr/>
      <w:t>Commodity Cycles — Learning from the Experts – October 8, 2001</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TITLE </w:instrText>
    </w:r>
    <w:r>
      <w:rPr/>
      <w:fldChar w:fldCharType="separate"/>
    </w:r>
    <w:r>
      <w:rPr/>
      <w:t>Commodity Cycles — Learning from the Experts – October 8, 2001</w:t>
    </w:r>
    <w:r>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color w:val="auto"/>
        <w:sz w:val="20"/>
        <w:lang w:val="en-CA"/>
      </w:rPr>
    </w:pPr>
    <w:r>
      <w:rPr>
        <w:color w:val="auto"/>
        <w:sz w:val="20"/>
        <w:lang w:val="en-CA"/>
      </w:rPr>
      <mc:AlternateContent>
        <mc:Choice Requires="wps">
          <w:drawing>
            <wp:anchor behindDoc="1" distT="0" distB="0" distL="114935" distR="114935" simplePos="0" locked="0" layoutInCell="0" allowOverlap="1" relativeHeight="54">
              <wp:simplePos x="0" y="0"/>
              <wp:positionH relativeFrom="page">
                <wp:posOffset>2153920</wp:posOffset>
              </wp:positionH>
              <wp:positionV relativeFrom="page">
                <wp:posOffset>3279775</wp:posOffset>
              </wp:positionV>
              <wp:extent cx="4521835" cy="6559550"/>
              <wp:effectExtent l="2540" t="1905" r="1270" b="1905"/>
              <wp:wrapNone/>
              <wp:docPr id="3" name=""/>
              <a:graphic xmlns:a="http://schemas.openxmlformats.org/drawingml/2006/main">
                <a:graphicData uri="http://schemas.microsoft.com/office/word/2010/wordprocessingShape">
                  <wps:wsp>
                    <wps:cNvSpPr/>
                    <wps:spPr>
                      <a:xfrm>
                        <a:off x="0" y="0"/>
                        <a:ext cx="4521960" cy="6559560"/>
                      </a:xfrm>
                      <a:prstGeom prst="rect">
                        <a:avLst/>
                      </a:prstGeom>
                      <a:solidFill>
                        <a:srgbClr val="e5e5e5"/>
                      </a:solidFill>
                      <a:ln w="3240">
                        <a:solidFill>
                          <a:srgbClr val="000000"/>
                        </a:solidFill>
                        <a:miter/>
                      </a:ln>
                    </wps:spPr>
                    <wps:style>
                      <a:lnRef idx="0"/>
                      <a:fillRef idx="0"/>
                      <a:effectRef idx="0"/>
                      <a:fontRef idx="minor"/>
                    </wps:style>
                    <wps:bodyPr/>
                  </wps:wsp>
                </a:graphicData>
              </a:graphic>
            </wp:anchor>
          </w:drawing>
        </mc:Choice>
        <mc:Fallback>
          <w:pict>
            <v:rect id="shape_0" fillcolor="#e5e5e5" stroked="t" o:allowincell="f" style="position:absolute;margin-left:169.6pt;margin-top:258.25pt;width:356pt;height:516.45pt;mso-wrap-style:none;v-text-anchor:middle;mso-position-horizontal-relative:page;mso-position-vertical-relative:page">
              <v:fill o:detectmouseclick="t" type="solid" color2="#1a1a1a"/>
              <v:stroke color="black" weight="3240" joinstyle="miter" endcap="flat"/>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nil"/>
      </w:pBdr>
      <w:rPr>
        <w:color w:val="auto"/>
        <w:sz w:val="20"/>
        <w:lang w:val="en-CA"/>
      </w:rPr>
    </w:pPr>
    <w:r>
      <w:rPr>
        <w:color w:val="auto"/>
        <w:sz w:val="20"/>
        <w:lang w:val="en-CA"/>
      </w:rPr>
      <mc:AlternateContent>
        <mc:Choice Requires="wps">
          <w:drawing>
            <wp:anchor behindDoc="1" distT="0" distB="0" distL="114935" distR="114935" simplePos="0" locked="0" layoutInCell="0" allowOverlap="1" relativeHeight="55">
              <wp:simplePos x="0" y="0"/>
              <wp:positionH relativeFrom="page">
                <wp:posOffset>2011680</wp:posOffset>
              </wp:positionH>
              <wp:positionV relativeFrom="page">
                <wp:posOffset>2468880</wp:posOffset>
              </wp:positionV>
              <wp:extent cx="4961255" cy="6696710"/>
              <wp:effectExtent l="2540" t="1905" r="1270" b="1905"/>
              <wp:wrapNone/>
              <wp:docPr id="4" name=""/>
              <a:graphic xmlns:a="http://schemas.openxmlformats.org/drawingml/2006/main">
                <a:graphicData uri="http://schemas.microsoft.com/office/word/2010/wordprocessingShape">
                  <wps:wsp>
                    <wps:cNvSpPr/>
                    <wps:spPr>
                      <a:xfrm>
                        <a:off x="0" y="0"/>
                        <a:ext cx="4961160" cy="6696720"/>
                      </a:xfrm>
                      <a:prstGeom prst="rect">
                        <a:avLst/>
                      </a:prstGeom>
                      <a:solidFill>
                        <a:srgbClr val="e5e5e5"/>
                      </a:solidFill>
                      <a:ln w="3240">
                        <a:solidFill>
                          <a:srgbClr val="000000"/>
                        </a:solidFill>
                        <a:miter/>
                      </a:ln>
                    </wps:spPr>
                    <wps:style>
                      <a:lnRef idx="0"/>
                      <a:fillRef idx="0"/>
                      <a:effectRef idx="0"/>
                      <a:fontRef idx="minor"/>
                    </wps:style>
                    <wps:bodyPr/>
                  </wps:wsp>
                </a:graphicData>
              </a:graphic>
            </wp:anchor>
          </w:drawing>
        </mc:Choice>
        <mc:Fallback>
          <w:pict>
            <v:rect id="shape_0" fillcolor="#e5e5e5" stroked="t" o:allowincell="f" style="position:absolute;margin-left:158.4pt;margin-top:194.4pt;width:390.6pt;height:527.25pt;mso-wrap-style:none;v-text-anchor:middle;mso-position-horizontal-relative:page;mso-position-vertical-relative:page">
              <v:fill o:detectmouseclick="t" type="solid" color2="#1a1a1a"/>
              <v:stroke color="black" weight="3240" joinstyle="miter" endcap="flat"/>
              <w10:wrap type="none"/>
            </v:rect>
          </w:pict>
        </mc:Fallback>
      </mc:AlternateContent>
      <mc:AlternateContent>
        <mc:Choice Requires="wps">
          <w:drawing>
            <wp:anchor behindDoc="1" distT="0" distB="0" distL="97155" distR="0" simplePos="0" locked="0" layoutInCell="1" allowOverlap="1" relativeHeight="59">
              <wp:simplePos x="0" y="0"/>
              <wp:positionH relativeFrom="column">
                <wp:posOffset>4822190</wp:posOffset>
              </wp:positionH>
              <wp:positionV relativeFrom="paragraph">
                <wp:posOffset>477520</wp:posOffset>
              </wp:positionV>
              <wp:extent cx="3810635" cy="572135"/>
              <wp:effectExtent l="0" t="0" r="0" b="0"/>
              <wp:wrapNone/>
              <wp:docPr id="5" name=""/>
              <a:graphic xmlns:a="http://schemas.openxmlformats.org/drawingml/2006/main">
                <a:graphicData uri="http://schemas.microsoft.com/office/word/2010/wordprocessingShape">
                  <wps:wsp>
                    <wps:cNvSpPr txBox="1"/>
                    <wps:spPr>
                      <a:xfrm rot="16200000">
                        <a:off x="0" y="0"/>
                        <a:ext cx="3810600" cy="572040"/>
                      </a:xfrm>
                      <a:prstGeom prst="rect">
                        <a:avLst/>
                      </a:prstGeom>
                      <a:noFill/>
                      <a:ln w="0">
                        <a:noFill/>
                      </a:ln>
                    </wps:spPr>
                    <wps:txbx>
                      <w:txbxContent>
                        <w:p>
                          <w:pPr>
                            <w:overflowPunct w:val="false"/>
                            <w:bidi w:val="0"/>
                            <w:spacing w:before="0" w:after="100" w:lineRule="exact" w:line="440"/>
                            <w:ind w:start="-100" w:end="193" w:hanging="0"/>
                            <w:jc w:val="end"/>
                            <w:rPr/>
                          </w:pPr>
                          <w:r>
                            <w:rPr>
                              <w:kern w:val="2"/>
                              <w:sz w:val="44"/>
                              <w:szCs w:val="20"/>
                              <w:rFonts w:ascii="Helvetica Black" w:hAnsi="Helvetica Black" w:eastAsia="Times New Roman" w:cs="Helvetica Black"/>
                              <w:color w:val="808080"/>
                              <w:lang w:val="en-US"/>
                            </w:rPr>
                            <w:t>United States</w:t>
                          </w:r>
                        </w:p>
                      </w:txbxContent>
                    </wps:txbx>
                    <wps:bodyPr wrap="square" lIns="63360" rIns="63360" tIns="63360" bIns="63360"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f" o:allowincell="f" style="position:absolute;margin-left:379.7pt;margin-top:37.6pt;width:300pt;height:45pt;mso-wrap-style:square;v-text-anchor:top;rotation:270" type="_x0000_t202">
              <v:textbox style="mso-layout-flow-alt:bottom-to-top">
                <w:txbxContent>
                  <w:p>
                    <w:pPr>
                      <w:overflowPunct w:val="false"/>
                      <w:bidi w:val="0"/>
                      <w:spacing w:before="0" w:after="100" w:lineRule="exact" w:line="440"/>
                      <w:ind w:start="-100" w:end="193" w:hanging="0"/>
                      <w:jc w:val="end"/>
                      <w:rPr/>
                    </w:pPr>
                    <w:r>
                      <w:rPr>
                        <w:kern w:val="2"/>
                        <w:sz w:val="44"/>
                        <w:szCs w:val="20"/>
                        <w:rFonts w:ascii="Helvetica Black" w:hAnsi="Helvetica Black" w:eastAsia="Times New Roman" w:cs="Helvetica Black"/>
                        <w:color w:val="808080"/>
                        <w:lang w:val="en-US"/>
                      </w:rPr>
                      <w:t>United States</w:t>
                    </w:r>
                  </w:p>
                </w:txbxContent>
              </v:textbox>
              <v:fill o:detectmouseclick="t" type="solid" color2="black" opacity="0"/>
              <v:stroke color="#3465a4" joinstyle="round" endcap="flat"/>
              <w10:wrap type="none"/>
            </v:shape>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Section2"/>
      <w:rPr/>
    </w:pPr>
    <w:r>
      <w:rPr/>
      <w:fldChar w:fldCharType="begin"/>
    </w:r>
    <w:r>
      <w:rPr/>
      <w:instrText xml:space="preserve"> TITLE </w:instrText>
    </w:r>
    <w:r>
      <w:rPr/>
      <w:fldChar w:fldCharType="separate"/>
    </w:r>
    <w:r>
      <w:rPr/>
      <w:t>Commodity Cycles — Learning from the Experts – October 8, 2001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440" w:end="0"/>
      <w:rPr/>
    </w:pPr>
    <w:r>
      <w:rPr/>
      <w:fldChar w:fldCharType="begin"/>
    </w:r>
    <w:r>
      <w:rPr/>
      <w:instrText xml:space="preserve"> TITLE </w:instrText>
    </w:r>
    <w:r>
      <w:rPr/>
      <w:fldChar w:fldCharType="separate"/>
    </w:r>
    <w:r>
      <w:rPr/>
      <w:t>Commodity Cycles — Learning from the Experts – October 8, 2001</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354" w:end="0"/>
      <w:rPr/>
    </w:pPr>
    <w:r>
      <w:rPr/>
      <mc:AlternateContent>
        <mc:Choice Requires="wpg">
          <w:drawing>
            <wp:anchor behindDoc="1" distT="0" distB="0" distL="114935" distR="114300" simplePos="0" locked="0" layoutInCell="0" allowOverlap="1" relativeHeight="56">
              <wp:simplePos x="0" y="0"/>
              <wp:positionH relativeFrom="page">
                <wp:posOffset>676910</wp:posOffset>
              </wp:positionH>
              <wp:positionV relativeFrom="page">
                <wp:posOffset>374650</wp:posOffset>
              </wp:positionV>
              <wp:extent cx="571500" cy="8766810"/>
              <wp:effectExtent l="635" t="635" r="0" b="0"/>
              <wp:wrapNone/>
              <wp:docPr id="12" name=""/>
              <a:graphic xmlns:a="http://schemas.openxmlformats.org/drawingml/2006/main">
                <a:graphicData uri="http://schemas.microsoft.com/office/word/2010/wordprocessingGroup">
                  <wpg:wgp>
                    <wpg:cNvGrpSpPr/>
                    <wpg:grpSpPr>
                      <a:xfrm>
                        <a:off x="0" y="0"/>
                        <a:ext cx="571680" cy="8766720"/>
                        <a:chOff x="0" y="0"/>
                        <a:chExt cx="571680" cy="8766720"/>
                      </a:xfrm>
                    </wpg:grpSpPr>
                    <wps:wsp>
                      <wps:cNvPr id="13" name=""/>
                      <wps:cNvSpPr/>
                      <wps:spPr>
                        <a:xfrm>
                          <a:off x="13320" y="0"/>
                          <a:ext cx="558000" cy="173520"/>
                        </a:xfrm>
                        <a:prstGeom prst="rect">
                          <a:avLst/>
                        </a:prstGeom>
                        <a:solidFill>
                          <a:srgbClr val="cccccc"/>
                        </a:solidFill>
                        <a:ln w="0">
                          <a:noFill/>
                        </a:ln>
                      </wps:spPr>
                      <wps:style>
                        <a:lnRef idx="0"/>
                        <a:fillRef idx="0"/>
                        <a:effectRef idx="0"/>
                        <a:fontRef idx="minor"/>
                      </wps:style>
                      <wps:bodyPr/>
                    </wps:wsp>
                    <wps:wsp>
                      <wps:cNvPr id="14" name=""/>
                      <wps:cNvSpPr/>
                      <wps:spPr>
                        <a:xfrm>
                          <a:off x="0" y="0"/>
                          <a:ext cx="54000" cy="8766720"/>
                        </a:xfrm>
                        <a:prstGeom prst="rect">
                          <a:avLst/>
                        </a:prstGeom>
                        <a:solidFill>
                          <a:srgbClr val="cccccc"/>
                        </a:solidFill>
                        <a:ln w="0">
                          <a:noFill/>
                        </a:ln>
                      </wps:spPr>
                      <wps:style>
                        <a:lnRef idx="0"/>
                        <a:fillRef idx="0"/>
                        <a:effectRef idx="0"/>
                        <a:fontRef idx="minor"/>
                      </wps:style>
                      <wps:bodyPr/>
                    </wps:wsp>
                  </wpg:wgp>
                </a:graphicData>
              </a:graphic>
            </wp:anchor>
          </w:drawing>
        </mc:Choice>
        <mc:Fallback>
          <w:pict>
            <v:group id="shape_0" style="position:absolute;margin-left:53.3pt;margin-top:29.5pt;width:45pt;height:690.3pt" coordorigin="1066,590" coordsize="900,13806">
              <v:rect id="shape_0" fillcolor="#cccccc" stroked="f" o:allowincell="f" style="position:absolute;left:1087;top:590;width:878;height:272;mso-wrap-style:none;v-text-anchor:middle;mso-position-horizontal-relative:page;mso-position-vertical-relative:page">
                <v:fill o:detectmouseclick="t" type="solid" color2="#333333"/>
                <v:stroke color="#3465a4" joinstyle="round" endcap="flat"/>
                <w10:wrap type="none"/>
              </v:rect>
              <v:rect id="shape_0" fillcolor="#cccccc" stroked="f" o:allowincell="f" style="position:absolute;left:1066;top:590;width:84;height:13805;mso-wrap-style:none;v-text-anchor:middle;mso-position-horizontal-relative:page;mso-position-vertical-relative:page">
                <v:fill o:detectmouseclick="t" type="solid" color2="#333333"/>
                <v:stroke color="#3465a4" joinstyle="round" endcap="flat"/>
                <w10:wrap type="none"/>
              </v:rect>
            </v:group>
          </w:pict>
        </mc:Fallback>
      </mc:AlternateContent>
      <w:fldChar w:fldCharType="begin"/>
    </w:r>
    <w:r>
      <w:rPr/>
      <w:instrText xml:space="preserve"> TITLE </w:instrText>
    </w:r>
    <w:r>
      <w:rPr/>
      <w:fldChar w:fldCharType="separate"/>
    </w:r>
    <w:r>
      <w:rPr/>
      <w:t>Commodity Cycles — Learning from the Experts – October 8, 2001</w:t>
    </w:r>
    <w:r>
      <w:rPr/>
      <w:fldChar w:fldCharType="end"/>
    </w:r>
    <w:r>
      <mc:AlternateContent>
        <mc:Choice Requires="wps">
          <w:drawing>
            <wp:anchor behindDoc="1" distT="0" distB="0" distL="114935" distR="114935" simplePos="0" locked="0" layoutInCell="1" allowOverlap="1" relativeHeight="0">
              <wp:simplePos x="0" y="0"/>
              <wp:positionH relativeFrom="page">
                <wp:posOffset>749935</wp:posOffset>
              </wp:positionH>
              <wp:positionV relativeFrom="page">
                <wp:posOffset>786765</wp:posOffset>
              </wp:positionV>
              <wp:extent cx="574675" cy="5546725"/>
              <wp:effectExtent l="0" t="0" r="0" b="0"/>
              <wp:wrapNone/>
              <wp:docPr id="15" name="Frame27"/>
              <a:graphic xmlns:a="http://schemas.openxmlformats.org/drawingml/2006/main">
                <a:graphicData uri="http://schemas.microsoft.com/office/word/2010/wordprocessingShape">
                  <wps:wsp>
                    <wps:cNvSpPr txBox="1"/>
                    <wps:spPr>
                      <a:xfrm>
                        <a:off x="0" y="0"/>
                        <a:ext cx="574675" cy="5546725"/>
                      </a:xfrm>
                      <a:prstGeom prst="rect"/>
                      <a:solidFill>
                        <a:srgbClr val="FFFFFF">
                          <a:alpha val="0"/>
                        </a:srgbClr>
                      </a:solidFill>
                    </wps:spPr>
                    <wps:txbx>
                      <w:txbxContent>
                        <w:p>
                          <w:pPr>
                            <w:pStyle w:val="Normal"/>
                            <w:widowControl/>
                            <w:bidi w:val="0"/>
                            <w:spacing w:lineRule="atLeast" w:line="280" w:before="0" w:after="120"/>
                            <w:rPr/>
                          </w:pPr>
                          <w:r>
                            <w:rPr/>
                          </w:r>
                        </w:p>
                      </w:txbxContent>
                    </wps:txbx>
                    <wps:bodyPr anchor="t" lIns="13335" tIns="13335" rIns="13335" bIns="13335">
                      <a:noAutofit/>
                    </wps:bodyPr>
                  </wps:wsp>
                </a:graphicData>
              </a:graphic>
            </wp:anchor>
          </w:drawing>
        </mc:Choice>
        <mc:Fallback>
          <w:pict>
            <v:rect fillcolor="#FFFFFF" style="position:absolute;rotation:-0;width:45.25pt;height:436.75pt;mso-wrap-distance-left:9.05pt;mso-wrap-distance-right:9.05pt;mso-wrap-distance-top:0pt;mso-wrap-distance-bottom:0pt;margin-top:61.95pt;mso-position-vertical-relative:page;margin-left:59.05pt;mso-position-horizontal-relative:page">
              <v:fill opacity="0f"/>
              <v:textbox inset="0.0145833333333333in,0.0145833333333333in,0.0145833333333333in,0.0145833333333333in">
                <w:txbxContent>
                  <w:p>
                    <w:pPr>
                      <w:pStyle w:val="Normal"/>
                      <w:widowControl/>
                      <w:bidi w:val="0"/>
                      <w:spacing w:lineRule="atLeast" w:line="280" w:before="0" w:after="120"/>
                      <w:rPr/>
                    </w:pPr>
                    <w:r>
                      <w:rPr/>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440" w:end="0"/>
      <w:rPr/>
    </w:pPr>
    <w:r>
      <w:rPr/>
      <mc:AlternateContent>
        <mc:Choice Requires="wpg">
          <w:drawing>
            <wp:anchor behindDoc="1" distT="0" distB="0" distL="114935" distR="114300" simplePos="0" locked="0" layoutInCell="1" allowOverlap="1" relativeHeight="57">
              <wp:simplePos x="0" y="0"/>
              <wp:positionH relativeFrom="column">
                <wp:posOffset>4756785</wp:posOffset>
              </wp:positionH>
              <wp:positionV relativeFrom="page">
                <wp:posOffset>377825</wp:posOffset>
              </wp:positionV>
              <wp:extent cx="571500" cy="8735060"/>
              <wp:effectExtent l="635" t="635" r="0" b="0"/>
              <wp:wrapNone/>
              <wp:docPr id="16" name=""/>
              <a:graphic xmlns:a="http://schemas.openxmlformats.org/drawingml/2006/main">
                <a:graphicData uri="http://schemas.microsoft.com/office/word/2010/wordprocessingGroup">
                  <wpg:wgp>
                    <wpg:cNvGrpSpPr/>
                    <wpg:grpSpPr>
                      <a:xfrm>
                        <a:off x="0" y="0"/>
                        <a:ext cx="571680" cy="8735040"/>
                        <a:chOff x="0" y="0"/>
                        <a:chExt cx="571680" cy="8735040"/>
                      </a:xfrm>
                    </wpg:grpSpPr>
                    <wps:wsp>
                      <wps:cNvPr id="17" name=""/>
                      <wps:cNvSpPr/>
                      <wps:spPr>
                        <a:xfrm>
                          <a:off x="0" y="0"/>
                          <a:ext cx="558000" cy="172080"/>
                        </a:xfrm>
                        <a:prstGeom prst="rect">
                          <a:avLst/>
                        </a:prstGeom>
                        <a:solidFill>
                          <a:srgbClr val="cccccc"/>
                        </a:solidFill>
                        <a:ln w="0">
                          <a:noFill/>
                        </a:ln>
                      </wps:spPr>
                      <wps:style>
                        <a:lnRef idx="0"/>
                        <a:fillRef idx="0"/>
                        <a:effectRef idx="0"/>
                        <a:fontRef idx="minor"/>
                      </wps:style>
                      <wps:bodyPr/>
                    </wps:wsp>
                    <wps:wsp>
                      <wps:cNvPr id="18" name=""/>
                      <wps:cNvSpPr/>
                      <wps:spPr>
                        <a:xfrm>
                          <a:off x="517680" y="0"/>
                          <a:ext cx="54000" cy="8735040"/>
                        </a:xfrm>
                        <a:prstGeom prst="rect">
                          <a:avLst/>
                        </a:prstGeom>
                        <a:solidFill>
                          <a:srgbClr val="cccccc"/>
                        </a:solidFill>
                        <a:ln w="0">
                          <a:noFill/>
                        </a:ln>
                      </wps:spPr>
                      <wps:style>
                        <a:lnRef idx="0"/>
                        <a:fillRef idx="0"/>
                        <a:effectRef idx="0"/>
                        <a:fontRef idx="minor"/>
                      </wps:style>
                      <wps:bodyPr/>
                    </wps:wsp>
                  </wpg:wgp>
                </a:graphicData>
              </a:graphic>
            </wp:anchor>
          </w:drawing>
        </mc:Choice>
        <mc:Fallback>
          <w:pict>
            <v:group id="shape_0" style="position:absolute;margin-left:374.55pt;margin-top:29.75pt;width:45pt;height:687.8pt" coordorigin="7491,595" coordsize="900,13756">
              <v:rect id="shape_0" fillcolor="#cccccc" stroked="f" o:allowincell="f" style="position:absolute;left:7491;top:595;width:878;height:270;mso-wrap-style:none;v-text-anchor:middle;mso-position-vertical-relative:page">
                <v:fill o:detectmouseclick="t" type="solid" color2="#333333"/>
                <v:stroke color="#3465a4" joinstyle="round" endcap="flat"/>
                <w10:wrap type="none"/>
              </v:rect>
              <v:rect id="shape_0" fillcolor="#cccccc" stroked="f" o:allowincell="f" style="position:absolute;left:8306;top:595;width:84;height:13755;mso-wrap-style:none;v-text-anchor:middle;mso-position-vertical-relative:page">
                <v:fill o:detectmouseclick="t" type="solid" color2="#333333"/>
                <v:stroke color="#3465a4" joinstyle="round" endcap="flat"/>
                <w10:wrap type="none"/>
              </v:rect>
            </v:group>
          </w:pict>
        </mc:Fallback>
      </mc:AlternateContent>
      <w:object w:dxaOrig="855" w:dyaOrig="88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67.5pt;margin-top:47.05pt;width:42.75pt;height:440pt;mso-wrap-distance-left:9.05pt;mso-wrap-distance-right:9.05pt;mso-position-horizontal-relative:text;mso-position-vertical-relative:text" filled="f" o:ole="">
          <v:imagedata r:id="rId2" o:title=""/>
          <w10:wrap type="topAndBottom"/>
        </v:shape>
        <o:OLEObject Type="Embed" ProgID="" ShapeID="ole_rId1" DrawAspect="Content" ObjectID="_1257223924" r:id="rId1"/>
      </w:object>
      <w:fldChar w:fldCharType="begin"/>
    </w:r>
    <w:r>
      <w:rPr/>
      <w:instrText xml:space="preserve"> TITLE </w:instrText>
    </w:r>
    <w:r>
      <w:rPr/>
      <w:fldChar w:fldCharType="separate"/>
    </w:r>
    <w:r>
      <w:rPr/>
      <w:t>Commodity Cycles — Learning from the Experts – October 8, 2001</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numFmt w:val="bullet"/>
      <w:lvlText w:val=""/>
      <w:lvlJc w:val="start"/>
      <w:pPr>
        <w:tabs>
          <w:tab w:val="num" w:pos="461"/>
        </w:tabs>
        <w:ind w:start="691" w:hanging="461"/>
      </w:pPr>
      <w:rPr>
        <w:rFonts w:ascii="ZapfDingbats" w:hAnsi="ZapfDingbats" w:cs="ZapfDingbats" w:hint="default"/>
        <w:sz w:val="26"/>
        <w:color w:val="000000"/>
      </w:rPr>
    </w:lvl>
  </w:abstractNum>
  <w:abstractNum w:abstractNumId="13">
    <w:lvl w:ilvl="0">
      <w:numFmt w:val="bullet"/>
      <w:lvlText w:val=""/>
      <w:lvlJc w:val="start"/>
      <w:pPr>
        <w:tabs>
          <w:tab w:val="num" w:pos="369"/>
        </w:tabs>
        <w:ind w:start="567" w:hanging="369"/>
      </w:pPr>
      <w:rPr>
        <w:rFonts w:ascii="ZapfDingbats" w:hAnsi="ZapfDingbats" w:cs="ZapfDingbats" w:hint="default"/>
        <w:sz w:val="28"/>
      </w:rPr>
    </w:lvl>
  </w:abstractNum>
  <w:abstractNum w:abstractNumId="14">
    <w:lvl w:ilvl="0">
      <w:numFmt w:val="bullet"/>
      <w:lvlText w:val=""/>
      <w:lvlJc w:val="start"/>
      <w:pPr>
        <w:tabs>
          <w:tab w:val="num" w:pos="360"/>
        </w:tabs>
        <w:ind w:start="360" w:hanging="360"/>
      </w:pPr>
      <w:rPr>
        <w:rFonts w:ascii="ZapfDingbats" w:hAnsi="ZapfDingbats" w:cs="ZapfDingbats" w:hint="default"/>
        <w:sz w:val="22"/>
      </w:rPr>
    </w:lvl>
  </w:abstractNum>
  <w:abstractNum w:abstractNumId="15">
    <w:lvl w:ilvl="0">
      <w:start w:val="1"/>
      <w:numFmt w:val="decimal"/>
      <w:lvlText w:val="%1"/>
      <w:lvlJc w:val="start"/>
      <w:pPr>
        <w:tabs>
          <w:tab w:val="num" w:pos="369"/>
        </w:tabs>
        <w:ind w:start="369" w:hanging="369"/>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decimal"/>
      <w:lvlText w:val="%1"/>
      <w:lvlJc w:val="start"/>
      <w:pPr>
        <w:tabs>
          <w:tab w:val="num" w:pos="539"/>
        </w:tabs>
        <w:ind w:start="539" w:hanging="539"/>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decimal"/>
      <w:lvlText w:val="%1"/>
      <w:lvlJc w:val="start"/>
      <w:pPr>
        <w:tabs>
          <w:tab w:val="num" w:pos="284"/>
        </w:tabs>
        <w:ind w:start="284" w:hanging="284"/>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decimal"/>
      <w:lvlText w:val="%1"/>
      <w:lvlJc w:val="start"/>
      <w:pPr>
        <w:tabs>
          <w:tab w:val="num" w:pos="80"/>
        </w:tabs>
        <w:ind w:start="80" w:hanging="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90"/>
  <w:defaultTabStop w:val="709"/>
  <w:autoHyphenation w:val="true"/>
  <w:hyphenationZone w:val="0"/>
  <w:evenAndOddHeaders/>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80" w:before="0" w:after="120"/>
    </w:pPr>
    <w:rPr>
      <w:rFonts w:ascii="Times" w:hAnsi="Times" w:eastAsia="Times New Roman" w:cs="Times"/>
      <w:color w:val="000000"/>
      <w:sz w:val="22"/>
      <w:szCs w:val="20"/>
      <w:lang w:val="en-US" w:eastAsia="zh-CN" w:bidi="hi-IN"/>
    </w:rPr>
  </w:style>
  <w:style w:type="paragraph" w:styleId="Heading1">
    <w:name w:val="heading 1"/>
    <w:basedOn w:val="Normal"/>
    <w:next w:val="Normal"/>
    <w:qFormat/>
    <w:pPr>
      <w:keepNext w:val="true"/>
      <w:numPr>
        <w:ilvl w:val="0"/>
        <w:numId w:val="1"/>
      </w:numPr>
      <w:spacing w:before="0" w:after="0"/>
      <w:ind w:hanging="0" w:start="-28" w:end="0"/>
      <w:outlineLvl w:val="0"/>
    </w:pPr>
    <w:rPr>
      <w:rFonts w:ascii="Helvetica Black" w:hAnsi="Helvetica Black" w:cs="Helvetica Black"/>
      <w:kern w:val="2"/>
      <w:sz w:val="36"/>
    </w:rPr>
  </w:style>
  <w:style w:type="paragraph" w:styleId="Heading2">
    <w:name w:val="heading 2"/>
    <w:basedOn w:val="Normal"/>
    <w:next w:val="Normal"/>
    <w:qFormat/>
    <w:pPr>
      <w:keepNext w:val="true"/>
      <w:numPr>
        <w:ilvl w:val="1"/>
        <w:numId w:val="1"/>
      </w:numPr>
      <w:pBdr>
        <w:top w:val="single" w:sz="6" w:space="1" w:color="000000"/>
        <w:left w:val="single" w:sz="36" w:space="1" w:color="000000"/>
      </w:pBdr>
      <w:spacing w:lineRule="exact" w:line="240" w:before="150" w:after="40"/>
      <w:outlineLvl w:val="1"/>
    </w:pPr>
    <w:rPr>
      <w:rFonts w:ascii="Helvetica Black" w:hAnsi="Helvetica Black" w:cs="Helvetica Black"/>
      <w:position w:val="-3"/>
      <w:sz w:val="24"/>
    </w:rPr>
  </w:style>
  <w:style w:type="paragraph" w:styleId="Heading3">
    <w:name w:val="heading 3"/>
    <w:basedOn w:val="Normal"/>
    <w:next w:val="Normal"/>
    <w:qFormat/>
    <w:pPr>
      <w:keepNext w:val="true"/>
      <w:numPr>
        <w:ilvl w:val="2"/>
        <w:numId w:val="1"/>
      </w:numPr>
      <w:spacing w:before="40" w:after="0"/>
      <w:outlineLvl w:val="2"/>
    </w:pPr>
    <w:rPr>
      <w:rFonts w:ascii="Helvetica Black" w:hAnsi="Helvetica Black" w:cs="Helvetica Black"/>
      <w:sz w:val="20"/>
    </w:rPr>
  </w:style>
  <w:style w:type="paragraph" w:styleId="Heading4">
    <w:name w:val="heading 4"/>
    <w:basedOn w:val="Normal"/>
    <w:next w:val="Normal"/>
    <w:qFormat/>
    <w:pPr>
      <w:keepNext w:val="true"/>
      <w:numPr>
        <w:ilvl w:val="3"/>
        <w:numId w:val="1"/>
      </w:numPr>
      <w:spacing w:before="60" w:after="0"/>
      <w:outlineLvl w:val="3"/>
    </w:pPr>
    <w:rPr>
      <w:rFonts w:ascii="Helvetica" w:hAnsi="Helvetica" w:cs="Helvetica"/>
      <w:b/>
      <w:sz w:val="17"/>
    </w:rPr>
  </w:style>
  <w:style w:type="paragraph" w:styleId="Heading5">
    <w:name w:val="heading 5"/>
    <w:basedOn w:val="Normal"/>
    <w:next w:val="Normal"/>
    <w:qFormat/>
    <w:pPr>
      <w:numPr>
        <w:ilvl w:val="4"/>
        <w:numId w:val="1"/>
      </w:numPr>
      <w:pBdr>
        <w:top w:val="single" w:sz="6" w:space="1" w:color="000000"/>
        <w:bottom w:val="single" w:sz="6" w:space="1" w:color="000000"/>
      </w:pBdr>
      <w:spacing w:lineRule="atLeast" w:line="220" w:before="40" w:after="80"/>
      <w:outlineLvl w:val="4"/>
    </w:pPr>
    <w:rPr>
      <w:rFonts w:ascii="HelveticaNeue Condensed" w:hAnsi="HelveticaNeue Condensed" w:cs="HelveticaNeue Condensed"/>
      <w:b/>
      <w:sz w:val="18"/>
    </w:rPr>
  </w:style>
  <w:style w:type="paragraph" w:styleId="Heading6">
    <w:name w:val="heading 6"/>
    <w:basedOn w:val="Normal"/>
    <w:next w:val="Normal"/>
    <w:qFormat/>
    <w:pPr>
      <w:numPr>
        <w:ilvl w:val="5"/>
        <w:numId w:val="1"/>
      </w:numPr>
      <w:spacing w:before="240" w:after="60"/>
      <w:outlineLvl w:val="5"/>
    </w:pPr>
    <w:rPr>
      <w:rFonts w:ascii="Helvetica" w:hAnsi="Helvetica" w:cs="Helvetica"/>
      <w:i/>
      <w:sz w:val="44"/>
    </w:rPr>
  </w:style>
  <w:style w:type="paragraph" w:styleId="Heading7">
    <w:name w:val="heading 7"/>
    <w:basedOn w:val="Normal"/>
    <w:next w:val="Normal"/>
    <w:qFormat/>
    <w:pPr>
      <w:numPr>
        <w:ilvl w:val="6"/>
        <w:numId w:val="1"/>
      </w:numPr>
      <w:spacing w:before="240" w:after="60"/>
      <w:outlineLvl w:val="6"/>
    </w:pPr>
    <w:rPr>
      <w:rFonts w:ascii="Helvetica" w:hAnsi="Helvetica" w:cs="Helvetica"/>
      <w:sz w:val="44"/>
    </w:rPr>
  </w:style>
  <w:style w:type="paragraph" w:styleId="Heading8">
    <w:name w:val="heading 8"/>
    <w:basedOn w:val="Normal"/>
    <w:next w:val="Normal"/>
    <w:qFormat/>
    <w:pPr>
      <w:numPr>
        <w:ilvl w:val="7"/>
        <w:numId w:val="1"/>
      </w:numPr>
      <w:spacing w:before="240" w:after="60"/>
      <w:outlineLvl w:val="7"/>
    </w:pPr>
    <w:rPr>
      <w:rFonts w:ascii="Helvetica" w:hAnsi="Helvetica" w:cs="Helvetica"/>
      <w:i/>
      <w:sz w:val="20"/>
    </w:rPr>
  </w:style>
  <w:style w:type="paragraph" w:styleId="Heading9">
    <w:name w:val="heading 9"/>
    <w:basedOn w:val="Normal"/>
    <w:next w:val="Normal"/>
    <w:qFormat/>
    <w:pPr>
      <w:numPr>
        <w:ilvl w:val="8"/>
        <w:numId w:val="1"/>
      </w:numPr>
      <w:spacing w:before="240" w:after="60"/>
      <w:outlineLvl w:val="8"/>
    </w:pPr>
    <w:rPr>
      <w:rFonts w:ascii="Helvetica" w:hAnsi="Helvetica" w:cs="Helvetica"/>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sz w:val="22"/>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8z0">
    <w:name w:val="WW8Num18z0"/>
    <w:qFormat/>
    <w:rPr>
      <w:rFonts w:ascii="Symbol" w:hAnsi="Symbol" w:cs="Symbol"/>
      <w:sz w:val="22"/>
    </w:rPr>
  </w:style>
  <w:style w:type="character" w:styleId="WW8Num20z0">
    <w:name w:val="WW8Num20z0"/>
    <w:qFormat/>
    <w:rPr>
      <w:rFonts w:ascii="ZapfDingbats" w:hAnsi="ZapfDingbats" w:cs="ZapfDingbats"/>
      <w:color w:val="000000"/>
      <w:sz w:val="20"/>
    </w:rPr>
  </w:style>
  <w:style w:type="character" w:styleId="WW8Num22z0">
    <w:name w:val="WW8Num22z0"/>
    <w:qFormat/>
    <w:rPr>
      <w:rFonts w:ascii="Symbol" w:hAnsi="Symbol" w:cs="Symbol"/>
      <w:sz w:val="22"/>
    </w:rPr>
  </w:style>
  <w:style w:type="character" w:styleId="WW8Num23z0">
    <w:name w:val="WW8Num23z0"/>
    <w:qFormat/>
    <w:rPr>
      <w:rFonts w:ascii="Symbol" w:hAnsi="Symbol" w:cs="Symbol"/>
    </w:rPr>
  </w:style>
  <w:style w:type="character" w:styleId="WW8Num24z0">
    <w:name w:val="WW8Num24z0"/>
    <w:qFormat/>
    <w:rPr>
      <w:rFonts w:ascii="Symbol" w:hAnsi="Symbol" w:cs="Symbol"/>
      <w:sz w:val="22"/>
    </w:rPr>
  </w:style>
  <w:style w:type="character" w:styleId="WW8Num25z0">
    <w:name w:val="WW8Num25z0"/>
    <w:qFormat/>
    <w:rPr>
      <w:rFonts w:ascii="ZapfDingbats" w:hAnsi="ZapfDingbats" w:cs="ZapfDingbats"/>
      <w:color w:val="000000"/>
      <w:sz w:val="20"/>
    </w:rPr>
  </w:style>
  <w:style w:type="character" w:styleId="WW8Num29z0">
    <w:name w:val="WW8Num29z0"/>
    <w:qFormat/>
    <w:rPr>
      <w:rFonts w:ascii="Symbol" w:hAnsi="Symbol" w:cs="Symbol"/>
      <w:sz w:val="22"/>
    </w:rPr>
  </w:style>
  <w:style w:type="character" w:styleId="WW8Num30z0">
    <w:name w:val="WW8Num30z0"/>
    <w:qFormat/>
    <w:rPr>
      <w:rFonts w:ascii="Symbol" w:hAnsi="Symbol" w:cs="Symbol"/>
      <w:sz w:val="22"/>
    </w:rPr>
  </w:style>
  <w:style w:type="character" w:styleId="WW8Num32z0">
    <w:name w:val="WW8Num32z0"/>
    <w:qFormat/>
    <w:rPr/>
  </w:style>
  <w:style w:type="character" w:styleId="WW8Num33z0">
    <w:name w:val="WW8Num33z0"/>
    <w:qFormat/>
    <w:rPr>
      <w:rFonts w:ascii="ZapfDingbats" w:hAnsi="ZapfDingbats" w:cs="ZapfDingbats"/>
      <w:color w:val="000000"/>
      <w:sz w:val="21"/>
    </w:rPr>
  </w:style>
  <w:style w:type="character" w:styleId="WW8Num37z0">
    <w:name w:val="WW8Num37z0"/>
    <w:qFormat/>
    <w:rPr/>
  </w:style>
  <w:style w:type="character" w:styleId="WW8Num40z0">
    <w:name w:val="WW8Num40z0"/>
    <w:qFormat/>
    <w:rPr>
      <w:rFonts w:ascii="Symbol" w:hAnsi="Symbol" w:cs="Symbol"/>
      <w:sz w:val="22"/>
    </w:rPr>
  </w:style>
  <w:style w:type="character" w:styleId="WW8Num42z0">
    <w:name w:val="WW8Num42z0"/>
    <w:qFormat/>
    <w:rPr>
      <w:rFonts w:ascii="ZapfDingbats" w:hAnsi="ZapfDingbats" w:cs="ZapfDingbats"/>
      <w:color w:val="000000"/>
      <w:sz w:val="20"/>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Symbol" w:hAnsi="Symbol" w:cs="Symbol"/>
      <w:sz w:val="22"/>
    </w:rPr>
  </w:style>
  <w:style w:type="character" w:styleId="WW8Num47z0">
    <w:name w:val="WW8Num47z0"/>
    <w:qFormat/>
    <w:rPr/>
  </w:style>
  <w:style w:type="character" w:styleId="WW8Num48z0">
    <w:name w:val="WW8Num48z0"/>
    <w:qFormat/>
    <w:rPr>
      <w:rFonts w:ascii="Symbol" w:hAnsi="Symbol" w:cs="Symbol"/>
      <w:sz w:val="22"/>
    </w:rPr>
  </w:style>
  <w:style w:type="character" w:styleId="WW8Num51z0">
    <w:name w:val="WW8Num51z0"/>
    <w:qFormat/>
    <w:rPr>
      <w:rFonts w:ascii="ZapfDingbats" w:hAnsi="ZapfDingbats" w:cs="ZapfDingbats"/>
      <w:color w:val="000000"/>
      <w:sz w:val="20"/>
    </w:rPr>
  </w:style>
  <w:style w:type="character" w:styleId="WW8Num54z0">
    <w:name w:val="WW8Num54z0"/>
    <w:qFormat/>
    <w:rPr>
      <w:rFonts w:ascii="Symbol" w:hAnsi="Symbol" w:cs="Symbol"/>
    </w:rPr>
  </w:style>
  <w:style w:type="character" w:styleId="WW8Num55z0">
    <w:name w:val="WW8Num55z0"/>
    <w:qFormat/>
    <w:rPr>
      <w:rFonts w:ascii="ZapfDingbats" w:hAnsi="ZapfDingbats" w:cs="ZapfDingbats"/>
      <w:color w:val="000000"/>
      <w:sz w:val="20"/>
    </w:rPr>
  </w:style>
  <w:style w:type="character" w:styleId="WW8NumSt1z0">
    <w:name w:val="WW8NumSt1z0"/>
    <w:qFormat/>
    <w:rPr>
      <w:rFonts w:ascii="ZapfDingbats" w:hAnsi="ZapfDingbats" w:cs="ZapfDingbats"/>
      <w:color w:val="000000"/>
      <w:sz w:val="26"/>
    </w:rPr>
  </w:style>
  <w:style w:type="character" w:styleId="WW8NumSt12z0">
    <w:name w:val="WW8NumSt12z0"/>
    <w:qFormat/>
    <w:rPr>
      <w:rFonts w:ascii="Geneva" w:hAnsi="Geneva" w:cs="Geneva"/>
      <w:sz w:val="16"/>
    </w:rPr>
  </w:style>
  <w:style w:type="character" w:styleId="WW8NumSt13z0">
    <w:name w:val="WW8NumSt13z0"/>
    <w:qFormat/>
    <w:rPr>
      <w:rFonts w:ascii="Geneva" w:hAnsi="Geneva" w:cs="Geneva"/>
      <w:color w:val="000000"/>
      <w:sz w:val="26"/>
    </w:rPr>
  </w:style>
  <w:style w:type="character" w:styleId="WW8NumSt14z0">
    <w:name w:val="WW8NumSt14z0"/>
    <w:qFormat/>
    <w:rPr>
      <w:rFonts w:ascii="ZapfDingbats" w:hAnsi="ZapfDingbats" w:cs="ZapfDingbats"/>
      <w:sz w:val="28"/>
    </w:rPr>
  </w:style>
  <w:style w:type="character" w:styleId="WW8NumSt15z0">
    <w:name w:val="WW8NumSt15z0"/>
    <w:qFormat/>
    <w:rPr>
      <w:rFonts w:ascii="ZapfDingbats" w:hAnsi="ZapfDingbats" w:cs="ZapfDingbats"/>
      <w:sz w:val="22"/>
    </w:rPr>
  </w:style>
  <w:style w:type="character" w:styleId="WW8NumSt22z0">
    <w:name w:val="WW8NumSt22z0"/>
    <w:qFormat/>
    <w:rPr>
      <w:rFonts w:ascii="Wingdings" w:hAnsi="Wingdings" w:cs="Wingdings"/>
      <w:color w:val="000000"/>
      <w:sz w:val="22"/>
    </w:rPr>
  </w:style>
  <w:style w:type="character" w:styleId="WW8NumSt29z0">
    <w:name w:val="WW8NumSt29z0"/>
    <w:qFormat/>
    <w:rPr>
      <w:rFonts w:ascii="Tms Rmn;Times New Roman" w:hAnsi="Tms Rmn;Times New Roman" w:cs="Tms Rmn;Times New Roman"/>
      <w:color w:val="000000"/>
      <w:sz w:val="28"/>
    </w:rPr>
  </w:style>
  <w:style w:type="character" w:styleId="WW8NumSt30z0">
    <w:name w:val="WW8NumSt30z0"/>
    <w:qFormat/>
    <w:rPr>
      <w:rFonts w:ascii="Tms Rmn;Times New Roman" w:hAnsi="Tms Rmn;Times New Roman" w:cs="Tms Rmn;Times New Roman"/>
      <w:color w:val="000000"/>
      <w:sz w:val="28"/>
    </w:rPr>
  </w:style>
  <w:style w:type="character" w:styleId="WW8NumSt31z0">
    <w:name w:val="WW8NumSt31z0"/>
    <w:qFormat/>
    <w:rPr>
      <w:rFonts w:ascii="Tms Rmn;Times New Roman" w:hAnsi="Tms Rmn;Times New Roman" w:cs="Tms Rmn;Times New Roman"/>
      <w:color w:val="000000"/>
      <w:sz w:val="28"/>
    </w:rPr>
  </w:style>
  <w:style w:type="character" w:styleId="WW8NumSt32z0">
    <w:name w:val="WW8NumSt32z0"/>
    <w:qFormat/>
    <w:rPr>
      <w:rFonts w:ascii="Tms Rmn;Times New Roman" w:hAnsi="Tms Rmn;Times New Roman" w:cs="Tms Rmn;Times New Roman"/>
      <w:color w:val="000000"/>
      <w:sz w:val="28"/>
    </w:rPr>
  </w:style>
  <w:style w:type="character" w:styleId="WW8NumSt33z0">
    <w:name w:val="WW8NumSt33z0"/>
    <w:qFormat/>
    <w:rPr>
      <w:rFonts w:ascii="Tms Rmn;Times New Roman" w:hAnsi="Tms Rmn;Times New Roman" w:cs="Tms Rmn;Times New Roman"/>
      <w:color w:val="000000"/>
      <w:sz w:val="28"/>
    </w:rPr>
  </w:style>
  <w:style w:type="character" w:styleId="WW8NumSt34z0">
    <w:name w:val="WW8NumSt34z0"/>
    <w:qFormat/>
    <w:rPr>
      <w:rFonts w:ascii="Tms Rmn;Times New Roman" w:hAnsi="Tms Rmn;Times New Roman" w:cs="Tms Rmn;Times New Roman"/>
      <w:color w:val="000000"/>
      <w:sz w:val="28"/>
    </w:rPr>
  </w:style>
  <w:style w:type="character" w:styleId="WW8NumSt35z0">
    <w:name w:val="WW8NumSt35z0"/>
    <w:qFormat/>
    <w:rPr>
      <w:rFonts w:ascii="Tms Rmn;Times New Roman" w:hAnsi="Tms Rmn;Times New Roman" w:cs="Tms Rmn;Times New Roman"/>
      <w:color w:val="000000"/>
      <w:sz w:val="28"/>
    </w:rPr>
  </w:style>
  <w:style w:type="character" w:styleId="WW8NumSt36z0">
    <w:name w:val="WW8NumSt36z0"/>
    <w:qFormat/>
    <w:rPr>
      <w:rFonts w:ascii="Tms Rmn;Times New Roman" w:hAnsi="Tms Rmn;Times New Roman" w:cs="Tms Rmn;Times New Roman"/>
      <w:color w:val="000000"/>
      <w:sz w:val="28"/>
    </w:rPr>
  </w:style>
  <w:style w:type="character" w:styleId="WW8NumSt37z0">
    <w:name w:val="WW8NumSt37z0"/>
    <w:qFormat/>
    <w:rPr>
      <w:rFonts w:ascii="Tms Rmn;Times New Roman" w:hAnsi="Tms Rmn;Times New Roman" w:cs="Tms Rmn;Times New Roman"/>
      <w:color w:val="000000"/>
      <w:sz w:val="28"/>
    </w:rPr>
  </w:style>
  <w:style w:type="character" w:styleId="WW8NumSt38z0">
    <w:name w:val="WW8NumSt38z0"/>
    <w:qFormat/>
    <w:rPr>
      <w:rFonts w:ascii="Tms Rmn;Times New Roman" w:hAnsi="Tms Rmn;Times New Roman" w:cs="Tms Rmn;Times New Roman"/>
      <w:color w:val="000000"/>
      <w:sz w:val="28"/>
    </w:rPr>
  </w:style>
  <w:style w:type="character" w:styleId="WW8NumSt39z0">
    <w:name w:val="WW8NumSt39z0"/>
    <w:qFormat/>
    <w:rPr>
      <w:rFonts w:ascii="Tms Rmn;Times New Roman" w:hAnsi="Tms Rmn;Times New Roman" w:cs="Tms Rmn;Times New Roman"/>
      <w:color w:val="000000"/>
      <w:sz w:val="28"/>
    </w:rPr>
  </w:style>
  <w:style w:type="character" w:styleId="WW8NumSt40z0">
    <w:name w:val="WW8NumSt40z0"/>
    <w:qFormat/>
    <w:rPr>
      <w:rFonts w:ascii="Tms Rmn;Times New Roman" w:hAnsi="Tms Rmn;Times New Roman" w:cs="Tms Rmn;Times New Roman"/>
      <w:color w:val="000000"/>
      <w:sz w:val="28"/>
    </w:rPr>
  </w:style>
  <w:style w:type="character" w:styleId="WW8NumSt41z0">
    <w:name w:val="WW8NumSt41z0"/>
    <w:qFormat/>
    <w:rPr>
      <w:rFonts w:ascii="Tms Rmn;Times New Roman" w:hAnsi="Tms Rmn;Times New Roman" w:cs="Tms Rmn;Times New Roman"/>
      <w:color w:val="000000"/>
      <w:sz w:val="28"/>
    </w:rPr>
  </w:style>
  <w:style w:type="character" w:styleId="WW8NumSt42z0">
    <w:name w:val="WW8NumSt42z0"/>
    <w:qFormat/>
    <w:rPr>
      <w:rFonts w:ascii="Tms Rmn;Times New Roman" w:hAnsi="Tms Rmn;Times New Roman" w:cs="Tms Rmn;Times New Roman"/>
      <w:color w:val="000000"/>
      <w:sz w:val="28"/>
    </w:rPr>
  </w:style>
  <w:style w:type="character" w:styleId="WW8NumSt43z0">
    <w:name w:val="WW8NumSt43z0"/>
    <w:qFormat/>
    <w:rPr>
      <w:rFonts w:ascii="Tms Rmn;Times New Roman" w:hAnsi="Tms Rmn;Times New Roman" w:cs="Tms Rmn;Times New Roman"/>
      <w:color w:val="000000"/>
      <w:sz w:val="28"/>
    </w:rPr>
  </w:style>
  <w:style w:type="character" w:styleId="WW8NumSt44z0">
    <w:name w:val="WW8NumSt44z0"/>
    <w:qFormat/>
    <w:rPr>
      <w:rFonts w:ascii="Tms Rmn;Times New Roman" w:hAnsi="Tms Rmn;Times New Roman" w:cs="Tms Rmn;Times New Roman"/>
      <w:color w:val="000000"/>
      <w:sz w:val="28"/>
    </w:rPr>
  </w:style>
  <w:style w:type="character" w:styleId="WW8NumSt57z0">
    <w:name w:val="WW8NumSt57z0"/>
    <w:qFormat/>
    <w:rPr>
      <w:rFonts w:ascii="Symbol" w:hAnsi="Symbol" w:cs="Symbol"/>
    </w:rPr>
  </w:style>
  <w:style w:type="character" w:styleId="WW8NumSt58z0">
    <w:name w:val="WW8NumSt58z0"/>
    <w:qFormat/>
    <w:rPr>
      <w:rFonts w:ascii="Symbol" w:hAnsi="Symbol" w:cs="Symbol"/>
    </w:rPr>
  </w:style>
  <w:style w:type="character" w:styleId="WW8NumSt59z0">
    <w:name w:val="WW8NumSt59z0"/>
    <w:qFormat/>
    <w:rPr>
      <w:rFonts w:ascii="Symbol" w:hAnsi="Symbol" w:cs="Symbol"/>
    </w:rPr>
  </w:style>
  <w:style w:type="character" w:styleId="WW8NumSt60z0">
    <w:name w:val="WW8NumSt60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lang w:val="en-US"/>
    </w:rPr>
  </w:style>
  <w:style w:type="character" w:styleId="CommentReference">
    <w:name w:val="Comment Reference"/>
    <w:basedOn w:val="DefaultParagraphFont"/>
    <w:qFormat/>
    <w:rPr>
      <w:sz w:val="16"/>
      <w:lang w:val="en-US"/>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SourceSupScript">
    <w:name w:val="Source SupScript"/>
    <w:basedOn w:val="DefaultParagraphFont"/>
    <w:qFormat/>
    <w:rPr>
      <w:rFonts w:ascii="HelveticaNeue Condensed" w:hAnsi="HelveticaNeue Condensed" w:cs="HelveticaNeue Condensed"/>
      <w:sz w:val="13"/>
      <w:vertAlign w:val="superscript"/>
    </w:rPr>
  </w:style>
  <w:style w:type="character" w:styleId="TableHeadSupScript">
    <w:name w:val="Table Head SupScript"/>
    <w:basedOn w:val="DefaultParagraphFont"/>
    <w:qFormat/>
    <w:rPr>
      <w:rFonts w:ascii="HelveticaNeue Condensed" w:hAnsi="HelveticaNeue Condensed" w:cs="HelveticaNeue Condensed"/>
      <w:b/>
      <w:sz w:val="14"/>
      <w:vertAlign w:val="superscript"/>
    </w:rPr>
  </w:style>
  <w:style w:type="character" w:styleId="TableSupScript">
    <w:name w:val="Table SupScript"/>
    <w:basedOn w:val="DefaultParagraphFont"/>
    <w:qFormat/>
    <w:rPr>
      <w:rFonts w:ascii="HelveticaNeue Condensed" w:hAnsi="HelveticaNeue Condensed" w:cs="HelveticaNeue Condensed"/>
      <w:sz w:val="13"/>
      <w:vertAlign w:val="superscript"/>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60"/>
      <w:jc w:val="center"/>
    </w:pPr>
    <w:rPr>
      <w:rFonts w:ascii="Helvetica" w:hAnsi="Helvetica" w:cs="Helvetica"/>
      <w:b/>
      <w:kern w:val="2"/>
      <w:sz w:val="32"/>
    </w:rPr>
  </w:style>
  <w:style w:type="paragraph" w:styleId="BodyText">
    <w:name w:val="Body Text"/>
    <w:basedOn w:val="Normal"/>
    <w:pPr/>
    <w:rPr/>
  </w:style>
  <w:style w:type="paragraph" w:styleId="List">
    <w:name w:val="List"/>
    <w:basedOn w:val="Normal"/>
    <w:pPr>
      <w:ind w:hanging="360" w:start="360" w:end="0"/>
    </w:pPr>
    <w:rPr/>
  </w:style>
  <w:style w:type="paragraph" w:styleId="Caption">
    <w:name w:val="caption"/>
    <w:basedOn w:val="Normal"/>
    <w:next w:val="Normal"/>
    <w:qFormat/>
    <w:pPr>
      <w:pBdr>
        <w:top w:val="single" w:sz="6" w:space="1" w:color="000000"/>
        <w:bottom w:val="single" w:sz="6" w:space="1" w:color="000000"/>
      </w:pBdr>
      <w:spacing w:lineRule="atLeast" w:line="220" w:before="40" w:after="80"/>
    </w:pPr>
    <w:rPr>
      <w:rFonts w:ascii="HelveticaNeue Condensed" w:hAnsi="HelveticaNeue Condensed" w:cs="HelveticaNeue Condensed"/>
      <w:b/>
      <w:sz w:val="18"/>
    </w:rPr>
  </w:style>
  <w:style w:type="paragraph" w:styleId="Index">
    <w:name w:val="Index"/>
    <w:basedOn w:val="Normal"/>
    <w:qFormat/>
    <w:pPr>
      <w:suppressLineNumbers/>
    </w:pPr>
    <w:rPr>
      <w:rFonts w:cs="NotoSans NF"/>
    </w:rPr>
  </w:style>
  <w:style w:type="paragraph" w:styleId="Style5">
    <w:name w:val="'"/>
    <w:basedOn w:val="Normal"/>
    <w:qFormat/>
    <w:pPr/>
    <w:rPr>
      <w:rFonts w:ascii="HelveticaNeue Condensed" w:hAnsi="HelveticaNeue Condensed" w:cs="HelveticaNeue Condensed"/>
      <w:b/>
    </w:rPr>
  </w:style>
  <w:style w:type="paragraph" w:styleId="AuthorName">
    <w:name w:val="Author Name"/>
    <w:basedOn w:val="Normal"/>
    <w:next w:val="AuthorPhone"/>
    <w:qFormat/>
    <w:pPr>
      <w:spacing w:lineRule="atLeast" w:line="220" w:before="240" w:after="0"/>
    </w:pPr>
    <w:rPr>
      <w:rFonts w:ascii="HelveticaNeue Condensed" w:hAnsi="HelveticaNeue Condensed" w:cs="HelveticaNeue Condensed"/>
      <w:b/>
      <w:sz w:val="18"/>
    </w:rPr>
  </w:style>
  <w:style w:type="paragraph" w:styleId="AuthorPhone">
    <w:name w:val="Author Phone"/>
    <w:basedOn w:val="AuthorName"/>
    <w:next w:val="AuthorE-Mail"/>
    <w:qFormat/>
    <w:pPr>
      <w:spacing w:before="0" w:after="0"/>
    </w:pPr>
    <w:rPr>
      <w:b w:val="false"/>
    </w:rPr>
  </w:style>
  <w:style w:type="paragraph" w:styleId="AuthorE-Mail">
    <w:name w:val="Author E-Mail"/>
    <w:basedOn w:val="Normal"/>
    <w:next w:val="AuthorName"/>
    <w:qFormat/>
    <w:pPr>
      <w:spacing w:lineRule="atLeast" w:line="220" w:before="0" w:after="0"/>
    </w:pPr>
    <w:rPr>
      <w:rFonts w:ascii="HelveticaNeue Condensed" w:hAnsi="HelveticaNeue Condensed" w:cs="HelveticaNeue Condensed"/>
      <w:sz w:val="15"/>
    </w:rPr>
  </w:style>
  <w:style w:type="paragraph" w:styleId="AssociateName">
    <w:name w:val="Associate Name"/>
    <w:basedOn w:val="AuthorName"/>
    <w:next w:val="AuthorPhone"/>
    <w:qFormat/>
    <w:pPr>
      <w:spacing w:before="240" w:after="0"/>
    </w:pPr>
    <w:rPr>
      <w:b w:val="false"/>
    </w:rPr>
  </w:style>
  <w:style w:type="paragraph" w:styleId="AuthorLocation">
    <w:name w:val="Author Location"/>
    <w:basedOn w:val="Normal"/>
    <w:qFormat/>
    <w:pPr>
      <w:spacing w:lineRule="atLeast" w:line="220"/>
    </w:pPr>
    <w:rPr>
      <w:rFonts w:ascii="HelveticaNeue Condensed" w:hAnsi="HelveticaNeue Condensed" w:cs="HelveticaNeue Condensed"/>
      <w:sz w:val="18"/>
    </w:rPr>
  </w:style>
  <w:style w:type="paragraph" w:styleId="Hedge">
    <w:name w:val="Hedge"/>
    <w:basedOn w:val="Normal"/>
    <w:qFormat/>
    <w:pPr>
      <w:spacing w:lineRule="exact" w:line="186" w:before="0" w:after="40"/>
      <w:ind w:hanging="0" w:start="-72" w:end="-72"/>
    </w:pPr>
    <w:rPr>
      <w:rFonts w:ascii="HelveticaNeue Condensed" w:hAnsi="HelveticaNeue Condensed" w:cs="HelveticaNeue Condensed"/>
      <w:sz w:val="15"/>
    </w:rPr>
  </w:style>
  <w:style w:type="paragraph" w:styleId="B-Mail">
    <w:name w:val="B-Mail"/>
    <w:basedOn w:val="Hedge"/>
    <w:qFormat/>
    <w:pPr>
      <w:spacing w:lineRule="atLeast" w:line="160" w:before="0" w:after="0"/>
      <w:ind w:hanging="0" w:start="414" w:end="-72"/>
    </w:pPr>
    <w:rPr>
      <w:b/>
      <w:color w:val="008000"/>
      <w:sz w:val="16"/>
      <w:lang w:val="en-US"/>
    </w:rPr>
  </w:style>
  <w:style w:type="paragraph" w:styleId="B-Codes">
    <w:name w:val="B-Codes"/>
    <w:basedOn w:val="B-Mail"/>
    <w:qFormat/>
    <w:pPr>
      <w:spacing w:lineRule="atLeast" w:line="220"/>
      <w:ind w:hanging="0" w:start="420" w:end="-72"/>
    </w:pPr>
    <w:rPr>
      <w:b w:val="false"/>
      <w:color w:val="000000"/>
      <w:lang w:val="en-US"/>
    </w:rPr>
  </w:style>
  <w:style w:type="paragraph" w:styleId="Boxbullet">
    <w:name w:val="Box bullet"/>
    <w:basedOn w:val="Normal"/>
    <w:qFormat/>
    <w:pPr>
      <w:numPr>
        <w:ilvl w:val="0"/>
        <w:numId w:val="15"/>
      </w:numPr>
      <w:spacing w:before="0" w:after="180"/>
      <w:ind w:hanging="369" w:start="567" w:end="193"/>
    </w:pPr>
    <w:rPr>
      <w:rFonts w:ascii="Helvetica" w:hAnsi="Helvetica" w:cs="Helvetica"/>
      <w:b/>
      <w:spacing w:val="2"/>
      <w:sz w:val="20"/>
    </w:rPr>
  </w:style>
  <w:style w:type="paragraph" w:styleId="Boxspace">
    <w:name w:val="Box space"/>
    <w:basedOn w:val="Normal"/>
    <w:next w:val="Normal"/>
    <w:qFormat/>
    <w:pPr>
      <w:spacing w:lineRule="exact" w:line="280" w:before="0" w:after="0"/>
    </w:pPr>
    <w:rPr>
      <w:sz w:val="12"/>
    </w:rPr>
  </w:style>
  <w:style w:type="paragraph" w:styleId="Boxsummary">
    <w:name w:val="Box summary"/>
    <w:basedOn w:val="Normal"/>
    <w:qFormat/>
    <w:pPr>
      <w:spacing w:lineRule="atLeast" w:line="300" w:before="140" w:after="100"/>
      <w:ind w:hanging="0" w:start="624" w:end="193"/>
    </w:pPr>
    <w:rPr>
      <w:rFonts w:ascii="Helvetica Black" w:hAnsi="Helvetica Black" w:cs="Helvetica Black"/>
      <w:sz w:val="26"/>
    </w:rPr>
  </w:style>
  <w:style w:type="paragraph" w:styleId="Boxtop">
    <w:name w:val="Box top"/>
    <w:basedOn w:val="Boxspace"/>
    <w:qFormat/>
    <w:pPr>
      <w:spacing w:lineRule="exact" w:line="100" w:before="20" w:after="0"/>
      <w:ind w:hanging="0" w:start="369" w:end="0"/>
    </w:pPr>
    <w:rPr>
      <w:sz w:val="10"/>
    </w:rPr>
  </w:style>
  <w:style w:type="paragraph" w:styleId="B-Phone">
    <w:name w:val="B-Phone"/>
    <w:basedOn w:val="Hedge"/>
    <w:qFormat/>
    <w:pPr>
      <w:tabs>
        <w:tab w:val="clear" w:pos="720"/>
        <w:tab w:val="right" w:pos="2807" w:leader="none"/>
      </w:tabs>
      <w:spacing w:lineRule="exact" w:line="140" w:before="0" w:after="0"/>
      <w:ind w:hanging="0" w:start="0" w:end="-72"/>
    </w:pPr>
    <w:rPr>
      <w:sz w:val="12"/>
      <w:lang w:val="en-US"/>
    </w:rPr>
  </w:style>
  <w:style w:type="paragraph" w:styleId="B-PhoneHead">
    <w:name w:val="B-Phone Head"/>
    <w:basedOn w:val="B-Phone"/>
    <w:qFormat/>
    <w:pPr>
      <w:spacing w:before="40" w:after="0"/>
    </w:pPr>
    <w:rPr>
      <w:b/>
    </w:rPr>
  </w:style>
  <w:style w:type="paragraph" w:styleId="B-Recycled">
    <w:name w:val="B-Recycled"/>
    <w:basedOn w:val="B-Phone"/>
    <w:qFormat/>
    <w:pPr>
      <w:ind w:hanging="0" w:start="425" w:end="-72"/>
    </w:pPr>
    <w:rPr>
      <w:b/>
    </w:rPr>
  </w:style>
  <w:style w:type="paragraph" w:styleId="Bullet">
    <w:name w:val="Bullet"/>
    <w:basedOn w:val="Normal"/>
    <w:qFormat/>
    <w:pPr>
      <w:numPr>
        <w:ilvl w:val="0"/>
        <w:numId w:val="14"/>
      </w:numPr>
    </w:pPr>
    <w:rPr/>
  </w:style>
  <w:style w:type="paragraph" w:styleId="Bulletitalic">
    <w:name w:val="Bullet italic"/>
    <w:basedOn w:val="Normal"/>
    <w:qFormat/>
    <w:pPr>
      <w:spacing w:lineRule="atLeast" w:line="300" w:before="0" w:after="100"/>
      <w:ind w:hanging="380" w:start="380" w:end="0"/>
    </w:pPr>
    <w:rPr>
      <w:i/>
    </w:rPr>
  </w:style>
  <w:style w:type="paragraph" w:styleId="Bulletnumber">
    <w:name w:val="Bullet number"/>
    <w:basedOn w:val="Bulletitalic"/>
    <w:qFormat/>
    <w:pPr>
      <w:numPr>
        <w:ilvl w:val="0"/>
        <w:numId w:val="16"/>
      </w:numPr>
      <w:ind w:hanging="283" w:start="283" w:end="0"/>
    </w:pPr>
    <w:rPr/>
  </w:style>
  <w:style w:type="paragraph" w:styleId="BulletItalic1">
    <w:name w:val="BulletItalic"/>
    <w:qFormat/>
    <w:pPr>
      <w:widowControl/>
      <w:bidi w:val="0"/>
      <w:spacing w:lineRule="atLeast" w:line="300" w:before="0" w:after="100"/>
      <w:ind w:hanging="380" w:start="380" w:end="0"/>
    </w:pPr>
    <w:rPr>
      <w:rFonts w:ascii="Times" w:hAnsi="Times" w:eastAsia="Times New Roman" w:cs="Times"/>
      <w:i/>
      <w:color w:val="000000"/>
      <w:sz w:val="22"/>
      <w:szCs w:val="20"/>
      <w:lang w:val="en-US" w:eastAsia="zh-CN" w:bidi="hi-IN"/>
    </w:rPr>
  </w:style>
  <w:style w:type="paragraph" w:styleId="BulletItalic11">
    <w:name w:val="BulletItalic1"/>
    <w:qFormat/>
    <w:pPr>
      <w:widowControl/>
      <w:bidi w:val="0"/>
      <w:spacing w:lineRule="atLeast" w:line="300" w:before="0" w:after="100"/>
      <w:ind w:hanging="380" w:start="380" w:end="0"/>
    </w:pPr>
    <w:rPr>
      <w:rFonts w:ascii="Times" w:hAnsi="Times" w:eastAsia="Times New Roman" w:cs="Times"/>
      <w:i/>
      <w:color w:val="000000"/>
      <w:sz w:val="22"/>
      <w:szCs w:val="20"/>
      <w:lang w:val="en-US" w:eastAsia="zh-CN" w:bidi="hi-IN"/>
    </w:rPr>
  </w:style>
  <w:style w:type="paragraph" w:styleId="D-Logo">
    <w:name w:val="D-Logo"/>
    <w:basedOn w:val="Normal"/>
    <w:qFormat/>
    <w:pPr>
      <w:spacing w:lineRule="atLeast" w:line="300" w:before="0" w:after="1418"/>
      <w:jc w:val="end"/>
    </w:pPr>
    <w:rPr/>
  </w:style>
  <w:style w:type="paragraph" w:styleId="ChapterBreak">
    <w:name w:val="Chapter Break"/>
    <w:basedOn w:val="D-Logo"/>
    <w:qFormat/>
    <w:pPr/>
    <w:rPr/>
  </w:style>
  <w:style w:type="paragraph" w:styleId="CommentText">
    <w:name w:val="Comment Text"/>
    <w:basedOn w:val="Normal"/>
    <w:qFormat/>
    <w:pPr/>
    <w:rPr>
      <w:sz w:val="26"/>
    </w:rPr>
  </w:style>
  <w:style w:type="paragraph" w:styleId="CompaniesMentioned">
    <w:name w:val="Companies Mentioned"/>
    <w:basedOn w:val="Normal"/>
    <w:qFormat/>
    <w:pPr>
      <w:spacing w:lineRule="atLeast" w:line="240" w:before="0" w:after="0"/>
    </w:pPr>
    <w:rPr>
      <w:sz w:val="21"/>
    </w:rPr>
  </w:style>
  <w:style w:type="paragraph" w:styleId="Contents">
    <w:name w:val="Contents"/>
    <w:basedOn w:val="Normal"/>
    <w:qFormat/>
    <w:pPr>
      <w:spacing w:before="0" w:after="0"/>
      <w:ind w:hanging="0" w:start="-28" w:end="0"/>
    </w:pPr>
    <w:rPr>
      <w:rFonts w:ascii="Helvetica-Black" w:hAnsi="Helvetica-Black" w:cs="Helvetica-Black"/>
      <w:sz w:val="36"/>
    </w:rPr>
  </w:style>
  <w:style w:type="paragraph" w:styleId="CoverSheet">
    <w:name w:val="CoverSheet"/>
    <w:basedOn w:val="Normal"/>
    <w:qFormat/>
    <w:pPr>
      <w:pageBreakBefore/>
      <w:spacing w:lineRule="atLeast" w:line="290"/>
    </w:pPr>
    <w:rPr>
      <w:rFonts w:ascii="Helvetica 65;Arial Narrow" w:hAnsi="Helvetica 65;Arial Narrow" w:cs="Helvetica 65;Arial Narrow"/>
      <w:b/>
      <w:color w:val="auto"/>
      <w:sz w:val="60"/>
    </w:rPr>
  </w:style>
  <w:style w:type="paragraph" w:styleId="D-Black">
    <w:name w:val="D-Black"/>
    <w:basedOn w:val="Normal"/>
    <w:qFormat/>
    <w:pPr>
      <w:spacing w:lineRule="exact" w:line="454" w:before="0" w:after="0"/>
    </w:pPr>
    <w:rPr/>
  </w:style>
  <w:style w:type="paragraph" w:styleId="D-Space">
    <w:name w:val="D-Space"/>
    <w:basedOn w:val="Normal"/>
    <w:qFormat/>
    <w:pPr>
      <w:spacing w:lineRule="exact" w:line="227" w:before="0" w:after="0"/>
    </w:pPr>
    <w:rPr>
      <w:sz w:val="8"/>
    </w:rPr>
  </w:style>
  <w:style w:type="paragraph" w:styleId="D-Text">
    <w:name w:val="D-Text"/>
    <w:basedOn w:val="Normal"/>
    <w:qFormat/>
    <w:pPr>
      <w:spacing w:lineRule="exact" w:line="740" w:before="300" w:after="260"/>
      <w:ind w:hanging="0" w:start="0" w:end="113"/>
      <w:jc w:val="end"/>
    </w:pPr>
    <w:rPr>
      <w:rFonts w:ascii="Helvetica Black" w:hAnsi="Helvetica Black" w:cs="Helvetica Black"/>
      <w:color w:val="auto"/>
      <w:sz w:val="56"/>
    </w:rPr>
  </w:style>
  <w:style w:type="paragraph" w:styleId="D-Top">
    <w:name w:val="D-Top"/>
    <w:basedOn w:val="Normal"/>
    <w:qFormat/>
    <w:pPr>
      <w:spacing w:lineRule="atLeast" w:line="300" w:before="0" w:after="1040"/>
      <w:jc w:val="end"/>
    </w:pPr>
    <w:rPr/>
  </w:style>
  <w:style w:type="paragraph" w:styleId="ExecSumBold">
    <w:name w:val="ExecSum Bold"/>
    <w:basedOn w:val="Normal"/>
    <w:qFormat/>
    <w:pPr>
      <w:spacing w:lineRule="atLeast" w:line="340" w:before="0" w:after="280"/>
    </w:pPr>
    <w:rPr>
      <w:rFonts w:ascii="Arial" w:hAnsi="Arial" w:cs="Arial"/>
      <w:b/>
      <w:i/>
    </w:rPr>
  </w:style>
  <w:style w:type="paragraph" w:styleId="ExecSumDec">
    <w:name w:val="ExecSum Dec"/>
    <w:basedOn w:val="Normal"/>
    <w:next w:val="ExecSumHeading"/>
    <w:qFormat/>
    <w:pPr>
      <w:spacing w:lineRule="atLeast" w:line="340" w:before="0" w:after="280"/>
    </w:pPr>
    <w:rPr>
      <w:rFonts w:ascii="Helvetica" w:hAnsi="Helvetica" w:cs="Helvetica"/>
      <w:b/>
      <w:i/>
    </w:rPr>
  </w:style>
  <w:style w:type="paragraph" w:styleId="ExecSumHeading">
    <w:name w:val="ExecSum Heading"/>
    <w:basedOn w:val="Heading3"/>
    <w:next w:val="ExecSumNormal"/>
    <w:qFormat/>
    <w:pPr>
      <w:numPr>
        <w:ilvl w:val="0"/>
        <w:numId w:val="0"/>
      </w:numPr>
      <w:spacing w:before="40" w:after="0"/>
      <w:outlineLvl w:val="9"/>
    </w:pPr>
    <w:rPr/>
  </w:style>
  <w:style w:type="paragraph" w:styleId="ExecSumNormal">
    <w:name w:val="ExecSum Normal"/>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7488" w:leader="none"/>
      </w:tabs>
      <w:spacing w:before="180" w:after="180"/>
      <w:ind w:hanging="0" w:start="-2318" w:end="0"/>
    </w:pPr>
    <w:rPr/>
  </w:style>
  <w:style w:type="paragraph" w:styleId="FCode">
    <w:name w:val="FCode"/>
    <w:basedOn w:val="Footer"/>
    <w:qFormat/>
    <w:pPr>
      <w:spacing w:before="0" w:after="180"/>
    </w:pPr>
    <w:rPr>
      <w:rFonts w:ascii="Helvetica" w:hAnsi="Helvetica" w:cs="Helvetica"/>
      <w:sz w:val="12"/>
    </w:rPr>
  </w:style>
  <w:style w:type="paragraph" w:styleId="F-HeadnoLine">
    <w:name w:val="F-Head no Line"/>
    <w:basedOn w:val="Normal"/>
    <w:qFormat/>
    <w:pPr>
      <w:keepNext w:val="true"/>
      <w:spacing w:lineRule="atLeast" w:line="220" w:before="40" w:after="80"/>
      <w:ind w:hanging="0" w:start="357" w:end="357"/>
    </w:pPr>
    <w:rPr>
      <w:rFonts w:ascii="HelveticaNeue Condensed" w:hAnsi="HelveticaNeue Condensed" w:cs="HelveticaNeue Condensed"/>
      <w:b/>
      <w:sz w:val="18"/>
    </w:rPr>
  </w:style>
  <w:style w:type="paragraph" w:styleId="F-MailCodes">
    <w:name w:val="F-Mail Codes"/>
    <w:basedOn w:val="Normal"/>
    <w:qFormat/>
    <w:pPr>
      <w:tabs>
        <w:tab w:val="clear" w:pos="720"/>
        <w:tab w:val="right" w:pos="1758" w:leader="none"/>
      </w:tabs>
      <w:spacing w:lineRule="atLeast" w:line="220" w:before="60" w:after="20"/>
    </w:pPr>
    <w:rPr>
      <w:rFonts w:ascii="HelveticaNeue Condensed" w:hAnsi="HelveticaNeue Condensed" w:cs="HelveticaNeue Condensed"/>
      <w:sz w:val="12"/>
    </w:rPr>
  </w:style>
  <w:style w:type="paragraph" w:styleId="FooterLandscape">
    <w:name w:val="Footer_Landscape"/>
    <w:basedOn w:val="Footer"/>
    <w:qFormat/>
    <w:pPr>
      <w:tabs>
        <w:tab w:val="clear" w:pos="7488"/>
        <w:tab w:val="right" w:pos="10843" w:leader="none"/>
      </w:tabs>
    </w:pPr>
    <w:rPr/>
  </w:style>
  <w:style w:type="paragraph" w:styleId="Footerodd">
    <w:name w:val="Footer_odd"/>
    <w:basedOn w:val="Footer"/>
    <w:qFormat/>
    <w:pPr>
      <w:tabs>
        <w:tab w:val="center" w:pos="5040" w:leader="none"/>
        <w:tab w:val="right" w:pos="7488" w:leader="none"/>
        <w:tab w:val="right" w:pos="10080" w:leader="none"/>
      </w:tabs>
      <w:spacing w:lineRule="auto" w:line="240" w:before="0" w:after="60"/>
    </w:pPr>
    <w:rPr>
      <w:rFonts w:ascii="AGaramond" w:hAnsi="AGaramond" w:cs="AGaramond"/>
      <w:color w:val="auto"/>
      <w:sz w:val="21"/>
    </w:rPr>
  </w:style>
  <w:style w:type="paragraph" w:styleId="FooterSection2">
    <w:name w:val="Footer_Section 2"/>
    <w:basedOn w:val="Footer"/>
    <w:qFormat/>
    <w:pPr>
      <w:tabs>
        <w:tab w:val="clear" w:pos="7488"/>
        <w:tab w:val="right" w:pos="8453" w:leader="none"/>
      </w:tabs>
      <w:ind w:hanging="0" w:start="-1354" w:end="0"/>
    </w:pPr>
    <w:rPr/>
  </w:style>
  <w:style w:type="paragraph" w:styleId="FooterSection3">
    <w:name w:val="Footer_Section 3"/>
    <w:basedOn w:val="Footer"/>
    <w:qFormat/>
    <w:pPr>
      <w:tabs>
        <w:tab w:val="clear" w:pos="7488"/>
        <w:tab w:val="right" w:pos="8453" w:leader="none"/>
      </w:tabs>
      <w:ind w:hanging="0" w:start="-1354" w:end="0"/>
    </w:pPr>
    <w:rPr/>
  </w:style>
  <w:style w:type="paragraph" w:styleId="FootnoteText">
    <w:name w:val="footnote text"/>
    <w:basedOn w:val="Normal"/>
    <w:pPr>
      <w:spacing w:lineRule="atLeast" w:line="160"/>
    </w:pPr>
    <w:rPr>
      <w:sz w:val="14"/>
    </w:rPr>
  </w:style>
  <w:style w:type="paragraph" w:styleId="T-Right">
    <w:name w:val="T-Right"/>
    <w:basedOn w:val="Normal"/>
    <w:qFormat/>
    <w:pPr>
      <w:spacing w:lineRule="exact" w:line="200" w:before="20" w:after="0"/>
      <w:ind w:hanging="0" w:start="0" w:end="28"/>
      <w:jc w:val="end"/>
    </w:pPr>
    <w:rPr>
      <w:rFonts w:ascii="HelveticaNeue Condensed" w:hAnsi="HelveticaNeue Condensed" w:cs="HelveticaNeue Condensed"/>
      <w:sz w:val="16"/>
    </w:rPr>
  </w:style>
  <w:style w:type="paragraph" w:styleId="T-Left">
    <w:name w:val="T-Left"/>
    <w:basedOn w:val="T-Right"/>
    <w:qFormat/>
    <w:pPr>
      <w:spacing w:before="20" w:after="0"/>
      <w:ind w:hanging="0" w:start="23" w:end="28"/>
      <w:jc w:val="start"/>
    </w:pPr>
    <w:rPr/>
  </w:style>
  <w:style w:type="paragraph" w:styleId="F-Rating">
    <w:name w:val="F-Rating"/>
    <w:basedOn w:val="T-Left"/>
    <w:qFormat/>
    <w:pPr>
      <w:spacing w:lineRule="exact" w:line="205" w:before="0" w:after="0"/>
      <w:ind w:hanging="0" w:start="113" w:end="0"/>
    </w:pPr>
    <w:rPr>
      <w:rFonts w:ascii="Helvetica" w:hAnsi="Helvetica" w:cs="Helvetica"/>
      <w:b/>
    </w:rPr>
  </w:style>
  <w:style w:type="paragraph" w:styleId="FrontBullet">
    <w:name w:val="Front Bullet"/>
    <w:basedOn w:val="Normal"/>
    <w:qFormat/>
    <w:pPr>
      <w:numPr>
        <w:ilvl w:val="0"/>
        <w:numId w:val="12"/>
      </w:numPr>
      <w:spacing w:lineRule="atLeast" w:line="340" w:before="200" w:after="0"/>
    </w:pPr>
    <w:rPr>
      <w:rFonts w:ascii="Helvetica Black" w:hAnsi="Helvetica Black" w:cs="Helvetica Black"/>
      <w:sz w:val="24"/>
    </w:rPr>
  </w:style>
  <w:style w:type="paragraph" w:styleId="FrontBulletTight">
    <w:name w:val="Front Bullet Tight"/>
    <w:basedOn w:val="Normal"/>
    <w:qFormat/>
    <w:pPr>
      <w:numPr>
        <w:ilvl w:val="0"/>
        <w:numId w:val="17"/>
      </w:numPr>
      <w:spacing w:lineRule="atLeast" w:line="340" w:before="200" w:after="60"/>
      <w:ind w:hanging="539" w:start="908" w:end="510"/>
    </w:pPr>
    <w:rPr>
      <w:rFonts w:ascii="Helvetica Black" w:hAnsi="Helvetica Black" w:cs="Helvetica Black"/>
      <w:sz w:val="24"/>
    </w:rPr>
  </w:style>
  <w:style w:type="paragraph" w:styleId="MastHeadBanner">
    <w:name w:val="MastHead Banner"/>
    <w:basedOn w:val="T-Left"/>
    <w:qFormat/>
    <w:pPr>
      <w:spacing w:before="20" w:after="0"/>
      <w:ind w:hanging="0" w:start="113" w:end="28"/>
    </w:pPr>
    <w:rPr>
      <w:rFonts w:ascii="Helvetica Black" w:hAnsi="Helvetica Black" w:cs="Helvetica Black"/>
      <w:caps/>
      <w:color w:val="FFFFFF"/>
      <w:spacing w:val="60"/>
      <w:sz w:val="14"/>
    </w:rPr>
  </w:style>
  <w:style w:type="paragraph" w:styleId="MastHeadRecommend">
    <w:name w:val="MastHead Recommend"/>
    <w:basedOn w:val="MastHeadBanner"/>
    <w:qFormat/>
    <w:pPr>
      <w:spacing w:before="80" w:after="0"/>
    </w:pPr>
    <w:rPr>
      <w:color w:val="000000"/>
      <w:spacing w:val="0"/>
      <w:sz w:val="21"/>
    </w:rPr>
  </w:style>
  <w:style w:type="paragraph" w:styleId="FrontCap">
    <w:name w:val="Front Cap"/>
    <w:basedOn w:val="MastHeadRecommend"/>
    <w:qFormat/>
    <w:pPr>
      <w:spacing w:before="80" w:after="0"/>
    </w:pPr>
    <w:rPr>
      <w:caps w:val="false"/>
      <w:smallCaps w:val="false"/>
      <w:sz w:val="18"/>
      <w:lang w:val="en-US"/>
    </w:rPr>
  </w:style>
  <w:style w:type="paragraph" w:styleId="MastHeadPrice">
    <w:name w:val="MastHead Price"/>
    <w:basedOn w:val="MastHeadBanner"/>
    <w:qFormat/>
    <w:pPr>
      <w:spacing w:before="80" w:after="0"/>
    </w:pPr>
    <w:rPr>
      <w:color w:val="000000"/>
      <w:spacing w:val="0"/>
      <w:sz w:val="22"/>
    </w:rPr>
  </w:style>
  <w:style w:type="paragraph" w:styleId="FrontCapDetail">
    <w:name w:val="Front Cap Detail"/>
    <w:basedOn w:val="MastHeadPrice"/>
    <w:qFormat/>
    <w:pPr>
      <w:spacing w:before="40" w:after="40"/>
      <w:ind w:hanging="0" w:start="115" w:end="29"/>
    </w:pPr>
    <w:rPr>
      <w:caps w:val="false"/>
      <w:smallCaps w:val="false"/>
      <w:sz w:val="18"/>
      <w:lang w:val="en-US"/>
    </w:rPr>
  </w:style>
  <w:style w:type="paragraph" w:styleId="FrontDisclaimer">
    <w:name w:val="Front Disclaimer"/>
    <w:basedOn w:val="AuthorName"/>
    <w:qFormat/>
    <w:pPr>
      <w:spacing w:before="120" w:after="0"/>
    </w:pPr>
    <w:rPr/>
  </w:style>
  <w:style w:type="paragraph" w:styleId="MastHeadCountry">
    <w:name w:val="MastHead Country"/>
    <w:basedOn w:val="MastHeadPrice"/>
    <w:qFormat/>
    <w:pPr/>
    <w:rPr/>
  </w:style>
  <w:style w:type="paragraph" w:styleId="FrontIssueDate">
    <w:name w:val="Front Issue Date"/>
    <w:basedOn w:val="MastHeadCountry"/>
    <w:qFormat/>
    <w:pPr>
      <w:spacing w:before="80" w:after="0"/>
    </w:pPr>
    <w:rPr>
      <w:caps w:val="false"/>
      <w:smallCaps w:val="false"/>
      <w:sz w:val="20"/>
      <w:lang w:val="en-US"/>
    </w:rPr>
  </w:style>
  <w:style w:type="paragraph" w:styleId="FrontPortfolioStyle">
    <w:name w:val="Front Portfolio Style"/>
    <w:basedOn w:val="MastHeadBanner"/>
    <w:qFormat/>
    <w:pPr>
      <w:spacing w:before="80" w:after="0"/>
    </w:pPr>
    <w:rPr>
      <w:color w:val="000000"/>
      <w:spacing w:val="0"/>
      <w:sz w:val="18"/>
      <w:lang w:val="en-US"/>
    </w:rPr>
  </w:style>
  <w:style w:type="paragraph" w:styleId="FrontRating">
    <w:name w:val="Front Rating"/>
    <w:basedOn w:val="Normal"/>
    <w:qFormat/>
    <w:pPr>
      <w:spacing w:before="0" w:after="20"/>
      <w:jc w:val="center"/>
    </w:pPr>
    <w:rPr>
      <w:rFonts w:ascii="Helvetica Black" w:hAnsi="Helvetica Black" w:cs="Helvetica Black"/>
      <w:sz w:val="40"/>
    </w:rPr>
  </w:style>
  <w:style w:type="paragraph" w:styleId="FrontRatingDetail">
    <w:name w:val="Front Rating Detail"/>
    <w:basedOn w:val="Normal"/>
    <w:next w:val="FrontRatingDetail2"/>
    <w:qFormat/>
    <w:pPr>
      <w:spacing w:lineRule="exact" w:line="180" w:before="80" w:after="0"/>
    </w:pPr>
    <w:rPr>
      <w:rFonts w:ascii="HelveticaNeue Condensed" w:hAnsi="HelveticaNeue Condensed" w:cs="HelveticaNeue Condensed"/>
      <w:b/>
      <w:sz w:val="19"/>
    </w:rPr>
  </w:style>
  <w:style w:type="paragraph" w:styleId="FrontRatingDetail2">
    <w:name w:val="Front Rating Detail 2"/>
    <w:basedOn w:val="FrontRatingDetail"/>
    <w:qFormat/>
    <w:pPr>
      <w:spacing w:before="0" w:after="0"/>
    </w:pPr>
    <w:rPr>
      <w:smallCaps/>
    </w:rPr>
  </w:style>
  <w:style w:type="paragraph" w:styleId="FrontSubTitle">
    <w:name w:val="Front SubTitle"/>
    <w:basedOn w:val="Normal"/>
    <w:next w:val="FrontBullet"/>
    <w:qFormat/>
    <w:pPr>
      <w:spacing w:before="0" w:after="60"/>
      <w:ind w:hanging="0" w:start="302" w:end="0"/>
    </w:pPr>
    <w:rPr>
      <w:rFonts w:ascii="Helvetica Black" w:hAnsi="Helvetica Black" w:cs="Helvetica Black"/>
      <w:sz w:val="27"/>
    </w:rPr>
  </w:style>
  <w:style w:type="paragraph" w:styleId="FrontTableHeadLeft">
    <w:name w:val="Front Table Head Left"/>
    <w:basedOn w:val="Normal"/>
    <w:qFormat/>
    <w:pPr>
      <w:spacing w:lineRule="exact" w:line="220" w:before="20" w:after="20"/>
    </w:pPr>
    <w:rPr>
      <w:rFonts w:ascii="HelveticaNeue Condensed" w:hAnsi="HelveticaNeue Condensed" w:cs="HelveticaNeue Condensed"/>
      <w:b/>
      <w:sz w:val="16"/>
    </w:rPr>
  </w:style>
  <w:style w:type="paragraph" w:styleId="FrontTableHeadRight">
    <w:name w:val="Front Table Head Right"/>
    <w:basedOn w:val="FrontTableHeadLeft"/>
    <w:qFormat/>
    <w:pPr>
      <w:jc w:val="end"/>
    </w:pPr>
    <w:rPr/>
  </w:style>
  <w:style w:type="paragraph" w:styleId="FrontTableLeft">
    <w:name w:val="Front Table Left"/>
    <w:basedOn w:val="Normal"/>
    <w:qFormat/>
    <w:pPr>
      <w:spacing w:lineRule="exact" w:line="220" w:before="20" w:after="20"/>
    </w:pPr>
    <w:rPr>
      <w:rFonts w:ascii="HelveticaNeue Condensed" w:hAnsi="HelveticaNeue Condensed" w:cs="HelveticaNeue Condensed"/>
      <w:sz w:val="18"/>
    </w:rPr>
  </w:style>
  <w:style w:type="paragraph" w:styleId="FrontTableRight">
    <w:name w:val="Front Table Right"/>
    <w:basedOn w:val="FrontTableLeft"/>
    <w:qFormat/>
    <w:pPr>
      <w:jc w:val="end"/>
    </w:pPr>
    <w:rPr/>
  </w:style>
  <w:style w:type="paragraph" w:styleId="FrontTitle">
    <w:name w:val="Front Title"/>
    <w:basedOn w:val="Normal"/>
    <w:qFormat/>
    <w:pPr>
      <w:spacing w:lineRule="exact" w:line="580" w:before="640" w:after="160"/>
      <w:ind w:hanging="0" w:start="302" w:end="0"/>
    </w:pPr>
    <w:rPr>
      <w:rFonts w:ascii="Helvetica-Black" w:hAnsi="Helvetica-Black" w:cs="Helvetica-Black"/>
      <w:color w:val="000080"/>
      <w:sz w:val="44"/>
    </w:rPr>
  </w:style>
  <w:style w:type="paragraph" w:styleId="FrontTickerPrice">
    <w:name w:val="Front Ticker &amp; Price"/>
    <w:basedOn w:val="Normal"/>
    <w:next w:val="FrontSubTitle"/>
    <w:qFormat/>
    <w:pPr>
      <w:tabs>
        <w:tab w:val="clear" w:pos="720"/>
        <w:tab w:val="right" w:pos="2160" w:leader="none"/>
        <w:tab w:val="right" w:pos="5040" w:leader="none"/>
      </w:tabs>
      <w:spacing w:lineRule="exact" w:line="280" w:before="0" w:after="180"/>
      <w:ind w:hanging="0" w:start="302" w:end="0"/>
    </w:pPr>
    <w:rPr>
      <w:rFonts w:ascii="Helvetica-Black" w:hAnsi="Helvetica-Black" w:cs="Helvetica-Black"/>
      <w:sz w:val="28"/>
    </w:rPr>
  </w:style>
  <w:style w:type="paragraph" w:styleId="GraphInfo">
    <w:name w:val="GraphInfo"/>
    <w:basedOn w:val="Normal"/>
    <w:qFormat/>
    <w:pPr>
      <w:spacing w:lineRule="atLeast" w:line="240"/>
    </w:pPr>
    <w:rPr>
      <w:vanish/>
    </w:rPr>
  </w:style>
  <w:style w:type="paragraph" w:styleId="HangingText">
    <w:name w:val="Hanging Text"/>
    <w:basedOn w:val="Normal"/>
    <w:next w:val="Normal"/>
    <w:qFormat/>
    <w:pPr>
      <w:spacing w:lineRule="atLeast" w:line="220"/>
      <w:jc w:val="end"/>
    </w:pPr>
    <w:rPr>
      <w:rFonts w:ascii="Helvetica" w:hAnsi="Helvetica" w:cs="Helvetica"/>
      <w:b/>
      <w:i/>
      <w:spacing w:val="2"/>
      <w:sz w:val="16"/>
    </w:rPr>
  </w:style>
  <w:style w:type="paragraph" w:styleId="HangingTicker">
    <w:name w:val="Hanging Ticker"/>
    <w:basedOn w:val="HangingText"/>
    <w:qFormat/>
    <w:pPr>
      <w:spacing w:before="160" w:after="0"/>
      <w:jc w:val="start"/>
    </w:pPr>
    <w:rPr>
      <w:i w:val="false"/>
    </w:rPr>
  </w:style>
  <w:style w:type="paragraph" w:styleId="Header">
    <w:name w:val="header"/>
    <w:basedOn w:val="Normal"/>
    <w:pPr>
      <w:pBdr>
        <w:bottom w:val="single" w:sz="12" w:space="2" w:color="000000"/>
      </w:pBdr>
      <w:tabs>
        <w:tab w:val="clear" w:pos="720"/>
        <w:tab w:val="center" w:pos="4153" w:leader="none"/>
        <w:tab w:val="right" w:pos="8306" w:leader="none"/>
      </w:tabs>
      <w:spacing w:lineRule="exact" w:line="240" w:before="0" w:after="0"/>
      <w:ind w:hanging="0" w:start="-2318" w:end="0"/>
    </w:pPr>
    <w:rPr>
      <w:rFonts w:ascii="Helvetica" w:hAnsi="Helvetica" w:cs="Helvetica"/>
      <w:sz w:val="15"/>
    </w:rPr>
  </w:style>
  <w:style w:type="paragraph" w:styleId="HeaderSection2">
    <w:name w:val="Header_Section 2"/>
    <w:basedOn w:val="Header"/>
    <w:qFormat/>
    <w:pPr>
      <w:ind w:hanging="0" w:start="-1354" w:end="0"/>
    </w:pPr>
    <w:rPr/>
  </w:style>
  <w:style w:type="paragraph" w:styleId="HeaderSection3">
    <w:name w:val="Header_Section 3"/>
    <w:basedOn w:val="Header"/>
    <w:qFormat/>
    <w:pPr>
      <w:ind w:hanging="0" w:start="-1354" w:end="0"/>
    </w:pPr>
    <w:rPr/>
  </w:style>
  <w:style w:type="paragraph" w:styleId="Heading1Bullet">
    <w:name w:val="Heading 1 Bullet"/>
    <w:basedOn w:val="Normal"/>
    <w:qFormat/>
    <w:pPr>
      <w:numPr>
        <w:ilvl w:val="0"/>
        <w:numId w:val="13"/>
      </w:numPr>
      <w:spacing w:before="0" w:after="180"/>
      <w:ind w:hanging="0" w:start="0" w:end="193"/>
    </w:pPr>
    <w:rPr>
      <w:rFonts w:ascii="Helvetica" w:hAnsi="Helvetica" w:cs="Helvetica"/>
      <w:b/>
      <w:spacing w:val="2"/>
      <w:sz w:val="20"/>
    </w:rPr>
  </w:style>
  <w:style w:type="paragraph" w:styleId="Heading31">
    <w:name w:val="Heading 3+"/>
    <w:basedOn w:val="Heading3"/>
    <w:qFormat/>
    <w:pPr>
      <w:numPr>
        <w:ilvl w:val="0"/>
        <w:numId w:val="0"/>
      </w:numPr>
      <w:spacing w:lineRule="atLeast" w:line="300" w:before="200" w:after="0"/>
      <w:outlineLvl w:val="9"/>
    </w:pPr>
    <w:rPr/>
  </w:style>
  <w:style w:type="paragraph" w:styleId="HeadingTOC">
    <w:name w:val="Heading TOC"/>
    <w:basedOn w:val="Heading1"/>
    <w:qFormat/>
    <w:pPr>
      <w:numPr>
        <w:ilvl w:val="0"/>
        <w:numId w:val="0"/>
      </w:numPr>
      <w:ind w:hanging="0" w:start="-28"/>
      <w:outlineLvl w:val="9"/>
    </w:pPr>
    <w:rPr/>
  </w:style>
  <w:style w:type="paragraph" w:styleId="HedgeRule">
    <w:name w:val="Hedge Rule"/>
    <w:basedOn w:val="Hedge"/>
    <w:qFormat/>
    <w:pPr>
      <w:pBdr>
        <w:top w:val="single" w:sz="6" w:space="1" w:color="000000"/>
      </w:pBdr>
    </w:pPr>
    <w:rPr/>
  </w:style>
  <w:style w:type="paragraph" w:styleId="MastHeadInvCode">
    <w:name w:val="MastHead InvCode"/>
    <w:basedOn w:val="FrontPortfolioStyle"/>
    <w:qFormat/>
    <w:pPr>
      <w:spacing w:lineRule="exact" w:line="210" w:before="0" w:after="0"/>
    </w:pPr>
    <w:rPr>
      <w:rFonts w:ascii="Helvetica" w:hAnsi="Helvetica" w:cs="Helvetica"/>
      <w:b/>
      <w:sz w:val="16"/>
    </w:rPr>
  </w:style>
  <w:style w:type="paragraph" w:styleId="MastHeadIndustry">
    <w:name w:val="MastHead Industry"/>
    <w:basedOn w:val="MastHeadInvCode"/>
    <w:qFormat/>
    <w:pPr>
      <w:spacing w:before="80" w:after="0"/>
      <w:ind w:hanging="0" w:start="115" w:end="29"/>
    </w:pPr>
    <w:rPr>
      <w:rFonts w:ascii="Helvetica Black" w:hAnsi="Helvetica Black" w:cs="Helvetica Black"/>
      <w:sz w:val="22"/>
    </w:rPr>
  </w:style>
  <w:style w:type="paragraph" w:styleId="MastHeadInitiating">
    <w:name w:val="MastHead Initiating"/>
    <w:basedOn w:val="MastHeadInvCode"/>
    <w:qFormat/>
    <w:pPr>
      <w:spacing w:lineRule="exact" w:line="205" w:before="100" w:after="0"/>
      <w:ind w:hanging="0" w:start="115" w:end="29"/>
    </w:pPr>
    <w:rPr/>
  </w:style>
  <w:style w:type="paragraph" w:styleId="MastHeadSpace1">
    <w:name w:val="MastHead Space 1"/>
    <w:basedOn w:val="Normal"/>
    <w:qFormat/>
    <w:pPr>
      <w:spacing w:lineRule="auto" w:line="240" w:before="0" w:after="0"/>
    </w:pPr>
    <w:rPr>
      <w:sz w:val="12"/>
    </w:rPr>
  </w:style>
  <w:style w:type="paragraph" w:styleId="MastHeadSpace2">
    <w:name w:val="MastHead Space 2"/>
    <w:basedOn w:val="Normal"/>
    <w:qFormat/>
    <w:pPr>
      <w:spacing w:lineRule="exact" w:line="640" w:before="0" w:after="0"/>
    </w:pPr>
    <w:rPr/>
  </w:style>
  <w:style w:type="paragraph" w:styleId="MastHeadSubject">
    <w:name w:val="MastHead Subject"/>
    <w:basedOn w:val="Normal"/>
    <w:qFormat/>
    <w:pPr>
      <w:spacing w:lineRule="atLeast" w:line="360" w:before="100" w:after="180"/>
    </w:pPr>
    <w:rPr>
      <w:rFonts w:ascii="Helvetica" w:hAnsi="Helvetica" w:cs="Helvetica"/>
      <w:b/>
      <w:color w:val="000080"/>
      <w:sz w:val="34"/>
    </w:rPr>
  </w:style>
  <w:style w:type="paragraph" w:styleId="Notes">
    <w:name w:val="Notes"/>
    <w:basedOn w:val="Heading1"/>
    <w:qFormat/>
    <w:pPr>
      <w:numPr>
        <w:ilvl w:val="0"/>
        <w:numId w:val="0"/>
      </w:numPr>
      <w:ind w:hanging="0" w:start="-28"/>
      <w:outlineLvl w:val="9"/>
    </w:pPr>
    <w:rPr>
      <w:sz w:val="30"/>
    </w:rPr>
  </w:style>
  <w:style w:type="paragraph" w:styleId="Numbered">
    <w:name w:val="Numbered"/>
    <w:basedOn w:val="Bullet"/>
    <w:qFormat/>
    <w:pPr>
      <w:numPr>
        <w:ilvl w:val="0"/>
        <w:numId w:val="18"/>
      </w:numPr>
      <w:ind w:hanging="283" w:start="283" w:end="0"/>
    </w:pPr>
    <w:rPr/>
  </w:style>
  <w:style w:type="paragraph" w:styleId="page2AorE">
    <w:name w:val="page 2 A or E"/>
    <w:basedOn w:val="Normal"/>
    <w:qFormat/>
    <w:pPr>
      <w:spacing w:lineRule="exact" w:line="220" w:before="0" w:after="0"/>
      <w:ind w:hanging="0" w:start="-72" w:end="0"/>
    </w:pPr>
    <w:rPr>
      <w:rFonts w:ascii="HelveticaNeue Condensed" w:hAnsi="HelveticaNeue Condensed" w:cs="HelveticaNeue Condensed"/>
      <w:color w:val="auto"/>
      <w:sz w:val="16"/>
    </w:rPr>
  </w:style>
  <w:style w:type="paragraph" w:styleId="page2analyst">
    <w:name w:val="page 2 analyst"/>
    <w:qFormat/>
    <w:pPr>
      <w:widowControl/>
      <w:bidi w:val="0"/>
      <w:spacing w:lineRule="exact" w:line="300" w:before="20" w:after="0"/>
      <w:jc w:val="end"/>
    </w:pPr>
    <w:rPr>
      <w:rFonts w:ascii="HelveticaNeue Condensed" w:hAnsi="HelveticaNeue Condensed" w:eastAsia="Times New Roman" w:cs="HelveticaNeue Condensed"/>
      <w:b/>
      <w:i/>
      <w:color w:val="auto"/>
      <w:sz w:val="20"/>
      <w:szCs w:val="20"/>
      <w:lang w:val="en-US" w:eastAsia="zh-CN" w:bidi="hi-IN"/>
    </w:rPr>
  </w:style>
  <w:style w:type="paragraph" w:styleId="page2centermainhead">
    <w:name w:val="page 2 center mainhead"/>
    <w:qFormat/>
    <w:pPr>
      <w:widowControl/>
      <w:pBdr>
        <w:top w:val="single" w:sz="12" w:space="1" w:color="000000"/>
        <w:bottom w:val="single" w:sz="6" w:space="1" w:color="000000"/>
      </w:pBdr>
      <w:bidi w:val="0"/>
      <w:spacing w:lineRule="exact" w:line="260" w:before="20" w:after="0"/>
      <w:ind w:hanging="0" w:start="-72" w:end="-72"/>
      <w:jc w:val="center"/>
    </w:pPr>
    <w:rPr>
      <w:rFonts w:ascii="HelveticaNeue Condensed" w:hAnsi="HelveticaNeue Condensed" w:eastAsia="Times New Roman" w:cs="HelveticaNeue Condensed"/>
      <w:b/>
      <w:color w:val="auto"/>
      <w:sz w:val="16"/>
      <w:szCs w:val="20"/>
      <w:lang w:val="en-US" w:eastAsia="zh-CN" w:bidi="hi-IN"/>
    </w:rPr>
  </w:style>
  <w:style w:type="paragraph" w:styleId="page2companyname">
    <w:name w:val="page 2 company name"/>
    <w:qFormat/>
    <w:pPr>
      <w:widowControl/>
      <w:bidi w:val="0"/>
      <w:spacing w:lineRule="exact" w:line="300" w:before="20" w:after="0"/>
    </w:pPr>
    <w:rPr>
      <w:rFonts w:ascii="HelveticaNeue Condensed" w:hAnsi="HelveticaNeue Condensed" w:eastAsia="Times New Roman" w:cs="HelveticaNeue Condensed"/>
      <w:b/>
      <w:color w:val="auto"/>
      <w:sz w:val="30"/>
      <w:szCs w:val="20"/>
      <w:lang w:val="en-US" w:eastAsia="zh-CN" w:bidi="hi-IN"/>
    </w:rPr>
  </w:style>
  <w:style w:type="paragraph" w:styleId="page2companyprofile">
    <w:name w:val="page 2 company profile"/>
    <w:qFormat/>
    <w:pPr>
      <w:widowControl/>
      <w:bidi w:val="0"/>
      <w:spacing w:lineRule="exact" w:line="240" w:before="20" w:after="60"/>
    </w:pPr>
    <w:rPr>
      <w:rFonts w:ascii="HelveticaNeue Condensed" w:hAnsi="HelveticaNeue Condensed" w:eastAsia="Times New Roman" w:cs="HelveticaNeue Condensed"/>
      <w:i/>
      <w:color w:val="auto"/>
      <w:sz w:val="20"/>
      <w:szCs w:val="20"/>
      <w:lang w:val="en-US" w:eastAsia="zh-CN" w:bidi="hi-IN"/>
    </w:rPr>
  </w:style>
  <w:style w:type="paragraph" w:styleId="page2left">
    <w:name w:val="page 2 left"/>
    <w:qFormat/>
    <w:pPr>
      <w:widowControl/>
      <w:bidi w:val="0"/>
      <w:spacing w:lineRule="exact" w:line="220"/>
    </w:pPr>
    <w:rPr>
      <w:rFonts w:ascii="HelveticaNeue Condensed" w:hAnsi="HelveticaNeue Condensed" w:eastAsia="Times New Roman" w:cs="HelveticaNeue Condensed"/>
      <w:color w:val="auto"/>
      <w:sz w:val="16"/>
      <w:szCs w:val="20"/>
      <w:lang w:val="en-US" w:eastAsia="zh-CN" w:bidi="hi-IN"/>
    </w:rPr>
  </w:style>
  <w:style w:type="paragraph" w:styleId="page2leftcolumnhead">
    <w:name w:val="page 2 left column head"/>
    <w:qFormat/>
    <w:pPr>
      <w:widowControl/>
      <w:bidi w:val="0"/>
      <w:spacing w:lineRule="exact" w:line="220"/>
    </w:pPr>
    <w:rPr>
      <w:rFonts w:ascii="HelveticaNeue Condensed" w:hAnsi="HelveticaNeue Condensed" w:eastAsia="Times New Roman" w:cs="HelveticaNeue Condensed"/>
      <w:b/>
      <w:color w:val="auto"/>
      <w:sz w:val="14"/>
      <w:szCs w:val="20"/>
      <w:lang w:val="en-US" w:eastAsia="zh-CN" w:bidi="hi-IN"/>
    </w:rPr>
  </w:style>
  <w:style w:type="paragraph" w:styleId="page2leftfundamental">
    <w:name w:val="page 2 left fundamental"/>
    <w:qFormat/>
    <w:pPr>
      <w:widowControl/>
      <w:bidi w:val="0"/>
      <w:spacing w:lineRule="exact" w:line="280" w:before="20" w:after="0"/>
    </w:pPr>
    <w:rPr>
      <w:rFonts w:ascii="HelveticaNeue Condensed" w:hAnsi="HelveticaNeue Condensed" w:eastAsia="Times New Roman" w:cs="HelveticaNeue Condensed"/>
      <w:color w:val="auto"/>
      <w:sz w:val="18"/>
      <w:szCs w:val="20"/>
      <w:lang w:val="en-US" w:eastAsia="zh-CN" w:bidi="hi-IN"/>
    </w:rPr>
  </w:style>
  <w:style w:type="paragraph" w:styleId="page2leftmainhead">
    <w:name w:val="page 2 left mainhead"/>
    <w:basedOn w:val="page2centermainhead"/>
    <w:qFormat/>
    <w:pPr>
      <w:pBdr>
        <w:top w:val="nil"/>
        <w:bottom w:val="nil"/>
      </w:pBdr>
      <w:ind w:hanging="0" w:start="-72" w:end="-144"/>
      <w:jc w:val="start"/>
    </w:pPr>
    <w:rPr/>
  </w:style>
  <w:style w:type="paragraph" w:styleId="page2leftsubhead">
    <w:name w:val="page 2 left subhead"/>
    <w:qFormat/>
    <w:pPr>
      <w:widowControl/>
      <w:bidi w:val="0"/>
      <w:spacing w:lineRule="exact" w:line="220" w:before="20" w:after="0"/>
    </w:pPr>
    <w:rPr>
      <w:rFonts w:ascii="HelveticaNeue Condensed" w:hAnsi="HelveticaNeue Condensed" w:eastAsia="Times New Roman" w:cs="HelveticaNeue Condensed"/>
      <w:b/>
      <w:color w:val="auto"/>
      <w:sz w:val="16"/>
      <w:szCs w:val="20"/>
      <w:lang w:val="en-US" w:eastAsia="zh-CN" w:bidi="hi-IN"/>
    </w:rPr>
  </w:style>
  <w:style w:type="paragraph" w:styleId="page2phone">
    <w:name w:val="page 2 phone"/>
    <w:basedOn w:val="page2analyst"/>
    <w:qFormat/>
    <w:pPr>
      <w:spacing w:lineRule="exact" w:line="260"/>
    </w:pPr>
    <w:rPr/>
  </w:style>
  <w:style w:type="paragraph" w:styleId="page2pricechart">
    <w:name w:val="page 2 price chart"/>
    <w:qFormat/>
    <w:pPr>
      <w:widowControl/>
      <w:bidi w:val="0"/>
      <w:spacing w:lineRule="atLeast" w:line="240" w:before="20" w:after="60"/>
      <w:jc w:val="end"/>
    </w:pPr>
    <w:rPr>
      <w:rFonts w:ascii="HelveticaNeue Condensed" w:hAnsi="HelveticaNeue Condensed" w:eastAsia="Times New Roman" w:cs="HelveticaNeue Condensed"/>
      <w:color w:val="auto"/>
      <w:sz w:val="20"/>
      <w:szCs w:val="20"/>
      <w:lang w:val="en-US" w:eastAsia="zh-CN" w:bidi="hi-IN"/>
    </w:rPr>
  </w:style>
  <w:style w:type="paragraph" w:styleId="page2right">
    <w:name w:val="page 2 right"/>
    <w:basedOn w:val="page2left"/>
    <w:qFormat/>
    <w:pPr>
      <w:jc w:val="end"/>
    </w:pPr>
    <w:rPr/>
  </w:style>
  <w:style w:type="paragraph" w:styleId="page2rightcolumnhead">
    <w:name w:val="page 2 right column head"/>
    <w:basedOn w:val="page2leftcolumnhead"/>
    <w:qFormat/>
    <w:pPr>
      <w:jc w:val="end"/>
    </w:pPr>
    <w:rPr/>
  </w:style>
  <w:style w:type="paragraph" w:styleId="page2space">
    <w:name w:val="page 2 space"/>
    <w:basedOn w:val="Normal"/>
    <w:qFormat/>
    <w:pPr>
      <w:spacing w:lineRule="auto" w:line="240" w:before="0" w:after="0"/>
    </w:pPr>
    <w:rPr>
      <w:sz w:val="8"/>
    </w:rPr>
  </w:style>
  <w:style w:type="paragraph" w:styleId="page2ticker">
    <w:name w:val="page 2 ticker"/>
    <w:qFormat/>
    <w:pPr>
      <w:widowControl/>
      <w:bidi w:val="0"/>
      <w:spacing w:lineRule="exact" w:line="260" w:before="20" w:after="0"/>
    </w:pPr>
    <w:rPr>
      <w:rFonts w:ascii="HelveticaNeue Condensed" w:hAnsi="HelveticaNeue Condensed" w:eastAsia="Times New Roman" w:cs="HelveticaNeue Condensed"/>
      <w:b/>
      <w:color w:val="auto"/>
      <w:sz w:val="21"/>
      <w:szCs w:val="20"/>
      <w:lang w:val="en-US" w:eastAsia="zh-CN" w:bidi="hi-IN"/>
    </w:rPr>
  </w:style>
  <w:style w:type="paragraph" w:styleId="Page2CompanyDescription">
    <w:name w:val="Page 2:Company Description"/>
    <w:basedOn w:val="Normal"/>
    <w:qFormat/>
    <w:pPr>
      <w:spacing w:lineRule="exact" w:line="240" w:before="20" w:after="60"/>
    </w:pPr>
    <w:rPr>
      <w:rFonts w:ascii="HelveticaNeue Condensed" w:hAnsi="HelveticaNeue Condensed" w:cs="HelveticaNeue Condensed"/>
      <w:i/>
      <w:sz w:val="18"/>
    </w:rPr>
  </w:style>
  <w:style w:type="paragraph" w:styleId="Source">
    <w:name w:val="Source"/>
    <w:basedOn w:val="Normal"/>
    <w:next w:val="Normal"/>
    <w:qFormat/>
    <w:pPr>
      <w:spacing w:lineRule="exact" w:line="200" w:before="20" w:after="160"/>
    </w:pPr>
    <w:rPr>
      <w:rFonts w:ascii="HelveticaNeue Condensed" w:hAnsi="HelveticaNeue Condensed" w:cs="HelveticaNeue Condensed"/>
      <w:sz w:val="14"/>
    </w:rPr>
  </w:style>
  <w:style w:type="paragraph" w:styleId="Style11">
    <w:name w:val="Style1"/>
    <w:basedOn w:val="Notes"/>
    <w:qFormat/>
    <w:pPr/>
    <w:rPr/>
  </w:style>
  <w:style w:type="paragraph" w:styleId="SubCap">
    <w:name w:val="SubCap"/>
    <w:basedOn w:val="Normal"/>
    <w:next w:val="Normal"/>
    <w:qFormat/>
    <w:pPr>
      <w:spacing w:lineRule="exact" w:line="160" w:before="0" w:after="240"/>
      <w:jc w:val="both"/>
    </w:pPr>
    <w:rPr>
      <w:rFonts w:ascii="HelveticaNeue Condensed" w:hAnsi="HelveticaNeue Condensed" w:cs="HelveticaNeue Condensed"/>
      <w:b/>
      <w:color w:val="auto"/>
      <w:sz w:val="16"/>
    </w:rPr>
  </w:style>
  <w:style w:type="paragraph" w:styleId="TableBullet">
    <w:name w:val="Table Bullet"/>
    <w:basedOn w:val="Bullet"/>
    <w:qFormat/>
    <w:pPr>
      <w:numPr>
        <w:ilvl w:val="0"/>
        <w:numId w:val="19"/>
      </w:numPr>
      <w:spacing w:lineRule="auto" w:line="240" w:before="0" w:after="0"/>
      <w:ind w:hanging="284" w:start="284" w:end="0"/>
    </w:pPr>
    <w:rPr>
      <w:rFonts w:ascii="HelveticaNeue Condensed" w:hAnsi="HelveticaNeue Condensed" w:cs="HelveticaNeue Condensed"/>
      <w:b/>
      <w:sz w:val="16"/>
    </w:rPr>
  </w:style>
  <w:style w:type="paragraph" w:styleId="TableFootnote">
    <w:name w:val="Table Footnote"/>
    <w:basedOn w:val="Source"/>
    <w:next w:val="Source"/>
    <w:qFormat/>
    <w:pPr>
      <w:spacing w:before="20" w:after="0"/>
    </w:pPr>
    <w:rPr>
      <w:sz w:val="15"/>
    </w:rPr>
  </w:style>
  <w:style w:type="paragraph" w:styleId="TableofFigures">
    <w:name w:val="Table of Figures"/>
    <w:basedOn w:val="Normal"/>
    <w:qFormat/>
    <w:pPr>
      <w:tabs>
        <w:tab w:val="clear" w:pos="720"/>
        <w:tab w:val="right" w:pos="8453" w:leader="dot"/>
      </w:tabs>
      <w:spacing w:lineRule="atLeast" w:line="240" w:before="0" w:after="0"/>
      <w:ind w:hanging="245" w:start="245" w:end="0"/>
    </w:pPr>
    <w:rPr>
      <w:rFonts w:ascii="Helvetica" w:hAnsi="Helvetica" w:cs="Helvetica"/>
      <w:sz w:val="16"/>
    </w:rPr>
  </w:style>
  <w:style w:type="paragraph" w:styleId="TBI-Left">
    <w:name w:val="TBI-Left"/>
    <w:basedOn w:val="T-Left"/>
    <w:qFormat/>
    <w:pPr>
      <w:spacing w:before="20" w:after="0"/>
    </w:pPr>
    <w:rPr>
      <w:b/>
      <w:i/>
    </w:rPr>
  </w:style>
  <w:style w:type="paragraph" w:styleId="T-Left1">
    <w:name w:val="T-Left +"/>
    <w:basedOn w:val="T-Left"/>
    <w:qFormat/>
    <w:pPr>
      <w:spacing w:before="20" w:after="60"/>
    </w:pPr>
    <w:rPr/>
  </w:style>
  <w:style w:type="paragraph" w:styleId="TBI-Left1">
    <w:name w:val="TBI-Left +"/>
    <w:basedOn w:val="T-Left1"/>
    <w:qFormat/>
    <w:pPr/>
    <w:rPr>
      <w:b/>
      <w:i/>
    </w:rPr>
  </w:style>
  <w:style w:type="paragraph" w:styleId="TBI-Right">
    <w:name w:val="TBI-Right"/>
    <w:basedOn w:val="T-Right"/>
    <w:qFormat/>
    <w:pPr>
      <w:spacing w:before="20" w:after="0"/>
    </w:pPr>
    <w:rPr>
      <w:b/>
      <w:i/>
    </w:rPr>
  </w:style>
  <w:style w:type="paragraph" w:styleId="TB-Left">
    <w:name w:val="TB-Left"/>
    <w:basedOn w:val="T-Left"/>
    <w:qFormat/>
    <w:pPr>
      <w:spacing w:lineRule="auto" w:line="199" w:before="20" w:after="0"/>
    </w:pPr>
    <w:rPr>
      <w:b/>
    </w:rPr>
  </w:style>
  <w:style w:type="paragraph" w:styleId="TB-Left1">
    <w:name w:val="TB-Left +"/>
    <w:basedOn w:val="T-Left1"/>
    <w:qFormat/>
    <w:pPr>
      <w:spacing w:lineRule="auto" w:line="199"/>
    </w:pPr>
    <w:rPr>
      <w:b/>
    </w:rPr>
  </w:style>
  <w:style w:type="paragraph" w:styleId="TB-Right">
    <w:name w:val="TB-Right"/>
    <w:basedOn w:val="T-Right"/>
    <w:qFormat/>
    <w:pPr>
      <w:spacing w:lineRule="auto" w:line="199" w:before="20" w:after="0"/>
    </w:pPr>
    <w:rPr>
      <w:b/>
    </w:rPr>
  </w:style>
  <w:style w:type="paragraph" w:styleId="T-Bullet">
    <w:name w:val="T-Bullet"/>
    <w:basedOn w:val="T-Left"/>
    <w:qFormat/>
    <w:pPr>
      <w:numPr>
        <w:ilvl w:val="0"/>
        <w:numId w:val="20"/>
      </w:numPr>
      <w:spacing w:before="20" w:after="0"/>
      <w:ind w:hanging="80" w:start="80" w:end="28"/>
    </w:pPr>
    <w:rPr>
      <w:i/>
    </w:rPr>
  </w:style>
  <w:style w:type="paragraph" w:styleId="TeamHeading">
    <w:name w:val="Team Heading"/>
    <w:basedOn w:val="Normal"/>
    <w:qFormat/>
    <w:pPr>
      <w:pBdr>
        <w:top w:val="single" w:sz="6" w:space="0" w:color="000000"/>
      </w:pBdr>
      <w:spacing w:lineRule="atLeast" w:line="220" w:before="200" w:after="0"/>
    </w:pPr>
    <w:rPr>
      <w:rFonts w:ascii="HelveticaNeue Condensed" w:hAnsi="HelveticaNeue Condensed" w:cs="HelveticaNeue Condensed"/>
      <w:b/>
      <w:color w:val="auto"/>
      <w:sz w:val="18"/>
    </w:rPr>
  </w:style>
  <w:style w:type="paragraph" w:styleId="TeamName">
    <w:name w:val="Team Name"/>
    <w:basedOn w:val="AuthorLocation"/>
    <w:qFormat/>
    <w:pPr>
      <w:spacing w:before="0" w:after="0"/>
    </w:pPr>
    <w:rPr>
      <w:sz w:val="16"/>
    </w:rPr>
  </w:style>
  <w:style w:type="paragraph" w:styleId="TeamRegion">
    <w:name w:val="Team Region"/>
    <w:basedOn w:val="TeamName"/>
    <w:next w:val="TeamName"/>
    <w:qFormat/>
    <w:pPr>
      <w:spacing w:before="100" w:after="0"/>
    </w:pPr>
    <w:rPr>
      <w:b/>
      <w:i/>
    </w:rPr>
  </w:style>
  <w:style w:type="paragraph" w:styleId="T-Right1">
    <w:name w:val="T-Right +"/>
    <w:basedOn w:val="T-Right"/>
    <w:qFormat/>
    <w:pPr>
      <w:spacing w:before="20" w:after="40"/>
    </w:pPr>
    <w:rPr/>
  </w:style>
  <w:style w:type="paragraph" w:styleId="T-HdRight">
    <w:name w:val="T-Hd Right"/>
    <w:basedOn w:val="T-Right1"/>
    <w:qFormat/>
    <w:pPr/>
    <w:rPr>
      <w:b/>
      <w:sz w:val="14"/>
    </w:rPr>
  </w:style>
  <w:style w:type="paragraph" w:styleId="T-HdRight-">
    <w:name w:val="T-Hd Right (-)"/>
    <w:basedOn w:val="T-HdRight"/>
    <w:qFormat/>
    <w:pPr>
      <w:spacing w:before="20" w:after="0"/>
    </w:pPr>
    <w:rPr>
      <w:position w:val="-2"/>
    </w:rPr>
  </w:style>
  <w:style w:type="paragraph" w:styleId="T-HdCentred">
    <w:name w:val="T-Hd Centred"/>
    <w:basedOn w:val="T-HdRight-"/>
    <w:qFormat/>
    <w:pPr>
      <w:spacing w:before="0" w:after="40"/>
      <w:jc w:val="center"/>
    </w:pPr>
    <w:rPr>
      <w:position w:val="0"/>
      <w:sz w:val="14"/>
      <w:vertAlign w:val="baseline"/>
    </w:rPr>
  </w:style>
  <w:style w:type="paragraph" w:styleId="T-HdLeft">
    <w:name w:val="T-Hd Left"/>
    <w:basedOn w:val="T-HdRight"/>
    <w:qFormat/>
    <w:pPr>
      <w:ind w:hanging="0" w:start="0" w:end="29"/>
      <w:jc w:val="start"/>
    </w:pPr>
    <w:rPr/>
  </w:style>
  <w:style w:type="paragraph" w:styleId="T-HdMerged">
    <w:name w:val="T-Hd Merged"/>
    <w:basedOn w:val="T-HdCentred"/>
    <w:qFormat/>
    <w:pPr>
      <w:pBdr>
        <w:bottom w:val="single" w:sz="6" w:space="1" w:color="000000"/>
      </w:pBdr>
      <w:spacing w:lineRule="exact" w:line="180"/>
      <w:ind w:hanging="0" w:start="113" w:end="28"/>
    </w:pPr>
    <w:rPr>
      <w:vertAlign w:val="superscript"/>
    </w:rPr>
  </w:style>
  <w:style w:type="paragraph" w:styleId="T-Space">
    <w:name w:val="T-Space"/>
    <w:basedOn w:val="Boxspace"/>
    <w:qFormat/>
    <w:pPr/>
    <w:rPr/>
  </w:style>
  <w:style w:type="paragraph" w:styleId="Tickers">
    <w:name w:val="Tickers"/>
    <w:basedOn w:val="T-Space"/>
    <w:qFormat/>
    <w:pPr>
      <w:pageBreakBefore/>
      <w:spacing w:lineRule="exact" w:line="100"/>
    </w:pPr>
    <w:rPr>
      <w:rFonts w:ascii="Helvetica" w:hAnsi="Helvetica" w:cs="Helvetica"/>
      <w:color w:val="FFFFFF"/>
    </w:rPr>
  </w:style>
  <w:style w:type="paragraph" w:styleId="TI-Left">
    <w:name w:val="TI-Left"/>
    <w:basedOn w:val="T-Left"/>
    <w:qFormat/>
    <w:pPr>
      <w:spacing w:before="20" w:after="0"/>
    </w:pPr>
    <w:rPr>
      <w:i/>
    </w:rPr>
  </w:style>
  <w:style w:type="paragraph" w:styleId="TI-Left1">
    <w:name w:val="TI-Left +"/>
    <w:basedOn w:val="T-Left1"/>
    <w:qFormat/>
    <w:pPr/>
    <w:rPr>
      <w:i/>
    </w:rPr>
  </w:style>
  <w:style w:type="paragraph" w:styleId="TI-Right">
    <w:name w:val="TI-Right"/>
    <w:basedOn w:val="T-Right"/>
    <w:qFormat/>
    <w:pPr>
      <w:spacing w:before="20" w:after="0"/>
    </w:pPr>
    <w:rPr>
      <w:i/>
    </w:rPr>
  </w:style>
  <w:style w:type="paragraph" w:styleId="TOC1">
    <w:name w:val="toc 1"/>
    <w:basedOn w:val="Normal"/>
    <w:next w:val="Normal"/>
    <w:pPr>
      <w:tabs>
        <w:tab w:val="clear" w:pos="720"/>
        <w:tab w:val="right" w:pos="8455" w:leader="dot"/>
      </w:tabs>
      <w:spacing w:lineRule="atLeast" w:line="260" w:before="30" w:after="0"/>
      <w:ind w:hanging="245" w:start="245" w:end="0"/>
    </w:pPr>
    <w:rPr>
      <w:b/>
      <w:sz w:val="20"/>
    </w:rPr>
  </w:style>
  <w:style w:type="paragraph" w:styleId="TOC2">
    <w:name w:val="toc 2"/>
    <w:basedOn w:val="Normal"/>
    <w:next w:val="Normal"/>
    <w:pPr>
      <w:tabs>
        <w:tab w:val="clear" w:pos="720"/>
        <w:tab w:val="right" w:pos="8453" w:leader="dot"/>
      </w:tabs>
      <w:spacing w:lineRule="atLeast" w:line="260" w:before="0" w:after="0"/>
      <w:ind w:hanging="245" w:start="245" w:end="0"/>
    </w:pPr>
    <w:rPr>
      <w:sz w:val="20"/>
    </w:rPr>
  </w:style>
  <w:style w:type="paragraph" w:styleId="TOC3">
    <w:name w:val="toc 3"/>
    <w:basedOn w:val="Normal"/>
    <w:next w:val="Normal"/>
    <w:pPr>
      <w:tabs>
        <w:tab w:val="clear" w:pos="720"/>
        <w:tab w:val="right" w:pos="7489" w:leader="dot"/>
      </w:tabs>
      <w:spacing w:before="20" w:after="0"/>
    </w:pPr>
    <w:rPr>
      <w:rFonts w:ascii="Helvetica-Black" w:hAnsi="Helvetica-Black" w:cs="Helvetica-Black"/>
      <w:caps/>
      <w:sz w:val="14"/>
    </w:rPr>
  </w:style>
  <w:style w:type="paragraph" w:styleId="TOC4">
    <w:name w:val="toc 4"/>
    <w:next w:val="Normal"/>
    <w:pPr>
      <w:widowControl/>
      <w:tabs>
        <w:tab w:val="clear" w:pos="720"/>
        <w:tab w:val="right" w:pos="8455" w:leader="dot"/>
      </w:tabs>
      <w:bidi w:val="0"/>
      <w:spacing w:before="80" w:after="0"/>
    </w:pPr>
    <w:rPr>
      <w:rFonts w:ascii="Helvetica-Black" w:hAnsi="Helvetica-Black" w:eastAsia="Times New Roman" w:cs="Helvetica-Black"/>
      <w:b/>
      <w:color w:val="auto"/>
      <w:sz w:val="16"/>
      <w:szCs w:val="20"/>
      <w:lang w:val="en-US" w:eastAsia="zh-CN" w:bidi="hi-IN"/>
    </w:rPr>
  </w:style>
  <w:style w:type="paragraph" w:styleId="TOCExecSummHelveticaBlack">
    <w:name w:val="TOC ExecSummHelveticaBlack"/>
    <w:basedOn w:val="TOC3"/>
    <w:qFormat/>
    <w:pPr>
      <w:spacing w:before="60" w:after="0"/>
    </w:pPr>
    <w:rPr/>
  </w:style>
  <w:style w:type="paragraph" w:styleId="TOCExecSummTimesNewRoman">
    <w:name w:val="TOC ExecSummTimesNewRoman"/>
    <w:basedOn w:val="TOC2"/>
    <w:qFormat/>
    <w:pPr/>
    <w:rPr/>
  </w:style>
  <w:style w:type="paragraph" w:styleId="TOCline">
    <w:name w:val="TOC line"/>
    <w:basedOn w:val="TOC2"/>
    <w:next w:val="Normal"/>
    <w:qFormat/>
    <w:pPr>
      <w:pBdr>
        <w:bottom w:val="single" w:sz="6" w:space="1" w:color="000000"/>
      </w:pBdr>
      <w:spacing w:lineRule="exact" w:line="140" w:before="0" w:after="120"/>
    </w:pPr>
    <w:rPr>
      <w:sz w:val="12"/>
    </w:rPr>
  </w:style>
  <w:style w:type="paragraph" w:styleId="TOCtbls">
    <w:name w:val="TOC tbls"/>
    <w:basedOn w:val="Normal"/>
    <w:qFormat/>
    <w:pPr>
      <w:tabs>
        <w:tab w:val="clear" w:pos="720"/>
        <w:tab w:val="right" w:pos="8222" w:leader="dot"/>
      </w:tabs>
      <w:spacing w:lineRule="atLeast" w:line="180" w:before="0" w:after="80"/>
      <w:ind w:hanging="255" w:start="255" w:end="215"/>
    </w:pPr>
    <w:rPr>
      <w:rFonts w:ascii="Helvetica" w:hAnsi="Helvetica" w:cs="Helvetica"/>
      <w:sz w:val="16"/>
    </w:rPr>
  </w:style>
  <w:style w:type="paragraph" w:styleId="BlockText">
    <w:name w:val="Block Text"/>
    <w:basedOn w:val="Normal"/>
    <w:qFormat/>
    <w:pPr>
      <w:ind w:hanging="0" w:start="1440" w:end="1440"/>
    </w:pPr>
    <w:rPr/>
  </w:style>
  <w:style w:type="paragraph" w:styleId="BodyText2">
    <w:name w:val="Body Text 2"/>
    <w:basedOn w:val="Normal"/>
    <w:qFormat/>
    <w:pPr>
      <w:spacing w:lineRule="auto" w:line="480"/>
    </w:pPr>
    <w:rPr/>
  </w:style>
  <w:style w:type="paragraph" w:styleId="BodyText3">
    <w:name w:val="Body Text 3"/>
    <w:basedOn w:val="Normal"/>
    <w:qFormat/>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ind w:hanging="0" w:start="360" w:end="0"/>
    </w:pPr>
    <w:rPr/>
  </w:style>
  <w:style w:type="paragraph" w:styleId="BodyTextIndent3">
    <w:name w:val="Body Text Indent 3"/>
    <w:basedOn w:val="Normal"/>
    <w:qFormat/>
    <w:pPr>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20" w:start="220" w:end="0"/>
    </w:pPr>
    <w:rPr/>
  </w:style>
  <w:style w:type="paragraph" w:styleId="Index2">
    <w:name w:val="index 2"/>
    <w:basedOn w:val="Normal"/>
    <w:next w:val="Normal"/>
    <w:pPr>
      <w:ind w:hanging="220" w:start="440" w:end="0"/>
    </w:pPr>
    <w:rPr/>
  </w:style>
  <w:style w:type="paragraph" w:styleId="Index3">
    <w:name w:val="index 3"/>
    <w:basedOn w:val="Normal"/>
    <w:next w:val="Normal"/>
    <w:pPr>
      <w:ind w:hanging="220" w:start="660" w:end="0"/>
    </w:pPr>
    <w:rPr/>
  </w:style>
  <w:style w:type="paragraph" w:styleId="Index4">
    <w:name w:val="Index 4"/>
    <w:basedOn w:val="Normal"/>
    <w:next w:val="Normal"/>
    <w:qFormat/>
    <w:pPr>
      <w:ind w:hanging="220" w:start="880" w:end="0"/>
    </w:pPr>
    <w:rPr/>
  </w:style>
  <w:style w:type="paragraph" w:styleId="Index5">
    <w:name w:val="Index 5"/>
    <w:basedOn w:val="Normal"/>
    <w:next w:val="Normal"/>
    <w:qFormat/>
    <w:pPr>
      <w:ind w:hanging="220" w:start="1100" w:end="0"/>
    </w:pPr>
    <w:rPr/>
  </w:style>
  <w:style w:type="paragraph" w:styleId="Index6">
    <w:name w:val="Index 6"/>
    <w:basedOn w:val="Normal"/>
    <w:next w:val="Normal"/>
    <w:qFormat/>
    <w:pPr>
      <w:ind w:hanging="220" w:start="1320" w:end="0"/>
    </w:pPr>
    <w:rPr/>
  </w:style>
  <w:style w:type="paragraph" w:styleId="Index7">
    <w:name w:val="Index 7"/>
    <w:basedOn w:val="Normal"/>
    <w:next w:val="Normal"/>
    <w:qFormat/>
    <w:pPr>
      <w:ind w:hanging="220" w:start="1540" w:end="0"/>
    </w:pPr>
    <w:rPr/>
  </w:style>
  <w:style w:type="paragraph" w:styleId="Index8">
    <w:name w:val="Index 8"/>
    <w:basedOn w:val="Normal"/>
    <w:next w:val="Normal"/>
    <w:qFormat/>
    <w:pPr>
      <w:ind w:hanging="220" w:start="1760" w:end="0"/>
    </w:pPr>
    <w:rPr/>
  </w:style>
  <w:style w:type="paragraph" w:styleId="Index9">
    <w:name w:val="Index 9"/>
    <w:basedOn w:val="Normal"/>
    <w:next w:val="Normal"/>
    <w:qFormat/>
    <w:pPr>
      <w:ind w:hanging="220" w:start="198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ind w:hanging="0" w:start="360" w:end="0"/>
    </w:pPr>
    <w:rPr/>
  </w:style>
  <w:style w:type="paragraph" w:styleId="ListContinue2">
    <w:name w:val="List Continue 2"/>
    <w:basedOn w:val="Normal"/>
    <w:qFormat/>
    <w:pPr>
      <w:ind w:hanging="0" w:start="720" w:end="0"/>
    </w:pPr>
    <w:rPr/>
  </w:style>
  <w:style w:type="paragraph" w:styleId="ListContinue3">
    <w:name w:val="List Continue 3"/>
    <w:basedOn w:val="Normal"/>
    <w:qFormat/>
    <w:pPr>
      <w:ind w:hanging="0" w:start="1080" w:end="0"/>
    </w:pPr>
    <w:rPr/>
  </w:style>
  <w:style w:type="paragraph" w:styleId="ListContinue4">
    <w:name w:val="List Continue 4"/>
    <w:basedOn w:val="Normal"/>
    <w:qFormat/>
    <w:pPr>
      <w:ind w:hanging="0" w:start="1440" w:end="0"/>
    </w:pPr>
    <w:rPr/>
  </w:style>
  <w:style w:type="paragraph" w:styleId="ListContinue5">
    <w:name w:val="List Continue 5"/>
    <w:basedOn w:val="Normal"/>
    <w:qFormat/>
    <w:pPr>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280" w:before="0" w:after="120"/>
    </w:pPr>
    <w:rPr>
      <w:rFonts w:ascii="Courier New" w:hAnsi="Courier New" w:eastAsia="Times New Roman" w:cs="Courier New"/>
      <w:color w:val="000000"/>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20" w:start="220" w:end="0"/>
    </w:pPr>
    <w:rPr/>
  </w:style>
  <w:style w:type="paragraph" w:styleId="TOAHeading">
    <w:name w:val="TOA Heading"/>
    <w:basedOn w:val="Normal"/>
    <w:next w:val="Normal"/>
    <w:qFormat/>
    <w:pPr>
      <w:spacing w:before="120" w:after="120"/>
    </w:pPr>
    <w:rPr>
      <w:rFonts w:ascii="Arial" w:hAnsi="Arial" w:cs="Arial"/>
      <w:b/>
      <w:sz w:val="24"/>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HeaderDate">
    <w:name w:val="Header Date"/>
    <w:basedOn w:val="Header"/>
    <w:qFormat/>
    <w:pPr>
      <w:pBdr>
        <w:bottom w:val="nil"/>
      </w:pBdr>
      <w:tabs>
        <w:tab w:val="clear" w:pos="4153"/>
        <w:tab w:val="clear" w:pos="8306"/>
      </w:tabs>
      <w:spacing w:before="0" w:after="60"/>
      <w:ind w:hanging="0" w:start="0" w:end="0"/>
      <w:jc w:val="end"/>
    </w:pPr>
    <w:rPr>
      <w:rFonts w:ascii="Arial" w:hAnsi="Arial" w:cs="Arial"/>
    </w:rPr>
  </w:style>
  <w:style w:type="paragraph" w:styleId="Headertitle">
    <w:name w:val="Header title"/>
    <w:basedOn w:val="Header"/>
    <w:qFormat/>
    <w:pPr>
      <w:pBdr>
        <w:bottom w:val="nil"/>
      </w:pBdr>
      <w:tabs>
        <w:tab w:val="clear" w:pos="4153"/>
        <w:tab w:val="clear" w:pos="8306"/>
      </w:tabs>
      <w:spacing w:before="0" w:after="60"/>
      <w:ind w:hanging="0" w:start="0" w:end="0"/>
    </w:pPr>
    <w:rPr>
      <w:rFonts w:ascii="Arial" w:hAnsi="Arial" w:cs="Arial"/>
      <w:sz w:val="16"/>
    </w:rPr>
  </w:style>
  <w:style w:type="paragraph" w:styleId="Heading1New">
    <w:name w:val="Heading1New"/>
    <w:basedOn w:val="Heading1"/>
    <w:next w:val="Heading1Bullet"/>
    <w:qFormat/>
    <w:pPr>
      <w:numPr>
        <w:ilvl w:val="0"/>
        <w:numId w:val="0"/>
      </w:numPr>
      <w:ind w:hanging="0" w:start="-28"/>
      <w:outlineLvl w:val="9"/>
    </w:pPr>
    <w:rPr/>
  </w:style>
  <w:style w:type="paragraph" w:styleId="SBILOGO">
    <w:name w:val="SBILOGO"/>
    <w:qFormat/>
    <w:pPr>
      <w:widowControl/>
      <w:bidi w:val="0"/>
      <w:spacing w:lineRule="atLeast" w:line="280" w:before="0" w:after="120"/>
    </w:pPr>
    <w:rPr>
      <w:rFonts w:ascii="Times" w:hAnsi="Times" w:eastAsia="Times New Roman" w:cs="Times"/>
      <w:color w:val="000000"/>
      <w:sz w:val="22"/>
      <w:szCs w:val="20"/>
      <w:lang w:val="en-US" w:eastAsia="zh-CN" w:bidi="hi-IN"/>
    </w:rPr>
  </w:style>
  <w:style w:type="paragraph" w:styleId="SSBLogoBlack">
    <w:name w:val="SSBLogoBlack"/>
    <w:qFormat/>
    <w:pPr>
      <w:widowControl/>
      <w:bidi w:val="0"/>
    </w:pPr>
    <w:rPr>
      <w:rFonts w:ascii="Times" w:hAnsi="Times" w:eastAsia="Times New Roman" w:cs="Times"/>
      <w:color w:val="000000"/>
      <w:sz w:val="12"/>
      <w:szCs w:val="20"/>
      <w:lang w:val="en-US" w:eastAsia="zh-CN" w:bidi="hi-IN"/>
    </w:rPr>
  </w:style>
  <w:style w:type="paragraph" w:styleId="SSBLogoBlue">
    <w:name w:val="SSBLogoBlue"/>
    <w:qFormat/>
    <w:pPr>
      <w:widowControl/>
      <w:bidi w:val="0"/>
      <w:spacing w:lineRule="atLeast" w:line="280" w:before="0" w:after="120"/>
    </w:pPr>
    <w:rPr>
      <w:rFonts w:ascii="Times" w:hAnsi="Times" w:eastAsia="Times New Roman" w:cs="Times"/>
      <w:color w:val="000000"/>
      <w:sz w:val="22"/>
      <w:szCs w:val="20"/>
      <w:lang w:val="en-US" w:eastAsia="zh-CN" w:bidi="hi-IN"/>
    </w:rPr>
  </w:style>
  <w:style w:type="paragraph" w:styleId="TOCHeading">
    <w:name w:val="TOC_Heading"/>
    <w:basedOn w:val="Heading1"/>
    <w:qFormat/>
    <w:pPr>
      <w:numPr>
        <w:ilvl w:val="0"/>
        <w:numId w:val="0"/>
      </w:numPr>
      <w:ind w:hanging="0" w:start="-28"/>
      <w:outlineLvl w:val="9"/>
    </w:pPr>
    <w:rPr>
      <w:rFonts w:ascii="Helvetica-Black" w:hAnsi="Helvetica-Black" w:cs="Helvetica-Black"/>
      <w:sz w:val="32"/>
    </w:rPr>
  </w:style>
  <w:style w:type="paragraph" w:styleId="FrontSource">
    <w:name w:val="Front Source"/>
    <w:basedOn w:val="Source"/>
    <w:qFormat/>
    <w:pPr>
      <w:ind w:hanging="0" w:start="357" w:end="0"/>
    </w:pPr>
    <w:rPr/>
  </w:style>
  <w:style w:type="paragraph" w:styleId="usbanner">
    <w:name w:val="us_banner"/>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latambanner">
    <w:name w:val="latam_banner"/>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usbanner1">
    <w:name w:val="us_banner1"/>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latambanner1">
    <w:name w:val="latam_banner1"/>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latambanner2">
    <w:name w:val="latam_banner2"/>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usbanner2">
    <w:name w:val="us_banner2"/>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usbanner3">
    <w:name w:val="us_banner3"/>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latambanner3">
    <w:name w:val="latam_banner3"/>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latambanner4">
    <w:name w:val="latam_banner4"/>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latambanner5">
    <w:name w:val="latam_banner5"/>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orthambanner">
    <w:name w:val="northambanner"/>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orthambanner1">
    <w:name w:val="northambanner1"/>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orthambanner2">
    <w:name w:val="northambanner2"/>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orthambanner3">
    <w:name w:val="northambanner3"/>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orthambanner4">
    <w:name w:val="northambanner4"/>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orthambanner5">
    <w:name w:val="northambanner5"/>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orthambanner6">
    <w:name w:val="northambanner6"/>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orthambanner7">
    <w:name w:val="northambanner7"/>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orthambanner8">
    <w:name w:val="northambanner8"/>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orthambanner9">
    <w:name w:val="northambanner9"/>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orthambanner10">
    <w:name w:val="northambanner10"/>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orthambanner11">
    <w:name w:val="northambanner11"/>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orthambanner12">
    <w:name w:val="northambanner12"/>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orthambanner13">
    <w:name w:val="northambanner13"/>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orthambanner14">
    <w:name w:val="northambanner14"/>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orthambanner15">
    <w:name w:val="northambanner15"/>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orthambanner16">
    <w:name w:val="northambanner16"/>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globalbanner">
    <w:name w:val="global_banner"/>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globalbanner1">
    <w:name w:val="global_banner1"/>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globalbanner2">
    <w:name w:val="global_banner2"/>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ewbanner">
    <w:name w:val="newbanner"/>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globalbanner3">
    <w:name w:val="global_banner3"/>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globalbanner4">
    <w:name w:val="global_banner4"/>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eurobanner">
    <w:name w:val="euro_banner"/>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eurobanner1">
    <w:name w:val="euro_banner1"/>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eurobanner2">
    <w:name w:val="euro_banner2"/>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japanbanner">
    <w:name w:val="japan_banner"/>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asiabanner">
    <w:name w:val="asia_banner"/>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asiabanner1">
    <w:name w:val="asia_banner1"/>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austbanner">
    <w:name w:val="aust_banner"/>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austbanner1">
    <w:name w:val="aust_banner1"/>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austbanner2">
    <w:name w:val="aust_banner2"/>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austbanner3">
    <w:name w:val="aust_banner3"/>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austbanner4">
    <w:name w:val="aust_banner4"/>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austbanner5">
    <w:name w:val="aust_banner5"/>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austbanner6">
    <w:name w:val="aust_banner6"/>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austbanner7">
    <w:name w:val="aust_banner7"/>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austbanner8">
    <w:name w:val="aust_banner8"/>
    <w:qFormat/>
    <w:pPr>
      <w:widowControl/>
      <w:pBdr>
        <w:bottom w:val="single" w:sz="12" w:space="2" w:color="000000"/>
      </w:pBdr>
      <w:tabs>
        <w:tab w:val="clear" w:pos="720"/>
        <w:tab w:val="center" w:pos="4153" w:leader="none"/>
        <w:tab w:val="right" w:pos="8306" w:leader="none"/>
      </w:tabs>
      <w:bidi w:val="0"/>
      <w:spacing w:lineRule="exact" w:line="240"/>
      <w:ind w:hanging="0" w:start="-2318" w:end="0"/>
    </w:pPr>
    <w:rPr>
      <w:rFonts w:ascii="Helvetica" w:hAnsi="Helvetica" w:eastAsia="Times New Roman" w:cs="Helvetica"/>
      <w:color w:val="000000"/>
      <w:sz w:val="15"/>
      <w:szCs w:val="20"/>
      <w:lang w:val="en-US" w:eastAsia="zh-CN" w:bidi="hi-IN"/>
    </w:rPr>
  </w:style>
  <w:style w:type="paragraph" w:styleId="northambanner17">
    <w:name w:val="northam_banner"/>
    <w:qFormat/>
    <w:pPr>
      <w:widowControl/>
      <w:bidi w:val="0"/>
    </w:pPr>
    <w:rPr>
      <w:rFonts w:ascii="Tms Rmn;Times New Roman" w:hAnsi="Tms Rmn;Times New Roman" w:eastAsia="Times New Roman" w:cs="Tms Rmn;Times New Roman"/>
      <w:color w:val="auto"/>
      <w:sz w:val="3276"/>
      <w:szCs w:val="20"/>
      <w:lang w:val="en-US" w:eastAsia="zh-CN" w:bidi="hi-IN"/>
    </w:rPr>
  </w:style>
  <w:style w:type="paragraph" w:styleId="AutoCorrect">
    <w:name w:val="AutoCorrect"/>
    <w:qFormat/>
    <w:pPr>
      <w:widowControl/>
      <w:bidi w:val="0"/>
    </w:pPr>
    <w:rPr>
      <w:rFonts w:ascii="Times New Roman" w:hAnsi="Times New Roman" w:eastAsia="Times New Roman" w:cs="Times New Roman"/>
      <w:color w:val="auto"/>
      <w:sz w:val="20"/>
      <w:szCs w:val="20"/>
      <w:lang w:val="en-US" w:eastAsia="zh-CN" w:bidi="hi-IN"/>
    </w:rPr>
  </w:style>
  <w:style w:type="paragraph" w:styleId="-PAGE-">
    <w:name w:val="- PAGE -"/>
    <w:qFormat/>
    <w:pPr>
      <w:widowControl/>
      <w:bidi w:val="0"/>
    </w:pPr>
    <w:rPr>
      <w:rFonts w:ascii="Times New Roman" w:hAnsi="Times New Roman" w:eastAsia="Times New Roman" w:cs="Times New Roman"/>
      <w:color w:val="auto"/>
      <w:sz w:val="20"/>
      <w:szCs w:val="20"/>
      <w:lang w:val="en-US" w:eastAsia="zh-CN" w:bidi="hi-IN"/>
    </w:rPr>
  </w:style>
  <w:style w:type="paragraph" w:styleId="PageXofY">
    <w:name w:val="Page X of Y"/>
    <w:qFormat/>
    <w:pPr>
      <w:widowControl/>
      <w:bidi w:val="0"/>
    </w:pPr>
    <w:rPr>
      <w:rFonts w:ascii="Times New Roman" w:hAnsi="Times New Roman" w:eastAsia="Times New Roman" w:cs="Times New Roman"/>
      <w:color w:val="auto"/>
      <w:sz w:val="20"/>
      <w:szCs w:val="20"/>
      <w:lang w:val="en-US" w:eastAsia="zh-CN" w:bidi="hi-IN"/>
    </w:rPr>
  </w:style>
  <w:style w:type="paragraph" w:styleId="Createdby">
    <w:name w:val="Created by"/>
    <w:qFormat/>
    <w:pPr>
      <w:widowControl/>
      <w:bidi w:val="0"/>
    </w:pPr>
    <w:rPr>
      <w:rFonts w:ascii="Times New Roman" w:hAnsi="Times New Roman" w:eastAsia="Times New Roman" w:cs="Times New Roman"/>
      <w:color w:val="auto"/>
      <w:sz w:val="20"/>
      <w:szCs w:val="20"/>
      <w:lang w:val="en-US" w:eastAsia="zh-CN" w:bidi="hi-IN"/>
    </w:rPr>
  </w:style>
  <w:style w:type="paragraph" w:styleId="Createdon">
    <w:name w:val="Created on"/>
    <w:qFormat/>
    <w:pPr>
      <w:widowControl/>
      <w:bidi w:val="0"/>
    </w:pPr>
    <w:rPr>
      <w:rFonts w:ascii="Times New Roman" w:hAnsi="Times New Roman" w:eastAsia="Times New Roman" w:cs="Times New Roman"/>
      <w:color w:val="auto"/>
      <w:sz w:val="20"/>
      <w:szCs w:val="20"/>
      <w:lang w:val="en-US" w:eastAsia="zh-CN" w:bidi="hi-IN"/>
    </w:rPr>
  </w:style>
  <w:style w:type="paragraph" w:styleId="Lastprinted">
    <w:name w:val="Last printed"/>
    <w:qFormat/>
    <w:pPr>
      <w:widowControl/>
      <w:bidi w:val="0"/>
    </w:pPr>
    <w:rPr>
      <w:rFonts w:ascii="Times New Roman" w:hAnsi="Times New Roman" w:eastAsia="Times New Roman" w:cs="Times New Roman"/>
      <w:color w:val="auto"/>
      <w:sz w:val="20"/>
      <w:szCs w:val="20"/>
      <w:lang w:val="en-US" w:eastAsia="zh-CN" w:bidi="hi-IN"/>
    </w:rPr>
  </w:style>
  <w:style w:type="paragraph" w:styleId="Lastsavedby">
    <w:name w:val="Last saved by"/>
    <w:qFormat/>
    <w:pPr>
      <w:widowControl/>
      <w:bidi w:val="0"/>
    </w:pPr>
    <w:rPr>
      <w:rFonts w:ascii="Times New Roman" w:hAnsi="Times New Roman" w:eastAsia="Times New Roman" w:cs="Times New Roman"/>
      <w:color w:val="auto"/>
      <w:sz w:val="20"/>
      <w:szCs w:val="20"/>
      <w:lang w:val="en-US" w:eastAsia="zh-CN" w:bidi="hi-IN"/>
    </w:rPr>
  </w:style>
  <w:style w:type="paragraph" w:styleId="Filename">
    <w:name w:val="Filename"/>
    <w:qFormat/>
    <w:pPr>
      <w:widowControl/>
      <w:bidi w:val="0"/>
    </w:pPr>
    <w:rPr>
      <w:rFonts w:ascii="Times New Roman" w:hAnsi="Times New Roman" w:eastAsia="Times New Roman" w:cs="Times New Roman"/>
      <w:color w:val="auto"/>
      <w:sz w:val="20"/>
      <w:szCs w:val="20"/>
      <w:lang w:val="en-US" w:eastAsia="zh-CN" w:bidi="hi-IN"/>
    </w:rPr>
  </w:style>
  <w:style w:type="paragraph" w:styleId="Filenameandpath">
    <w:name w:val="Filename and path"/>
    <w:qFormat/>
    <w:pPr>
      <w:widowControl/>
      <w:bidi w:val="0"/>
    </w:pPr>
    <w:rPr>
      <w:rFonts w:ascii="Times New Roman" w:hAnsi="Times New Roman" w:eastAsia="Times New Roman" w:cs="Times New Roman"/>
      <w:color w:val="auto"/>
      <w:sz w:val="20"/>
      <w:szCs w:val="20"/>
      <w:lang w:val="en-US" w:eastAsia="zh-CN" w:bidi="hi-IN"/>
    </w:rPr>
  </w:style>
  <w:style w:type="paragraph" w:styleId="AuthorPageDate">
    <w:name w:val="Author  Page #  Date"/>
    <w:qFormat/>
    <w:pPr>
      <w:widowControl/>
      <w:bidi w:val="0"/>
    </w:pPr>
    <w:rPr>
      <w:rFonts w:ascii="Times New Roman" w:hAnsi="Times New Roman" w:eastAsia="Times New Roman" w:cs="Times New Roman"/>
      <w:color w:val="auto"/>
      <w:sz w:val="20"/>
      <w:szCs w:val="20"/>
      <w:lang w:val="en-US" w:eastAsia="zh-CN" w:bidi="hi-IN"/>
    </w:rPr>
  </w:style>
  <w:style w:type="paragraph" w:styleId="ConfidentialPageDate">
    <w:name w:val="Confidential  Page #  Date"/>
    <w:qFormat/>
    <w:pPr>
      <w:widowControl/>
      <w:bidi w:val="0"/>
    </w:pPr>
    <w:rPr>
      <w:rFonts w:ascii="Times New Roman" w:hAnsi="Times New Roman" w:eastAsia="Times New Roman" w:cs="Times New Roman"/>
      <w:color w:val="auto"/>
      <w:sz w:val="20"/>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image" Target="media/image6.wmf"/><Relationship Id="rId22" Type="http://schemas.openxmlformats.org/officeDocument/2006/relationships/image" Target="media/image7.wmf"/><Relationship Id="rId23" Type="http://schemas.openxmlformats.org/officeDocument/2006/relationships/package" Target="embeddings/oleObject2.xlsx"/><Relationship Id="rId24" Type="http://schemas.openxmlformats.org/officeDocument/2006/relationships/image" Target="media/image8.wmf"/><Relationship Id="rId25" Type="http://schemas.openxmlformats.org/officeDocument/2006/relationships/image" Target="media/image9.wmf"/><Relationship Id="rId26" Type="http://schemas.openxmlformats.org/officeDocument/2006/relationships/image" Target="media/image10.wmf"/><Relationship Id="rId27" Type="http://schemas.openxmlformats.org/officeDocument/2006/relationships/image" Target="media/image11.wmf"/><Relationship Id="rId28" Type="http://schemas.openxmlformats.org/officeDocument/2006/relationships/image" Target="media/image12.wmf"/><Relationship Id="rId29" Type="http://schemas.openxmlformats.org/officeDocument/2006/relationships/header" Target="header10.xml"/><Relationship Id="rId30" Type="http://schemas.openxmlformats.org/officeDocument/2006/relationships/header" Target="header11.xml"/><Relationship Id="rId31" Type="http://schemas.openxmlformats.org/officeDocument/2006/relationships/header" Target="header12.xml"/><Relationship Id="rId32" Type="http://schemas.openxmlformats.org/officeDocument/2006/relationships/footer" Target="footer10.xml"/><Relationship Id="rId33" Type="http://schemas.openxmlformats.org/officeDocument/2006/relationships/footer" Target="footer11.xml"/><Relationship Id="rId34" Type="http://schemas.openxmlformats.org/officeDocument/2006/relationships/footer" Target="footer12.xml"/><Relationship Id="rId35" Type="http://schemas.openxmlformats.org/officeDocument/2006/relationships/footnotes" Target="footnotes.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_rels/footer10.xml.rels><?xml version="1.0" encoding="UTF-8"?>
<Relationships xmlns="http://schemas.openxmlformats.org/package/2006/relationships"><Relationship Id="rId1" Type="http://schemas.openxmlformats.org/officeDocument/2006/relationships/image" Target="media/image4.wmf"/>
</Relationships>
</file>

<file path=word/_rels/footer11.xml.rels><?xml version="1.0" encoding="UTF-8"?>
<Relationships xmlns="http://schemas.openxmlformats.org/package/2006/relationships"><Relationship Id="rId1" Type="http://schemas.openxmlformats.org/officeDocument/2006/relationships/image" Target="media/image4.wmf"/>
</Relationships>
</file>

<file path=word/_rels/footer2.xml.rels><?xml version="1.0" encoding="UTF-8"?>
<Relationships xmlns="http://schemas.openxmlformats.org/package/2006/relationships"><Relationship Id="rId1" Type="http://schemas.openxmlformats.org/officeDocument/2006/relationships/image" Target="media/image2.emf"/>
</Relationships>
</file>

<file path=word/_rels/footer3.xml.rels><?xml version="1.0" encoding="UTF-8"?>
<Relationships xmlns="http://schemas.openxmlformats.org/package/2006/relationships"><Relationship Id="rId1" Type="http://schemas.openxmlformats.org/officeDocument/2006/relationships/image" Target="media/image3.wmf"/>
</Relationships>
</file>

<file path=word/_rels/footer4.xml.rels><?xml version="1.0" encoding="UTF-8"?>
<Relationships xmlns="http://schemas.openxmlformats.org/package/2006/relationships"><Relationship Id="rId1" Type="http://schemas.openxmlformats.org/officeDocument/2006/relationships/image" Target="media/image4.wmf"/>
</Relationships>
</file>

<file path=word/_rels/footer5.xml.rels><?xml version="1.0" encoding="UTF-8"?>
<Relationships xmlns="http://schemas.openxmlformats.org/package/2006/relationships"><Relationship Id="rId1" Type="http://schemas.openxmlformats.org/officeDocument/2006/relationships/image" Target="media/image4.wmf"/>
</Relationships>
</file>

<file path=word/_rels/footer7.xml.rels><?xml version="1.0" encoding="UTF-8"?>
<Relationships xmlns="http://schemas.openxmlformats.org/package/2006/relationships"><Relationship Id="rId1" Type="http://schemas.openxmlformats.org/officeDocument/2006/relationships/image" Target="media/image4.wmf"/>
</Relationships>
</file>

<file path=word/_rels/footer8.xml.rels><?xml version="1.0" encoding="UTF-8"?>
<Relationships xmlns="http://schemas.openxmlformats.org/package/2006/relationships"><Relationship Id="rId1" Type="http://schemas.openxmlformats.org/officeDocument/2006/relationships/image" Target="media/image4.wmf"/>
</Relationships>
</file>

<file path=word/_rels/header8.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5.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SSB_Report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2001-10-08T10:21:00Z</dcterms:created>
  <dc:creator>Raymond Niles, C </dc:creator>
  <dc:description>v2.5 completed 8/18/99
v2.6 completed 1/3/00
v2.61 completed 2/22/00
v2.62 completed 2/22/00
v1.30 completed 4/24/00
</dc:description>
  <dc:language>en-CA</dc:language>
  <cp:lastModifiedBy>Brian T Taddeo</cp:lastModifiedBy>
  <cp:lastPrinted>2001-10-05T15:50:00Z</cp:lastPrinted>
  <dcterms:modified xsi:type="dcterms:W3CDTF">2001-10-11T16:57:00Z</dcterms:modified>
  <cp:revision>3</cp:revision>
  <dc:subject/>
  <dc:title>Commodity Cycles — Learning from the Experts – October 8,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LogoColor">
    <vt:lpwstr>BLUE</vt:lpwstr>
  </property>
  <property fmtid="{D5CDD505-2E9C-101B-9397-08002B2CF9AE}" pid="3" name="CurTextColor">
    <vt:lpwstr>BLUE</vt:lpwstr>
  </property>
  <property fmtid="{D5CDD505-2E9C-101B-9397-08002B2CF9AE}" pid="4" name="SSB_SwitchSOE_On">
    <vt:r8>1</vt:r8>
  </property>
  <property fmtid="{D5CDD505-2E9C-101B-9397-08002B2CF9AE}" pid="5" name="SSB_Version_Description">
    <vt:lpwstr>May 5, 2000 Changed for Datapage, Tagging Form, and other Enhancements</vt:lpwstr>
  </property>
  <property fmtid="{D5CDD505-2E9C-101B-9397-08002B2CF9AE}" pid="6" name="ssb_Analyst1City">
    <vt:lpwstr>New York</vt:lpwstr>
  </property>
  <property fmtid="{D5CDD505-2E9C-101B-9397-08002B2CF9AE}" pid="7" name="ssb_Analyst1Email">
    <vt:lpwstr>ray.niles@ssmb.com</vt:lpwstr>
  </property>
  <property fmtid="{D5CDD505-2E9C-101B-9397-08002B2CF9AE}" pid="8" name="ssb_Analyst1ID">
    <vt:lpwstr>902</vt:lpwstr>
  </property>
  <property fmtid="{D5CDD505-2E9C-101B-9397-08002B2CF9AE}" pid="9" name="ssb_Analyst1Name">
    <vt:lpwstr>Raymond Niles, C </vt:lpwstr>
  </property>
  <property fmtid="{D5CDD505-2E9C-101B-9397-08002B2CF9AE}" pid="10" name="ssb_Analyst1Phone">
    <vt:lpwstr>212-816-2807</vt:lpwstr>
  </property>
  <property fmtid="{D5CDD505-2E9C-101B-9397-08002B2CF9AE}" pid="11" name="ssb_Associate1ID">
    <vt:lpwstr>693</vt:lpwstr>
  </property>
  <property fmtid="{D5CDD505-2E9C-101B-9397-08002B2CF9AE}" pid="12" name="ssb_Associate1Name">
    <vt:lpwstr>Benjamin Morton</vt:lpwstr>
  </property>
  <property fmtid="{D5CDD505-2E9C-101B-9397-08002B2CF9AE}" pid="13" name="ssb_Associate1Phone">
    <vt:lpwstr>212-816-2086</vt:lpwstr>
  </property>
  <property fmtid="{D5CDD505-2E9C-101B-9397-08002B2CF9AE}" pid="14" name="ssb_Country1ID">
    <vt:lpwstr>CUS</vt:lpwstr>
  </property>
  <property fmtid="{D5CDD505-2E9C-101B-9397-08002B2CF9AE}" pid="15" name="ssb_Country1Name">
    <vt:lpwstr>United States of America</vt:lpwstr>
  </property>
  <property fmtid="{D5CDD505-2E9C-101B-9397-08002B2CF9AE}" pid="16" name="ssb_DisconnectAuthor">
    <vt:bool>1</vt:bool>
  </property>
  <property fmtid="{D5CDD505-2E9C-101B-9397-08002B2CF9AE}" pid="17" name="ssb_DisconnectCompany">
    <vt:bool>1</vt:bool>
  </property>
  <property fmtid="{D5CDD505-2E9C-101B-9397-08002B2CF9AE}" pid="18" name="ssb_DisconnectCountry">
    <vt:bool>1</vt:bool>
  </property>
  <property fmtid="{D5CDD505-2E9C-101B-9397-08002B2CF9AE}" pid="19" name="ssb_DisconnectIndustry">
    <vt:bool>1</vt:bool>
  </property>
  <property fmtid="{D5CDD505-2E9C-101B-9397-08002B2CF9AE}" pid="20" name="ssb_Distribution">
    <vt:r8>511</vt:r8>
  </property>
  <property fmtid="{D5CDD505-2E9C-101B-9397-08002B2CF9AE}" pid="21" name="ssb_Headline">
    <vt:lpwstr>The Big Kahunas Show Us How to Navigate the Waves</vt:lpwstr>
  </property>
  <property fmtid="{D5CDD505-2E9C-101B-9397-08002B2CF9AE}" pid="22" name="ssb_Industry1FirstCallCode">
    <vt:lpwstr>UTILIT</vt:lpwstr>
  </property>
  <property fmtid="{D5CDD505-2E9C-101B-9397-08002B2CF9AE}" pid="23" name="ssb_Industry1ID">
    <vt:lpwstr>PNGA.</vt:lpwstr>
  </property>
  <property fmtid="{D5CDD505-2E9C-101B-9397-08002B2CF9AE}" pid="24" name="ssb_Industry1Name">
    <vt:lpwstr>Power &amp; Natural Gas</vt:lpwstr>
  </property>
  <property fmtid="{D5CDD505-2E9C-101B-9397-08002B2CF9AE}" pid="25" name="ssb_ReportDate">
    <vt:filetime>2001-10-08T01:30:00Z</vt:filetime>
  </property>
  <property fmtid="{D5CDD505-2E9C-101B-9397-08002B2CF9AE}" pid="26" name="ssb_ReportDocNum">
    <vt:lpwstr>US10J021</vt:lpwstr>
  </property>
  <property fmtid="{D5CDD505-2E9C-101B-9397-08002B2CF9AE}" pid="27" name="ssb_ReportNumPages">
    <vt:r8>19</vt:r8>
  </property>
  <property fmtid="{D5CDD505-2E9C-101B-9397-08002B2CF9AE}" pid="28" name="ssb_ReportType">
    <vt:lpwstr>Industry</vt:lpwstr>
  </property>
  <property fmtid="{D5CDD505-2E9C-101B-9397-08002B2CF9AE}" pid="29" name="ssb_Subject1ID">
    <vt:lpwstr>IND</vt:lpwstr>
  </property>
  <property fmtid="{D5CDD505-2E9C-101B-9397-08002B2CF9AE}" pid="30" name="ssb_Subject1Name">
    <vt:lpwstr>Industry Overview</vt:lpwstr>
  </property>
  <property fmtid="{D5CDD505-2E9C-101B-9397-08002B2CF9AE}" pid="31" name="ssb_TagPrefix">
    <vt:lpwstr>US</vt:lpwstr>
  </property>
  <property fmtid="{D5CDD505-2E9C-101B-9397-08002B2CF9AE}" pid="32" name="ssb_Title">
    <vt:lpwstr>Commodity Cycles — Learning from the Experts</vt:lpwstr>
  </property>
  <property fmtid="{D5CDD505-2E9C-101B-9397-08002B2CF9AE}" pid="33" name="ssb_Version">
    <vt:lpwstr>1.31 Production fix!</vt:lpwstr>
  </property>
  <property fmtid="{D5CDD505-2E9C-101B-9397-08002B2CF9AE}" pid="34" name="ssb_ZIPCategory">
    <vt:lpwstr>USA</vt:lpwstr>
  </property>
  <property fmtid="{D5CDD505-2E9C-101B-9397-08002B2CF9AE}" pid="35" name="ssb_ZIPDept">
    <vt:lpwstr>SR</vt:lpwstr>
  </property>
  <property fmtid="{D5CDD505-2E9C-101B-9397-08002B2CF9AE}" pid="36" name="ssb_ZIPFreq">
    <vt:lpwstr>X</vt:lpwstr>
  </property>
  <property fmtid="{D5CDD505-2E9C-101B-9397-08002B2CF9AE}" pid="37" name="ssb_ZIPRegion">
    <vt:lpwstr>USA</vt:lpwstr>
  </property>
</Properties>
</file>