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12" w:space="0" w:color="000000"/>
        </w:pBdr>
        <w:rPr>
          <w:b/>
          <w:szCs w:val="20"/>
          <w:lang w:val="en-GB"/>
        </w:rPr>
      </w:pPr>
      <w:r>
        <w:rPr>
          <w:b/>
          <w:sz w:val="72"/>
        </w:rPr>
        <w:t>ISDA</w:t>
      </w:r>
      <w:r>
        <w:rPr>
          <w:b/>
        </w:rPr>
        <w:t xml:space="preserve"> International Swaps and Derivatives Association, Inc.</w:t>
      </w:r>
    </w:p>
    <w:p>
      <w:pPr>
        <w:pStyle w:val="Normal"/>
        <w:spacing w:lineRule="auto" w:line="360"/>
        <w:jc w:val="center"/>
        <w:rPr>
          <w:b/>
          <w:szCs w:val="20"/>
          <w:lang w:val="en-GB"/>
        </w:rPr>
      </w:pPr>
      <w:r>
        <w:rPr>
          <w:b/>
          <w:szCs w:val="20"/>
          <w:lang w:val="en-GB"/>
        </w:rPr>
      </w:r>
    </w:p>
    <w:p>
      <w:pPr>
        <w:pStyle w:val="Heading2"/>
        <w:spacing w:lineRule="auto" w:line="240"/>
        <w:ind w:hanging="0" w:start="0"/>
        <w:rPr>
          <w:sz w:val="28"/>
        </w:rPr>
      </w:pPr>
      <w:r>
        <w:rPr>
          <w:sz w:val="28"/>
        </w:rPr>
        <w:t>Accounting Committee</w:t>
      </w:r>
    </w:p>
    <w:p>
      <w:pPr>
        <w:pStyle w:val="Normal"/>
        <w:jc w:val="center"/>
        <w:rPr>
          <w:szCs w:val="20"/>
          <w:lang w:val="en-GB"/>
        </w:rPr>
      </w:pPr>
      <w:r>
        <w:rPr/>
        <w:t>Chairs: Robert Stevens, Credit Suisse Financial Products</w:t>
      </w:r>
    </w:p>
    <w:p>
      <w:pPr>
        <w:pStyle w:val="Normal"/>
        <w:jc w:val="center"/>
        <w:rPr>
          <w:szCs w:val="20"/>
          <w:lang w:val="en-GB"/>
        </w:rPr>
      </w:pPr>
      <w:r>
        <w:rPr/>
        <w:t>Robin Doyle, J.P. Morgan Chase</w:t>
      </w:r>
    </w:p>
    <w:p>
      <w:pPr>
        <w:pStyle w:val="Normal"/>
        <w:ind w:end="992"/>
        <w:rPr>
          <w:szCs w:val="20"/>
          <w:lang w:val="en-GB"/>
        </w:rPr>
      </w:pPr>
      <w:r>
        <w:rPr>
          <w:szCs w:val="20"/>
          <w:lang w:val="en-GB"/>
        </w:rPr>
      </w:r>
    </w:p>
    <w:p>
      <w:pPr>
        <w:pStyle w:val="Heading4"/>
        <w:rPr>
          <w:sz w:val="24"/>
        </w:rPr>
      </w:pPr>
      <w:r>
        <w:rPr>
          <w:sz w:val="24"/>
        </w:rPr>
        <w:t>Overview</w:t>
      </w:r>
    </w:p>
    <w:p>
      <w:pPr>
        <w:pStyle w:val="Normal"/>
        <w:ind w:end="992"/>
        <w:rPr>
          <w:sz w:val="24"/>
          <w:szCs w:val="20"/>
          <w:lang w:val="en-GB"/>
        </w:rPr>
      </w:pPr>
      <w:r>
        <w:rPr>
          <w:sz w:val="24"/>
          <w:szCs w:val="20"/>
          <w:lang w:val="en-GB"/>
        </w:rPr>
      </w:r>
    </w:p>
    <w:p>
      <w:pPr>
        <w:pStyle w:val="BodyText3"/>
        <w:rPr/>
      </w:pPr>
      <w:r>
        <w:rPr/>
        <w:t>The Accounting Committee discusses and examines current accounting practice as well as developments arising from accounting standards setters, such as the International Accounting Standards Committee; the Financial Accounting Standards Board in the US; and the Accounting Standards Board in the UK.</w:t>
      </w:r>
    </w:p>
    <w:p>
      <w:pPr>
        <w:pStyle w:val="Normal"/>
        <w:jc w:val="both"/>
        <w:rPr>
          <w:szCs w:val="20"/>
          <w:lang w:val="en-GB"/>
        </w:rPr>
      </w:pPr>
      <w:r>
        <w:rPr>
          <w:szCs w:val="20"/>
          <w:lang w:val="en-GB"/>
        </w:rPr>
      </w:r>
    </w:p>
    <w:p>
      <w:pPr>
        <w:pStyle w:val="Normal"/>
        <w:jc w:val="both"/>
        <w:rPr>
          <w:szCs w:val="20"/>
          <w:lang w:val="en-GB"/>
        </w:rPr>
      </w:pPr>
      <w:r>
        <w:rPr/>
        <w:t>At a global level, the Joint Working Group of Standards Setters (JWG) ‘Draft Standard and Basis for Conclusions – Accounting for Financial Instruments and Similar Items’ was issued in December of last year. The document’s main objective is to reflect on the balance sheet and in the income statement the effect of events on the fair value of financial instruments and similar items for the periods during which they occur. Unlike existing fair value accounting standards, the JWG approach would exclude the potential for hedge accounting.</w:t>
      </w:r>
    </w:p>
    <w:p>
      <w:pPr>
        <w:pStyle w:val="Normal"/>
        <w:jc w:val="both"/>
        <w:rPr>
          <w:szCs w:val="20"/>
          <w:lang w:val="en-GB"/>
        </w:rPr>
      </w:pPr>
      <w:r>
        <w:rPr>
          <w:szCs w:val="20"/>
          <w:lang w:val="en-GB"/>
        </w:rPr>
      </w:r>
    </w:p>
    <w:p>
      <w:pPr>
        <w:pStyle w:val="Normal"/>
        <w:jc w:val="both"/>
        <w:rPr>
          <w:szCs w:val="20"/>
          <w:lang w:val="en-GB"/>
        </w:rPr>
      </w:pPr>
      <w:r>
        <w:rPr/>
        <w:t xml:space="preserve">Fair value accounting in the United States is now applied to companies whose fiscal years began after June 15 2000, and internationally for those companies subject to IASC standards, under IAS 39, effective January 2001. Monitoring the effects of these remains an objective of the North American Committee. This committee also submitted a comment letter to the FASB on April 30, 2001, on its Liabilities and Equity Exposure Draft (letter attached). The draft recommends bifurcation of reporting for instruments that contain elements of both assets and liabilities. The committee has recommended that FASB retain its existing approach to such instruments and drop the Exposure Draft. </w:t>
      </w:r>
    </w:p>
    <w:p>
      <w:pPr>
        <w:pStyle w:val="BlockText"/>
        <w:tabs>
          <w:tab w:val="clear" w:pos="720"/>
          <w:tab w:val="left" w:pos="7797" w:leader="none"/>
        </w:tabs>
        <w:ind w:start="0" w:end="85"/>
        <w:rPr>
          <w:szCs w:val="20"/>
          <w:lang w:val="en-GB"/>
        </w:rPr>
      </w:pPr>
      <w:r>
        <w:rPr>
          <w:szCs w:val="20"/>
          <w:lang w:val="en-GB"/>
        </w:rPr>
      </w:r>
    </w:p>
    <w:p>
      <w:pPr>
        <w:pStyle w:val="BlockText"/>
        <w:tabs>
          <w:tab w:val="clear" w:pos="720"/>
          <w:tab w:val="left" w:pos="7797" w:leader="none"/>
        </w:tabs>
        <w:ind w:start="0" w:end="85"/>
        <w:jc w:val="start"/>
        <w:rPr>
          <w:b/>
        </w:rPr>
      </w:pPr>
      <w:r>
        <w:rPr>
          <w:b/>
        </w:rPr>
        <w:t>Current Activities</w:t>
      </w:r>
    </w:p>
    <w:p>
      <w:pPr>
        <w:pStyle w:val="BlockText"/>
        <w:tabs>
          <w:tab w:val="clear" w:pos="720"/>
          <w:tab w:val="left" w:pos="7797" w:leader="none"/>
        </w:tabs>
        <w:ind w:start="0" w:end="85"/>
        <w:rPr>
          <w:b/>
        </w:rPr>
      </w:pPr>
      <w:r>
        <w:rPr>
          <w:b/>
        </w:rPr>
      </w:r>
    </w:p>
    <w:p>
      <w:pPr>
        <w:pStyle w:val="Normal"/>
        <w:numPr>
          <w:ilvl w:val="0"/>
          <w:numId w:val="13"/>
        </w:numPr>
        <w:jc w:val="both"/>
        <w:rPr>
          <w:szCs w:val="20"/>
          <w:lang w:val="en-GB"/>
        </w:rPr>
      </w:pPr>
      <w:r>
        <w:rPr/>
        <w:t xml:space="preserve">A combined working group, led by London, of the European and North American Accounting Committees is examining the JWG Draft Standard and will submit comments within the deadline of September 30 </w:t>
      </w:r>
      <w:r>
        <w:rPr>
          <w:b/>
          <w:bCs/>
          <w:u w:val="single"/>
        </w:rPr>
        <w:t>(Timing: late summer)</w:t>
      </w:r>
    </w:p>
    <w:p>
      <w:pPr>
        <w:pStyle w:val="Normal"/>
        <w:jc w:val="both"/>
        <w:rPr>
          <w:szCs w:val="20"/>
          <w:lang w:val="en-GB"/>
        </w:rPr>
      </w:pPr>
      <w:r>
        <w:rPr>
          <w:szCs w:val="20"/>
          <w:lang w:val="en-GB"/>
        </w:rPr>
      </w:r>
    </w:p>
    <w:p>
      <w:pPr>
        <w:pStyle w:val="Normal"/>
        <w:numPr>
          <w:ilvl w:val="0"/>
          <w:numId w:val="13"/>
        </w:numPr>
        <w:jc w:val="both"/>
        <w:rPr>
          <w:szCs w:val="20"/>
          <w:lang w:val="en-GB"/>
        </w:rPr>
      </w:pPr>
      <w:r>
        <w:rPr/>
        <w:t>Monitoring progress of FASB’s Liabilities and Equity Exposure Draft. (</w:t>
      </w:r>
      <w:r>
        <w:rPr>
          <w:b/>
          <w:u w:val="single"/>
        </w:rPr>
        <w:t>Timing: ongoing</w:t>
      </w:r>
      <w:r>
        <w:rPr/>
        <w:t>)</w:t>
      </w:r>
    </w:p>
    <w:p>
      <w:pPr>
        <w:pStyle w:val="Normal"/>
        <w:jc w:val="both"/>
        <w:rPr>
          <w:szCs w:val="20"/>
          <w:lang w:val="en-GB"/>
        </w:rPr>
      </w:pPr>
      <w:r>
        <w:rPr>
          <w:szCs w:val="20"/>
          <w:lang w:val="en-GB"/>
        </w:rPr>
      </w:r>
    </w:p>
    <w:p>
      <w:pPr>
        <w:pStyle w:val="Normal"/>
        <w:numPr>
          <w:ilvl w:val="0"/>
          <w:numId w:val="13"/>
        </w:numPr>
        <w:jc w:val="both"/>
        <w:rPr>
          <w:szCs w:val="20"/>
          <w:lang w:val="en-GB"/>
        </w:rPr>
      </w:pPr>
      <w:r>
        <w:rPr/>
        <w:t>Monitoring progress of IAS 39, FAS 133 and its amendment FAS 138, and their effects on derivatives trading (in co-ordination with trading practice committee and the ISDA market survey). (</w:t>
      </w:r>
      <w:r>
        <w:rPr>
          <w:b/>
          <w:u w:val="single"/>
        </w:rPr>
        <w:t>Timing: ongoing</w:t>
      </w:r>
      <w:r>
        <w:rPr/>
        <w:t>)</w:t>
      </w:r>
    </w:p>
    <w:p>
      <w:pPr>
        <w:pStyle w:val="Normal"/>
        <w:jc w:val="both"/>
        <w:rPr>
          <w:szCs w:val="20"/>
          <w:lang w:val="en-GB"/>
        </w:rPr>
      </w:pPr>
      <w:r>
        <w:rPr>
          <w:szCs w:val="20"/>
          <w:lang w:val="en-GB"/>
        </w:rPr>
      </w:r>
    </w:p>
    <w:p>
      <w:pPr>
        <w:pStyle w:val="Normal"/>
        <w:pBdr>
          <w:bottom w:val="single" w:sz="12" w:space="0" w:color="000000"/>
        </w:pBdr>
        <w:rPr/>
      </w:pPr>
      <w:r>
        <w:rPr>
          <w:b/>
          <w:sz w:val="72"/>
        </w:rPr>
        <w:t>ISDA</w:t>
      </w:r>
      <w:r>
        <w:rPr>
          <w:b/>
        </w:rPr>
        <w:t xml:space="preserve"> International Swaps and Derivatives Association, Inc.</w:t>
      </w:r>
    </w:p>
    <w:p>
      <w:pPr>
        <w:pStyle w:val="Heading"/>
        <w:rPr>
          <w:b w:val="false"/>
        </w:rPr>
      </w:pPr>
      <w:r>
        <w:rPr>
          <w:b w:val="false"/>
        </w:rPr>
      </w:r>
    </w:p>
    <w:p>
      <w:pPr>
        <w:pStyle w:val="Heading"/>
        <w:rPr/>
      </w:pPr>
      <w:r>
        <w:rPr/>
      </w:r>
    </w:p>
    <w:p>
      <w:pPr>
        <w:pStyle w:val="Heading"/>
        <w:rPr>
          <w:sz w:val="28"/>
        </w:rPr>
      </w:pPr>
      <w:r>
        <w:rPr>
          <w:sz w:val="28"/>
        </w:rPr>
        <w:t>Canadian Steering Committee</w:t>
      </w:r>
    </w:p>
    <w:p>
      <w:pPr>
        <w:pStyle w:val="Heading5"/>
        <w:ind w:hanging="0" w:start="0"/>
        <w:rPr/>
      </w:pPr>
      <w:r>
        <w:rPr/>
        <w:t>Chair: Susan Heard, Royal Bank of Canada</w:t>
      </w:r>
    </w:p>
    <w:p>
      <w:pPr>
        <w:pStyle w:val="Normal"/>
        <w:ind w:end="992"/>
        <w:rPr/>
      </w:pPr>
      <w:r>
        <w:rPr/>
      </w:r>
    </w:p>
    <w:p>
      <w:pPr>
        <w:pStyle w:val="Heading4"/>
        <w:jc w:val="both"/>
        <w:rPr>
          <w:sz w:val="24"/>
        </w:rPr>
      </w:pPr>
      <w:r>
        <w:rPr>
          <w:sz w:val="24"/>
        </w:rPr>
        <w:t>Overview</w:t>
      </w:r>
    </w:p>
    <w:p>
      <w:pPr>
        <w:pStyle w:val="Normal"/>
        <w:ind w:end="992"/>
        <w:jc w:val="both"/>
        <w:rPr>
          <w:sz w:val="24"/>
        </w:rPr>
      </w:pPr>
      <w:r>
        <w:rPr>
          <w:sz w:val="24"/>
        </w:rPr>
      </w:r>
    </w:p>
    <w:p>
      <w:pPr>
        <w:pStyle w:val="Normal"/>
        <w:jc w:val="both"/>
        <w:rPr/>
      </w:pPr>
      <w:r>
        <w:rPr/>
        <w:t xml:space="preserve">The Canada Steering Committee meets regularly to discuss issues that effect ISDA's Canadian members.  During these meetings, members are also updated on the activities of the Legal/Regulatory Subcommittee, Accounting Subcommittee, Risk Management Subcommittee and Tax Subcommittee.  </w:t>
      </w:r>
    </w:p>
    <w:p>
      <w:pPr>
        <w:pStyle w:val="Normal"/>
        <w:jc w:val="both"/>
        <w:rPr/>
      </w:pPr>
      <w:r>
        <w:rPr/>
      </w:r>
    </w:p>
    <w:p>
      <w:pPr>
        <w:pStyle w:val="Normal"/>
        <w:jc w:val="both"/>
        <w:rPr/>
      </w:pPr>
      <w:r>
        <w:rPr/>
      </w:r>
    </w:p>
    <w:p>
      <w:pPr>
        <w:pStyle w:val="Heading6"/>
        <w:ind w:hanging="0" w:start="0"/>
        <w:rPr>
          <w:sz w:val="24"/>
        </w:rPr>
      </w:pPr>
      <w:r>
        <w:rPr>
          <w:sz w:val="24"/>
        </w:rPr>
        <w:t xml:space="preserve">Current Activities </w:t>
      </w:r>
    </w:p>
    <w:p>
      <w:pPr>
        <w:pStyle w:val="Normal"/>
        <w:rPr>
          <w:sz w:val="24"/>
        </w:rPr>
      </w:pPr>
      <w:r>
        <w:rPr>
          <w:sz w:val="24"/>
        </w:rPr>
      </w:r>
    </w:p>
    <w:p>
      <w:pPr>
        <w:pStyle w:val="Heading6"/>
        <w:ind w:hanging="0" w:start="0"/>
        <w:rPr>
          <w:b w:val="false"/>
          <w:sz w:val="24"/>
        </w:rPr>
      </w:pPr>
      <w:r>
        <w:rPr>
          <w:b w:val="false"/>
          <w:sz w:val="24"/>
        </w:rPr>
        <w:t>Recent meetings have covered such topics as:</w:t>
      </w:r>
    </w:p>
    <w:p>
      <w:pPr>
        <w:pStyle w:val="Heading6"/>
        <w:numPr>
          <w:ilvl w:val="0"/>
          <w:numId w:val="9"/>
        </w:numPr>
        <w:rPr>
          <w:b w:val="false"/>
        </w:rPr>
      </w:pPr>
      <w:r>
        <w:rPr>
          <w:b w:val="false"/>
          <w:sz w:val="24"/>
        </w:rPr>
        <w:t>Implications of the Basel Capital Accord for Canadian entities</w:t>
      </w:r>
    </w:p>
    <w:p>
      <w:pPr>
        <w:pStyle w:val="Heading6"/>
        <w:numPr>
          <w:ilvl w:val="0"/>
          <w:numId w:val="14"/>
        </w:numPr>
        <w:rPr>
          <w:b w:val="false"/>
        </w:rPr>
      </w:pPr>
      <w:r>
        <w:rPr>
          <w:b w:val="false"/>
          <w:sz w:val="24"/>
        </w:rPr>
        <w:t>ISDA Documentation Initiatives</w:t>
      </w:r>
    </w:p>
    <w:p>
      <w:pPr>
        <w:pStyle w:val="Heading6"/>
        <w:numPr>
          <w:ilvl w:val="0"/>
          <w:numId w:val="14"/>
        </w:numPr>
        <w:rPr>
          <w:b w:val="false"/>
        </w:rPr>
      </w:pPr>
      <w:r>
        <w:rPr>
          <w:b w:val="false"/>
          <w:sz w:val="24"/>
        </w:rPr>
        <w:t>Provincial Regulatory Updates</w:t>
      </w:r>
    </w:p>
    <w:p>
      <w:pPr>
        <w:pStyle w:val="Heading6"/>
        <w:numPr>
          <w:ilvl w:val="0"/>
          <w:numId w:val="14"/>
        </w:numPr>
        <w:rPr>
          <w:b w:val="false"/>
        </w:rPr>
      </w:pPr>
      <w:r>
        <w:rPr>
          <w:b w:val="false"/>
          <w:sz w:val="24"/>
        </w:rPr>
        <w:t>Collateral Management Issues</w:t>
      </w:r>
    </w:p>
    <w:p>
      <w:pPr>
        <w:pStyle w:val="Heading6"/>
        <w:numPr>
          <w:ilvl w:val="0"/>
          <w:numId w:val="14"/>
        </w:numPr>
        <w:rPr>
          <w:b w:val="false"/>
        </w:rPr>
      </w:pPr>
      <w:r>
        <w:rPr>
          <w:b w:val="false"/>
          <w:sz w:val="24"/>
        </w:rPr>
        <w:t xml:space="preserve">Prospects for legal certainty regulation/legislation for OTC Derivatives </w:t>
      </w:r>
    </w:p>
    <w:p>
      <w:pPr>
        <w:pStyle w:val="Heading6"/>
        <w:numPr>
          <w:ilvl w:val="0"/>
          <w:numId w:val="14"/>
        </w:numPr>
        <w:rPr>
          <w:b w:val="false"/>
        </w:rPr>
      </w:pPr>
      <w:r>
        <w:rPr>
          <w:b w:val="false"/>
          <w:sz w:val="24"/>
        </w:rPr>
        <w:t>E-Commerce Initiatives</w:t>
      </w:r>
    </w:p>
    <w:p>
      <w:pPr>
        <w:pStyle w:val="Heading6"/>
        <w:ind w:hanging="0" w:start="0"/>
        <w:rPr>
          <w:b w:val="false"/>
          <w:sz w:val="24"/>
        </w:rPr>
      </w:pPr>
      <w:r>
        <w:rPr>
          <w:b w:val="false"/>
          <w:sz w:val="24"/>
        </w:rPr>
      </w:r>
    </w:p>
    <w:p>
      <w:pPr>
        <w:pStyle w:val="Heading6"/>
        <w:ind w:hanging="0" w:start="0"/>
        <w:rPr>
          <w:b w:val="false"/>
        </w:rPr>
      </w:pPr>
      <w:r>
        <w:rPr>
          <w:b w:val="false"/>
          <w:sz w:val="24"/>
        </w:rPr>
        <w:t>In July, ISDA will hold a conference in Toronto “Transforming the Derivatives Industry”, which will feature presentations on the Basel Capital Accord and E-documentation and will include afternoon streams focusing on collateral and credit derivatives.</w:t>
      </w:r>
    </w:p>
    <w:p>
      <w:pPr>
        <w:pStyle w:val="BlockText"/>
        <w:tabs>
          <w:tab w:val="clear" w:pos="720"/>
          <w:tab w:val="left" w:pos="7797" w:leader="none"/>
        </w:tabs>
        <w:ind w:start="0" w:end="85"/>
        <w:rPr>
          <w:b/>
        </w:rPr>
      </w:pPr>
      <w:r>
        <w:rPr>
          <w:b/>
        </w:rPr>
      </w:r>
    </w:p>
    <w:p>
      <w:pPr>
        <w:pStyle w:val="BlockText"/>
        <w:tabs>
          <w:tab w:val="clear" w:pos="720"/>
          <w:tab w:val="left" w:pos="7797" w:leader="none"/>
        </w:tabs>
        <w:ind w:start="0" w:end="85"/>
        <w:rPr/>
      </w:pPr>
      <w:r>
        <w:rPr/>
      </w:r>
      <w:r>
        <w:br w:type="page"/>
      </w:r>
    </w:p>
    <w:p>
      <w:pPr>
        <w:pStyle w:val="Normal"/>
        <w:pBdr>
          <w:bottom w:val="single" w:sz="12" w:space="0" w:color="000000"/>
        </w:pBdr>
        <w:rPr>
          <w:b/>
          <w:szCs w:val="20"/>
          <w:lang w:val="en-GB"/>
        </w:rPr>
      </w:pPr>
      <w:r>
        <w:rPr>
          <w:b/>
          <w:sz w:val="72"/>
        </w:rPr>
        <w:t>ISDA</w:t>
      </w:r>
      <w:r>
        <w:rPr>
          <w:b/>
        </w:rPr>
        <w:t xml:space="preserve"> International Swaps and Derivatives Association, Inc.</w:t>
      </w:r>
    </w:p>
    <w:p>
      <w:pPr>
        <w:pStyle w:val="Heading"/>
        <w:rPr>
          <w:b w:val="false"/>
          <w:szCs w:val="20"/>
          <w:lang w:val="en-GB"/>
        </w:rPr>
      </w:pPr>
      <w:r>
        <w:rPr>
          <w:b w:val="false"/>
          <w:szCs w:val="20"/>
          <w:lang w:val="en-GB"/>
        </w:rPr>
      </w:r>
    </w:p>
    <w:p>
      <w:pPr>
        <w:pStyle w:val="Normal"/>
        <w:jc w:val="center"/>
        <w:rPr>
          <w:b/>
          <w:sz w:val="28"/>
          <w:szCs w:val="20"/>
          <w:u w:val="single"/>
          <w:lang w:val="en-GB"/>
        </w:rPr>
      </w:pPr>
      <w:r>
        <w:rPr>
          <w:b/>
          <w:sz w:val="28"/>
          <w:u w:val="single"/>
        </w:rPr>
        <w:t>Credit Derivatives Market Practice Committee:</w:t>
      </w:r>
    </w:p>
    <w:p>
      <w:pPr>
        <w:pStyle w:val="Heading5"/>
        <w:ind w:hanging="0" w:start="0"/>
        <w:rPr/>
      </w:pPr>
      <w:r>
        <w:rPr/>
        <w:t>North AmericanChair: Blythe Masters, JP Morgan Chase</w:t>
      </w:r>
    </w:p>
    <w:p>
      <w:pPr>
        <w:pStyle w:val="Normal"/>
        <w:jc w:val="center"/>
        <w:rPr>
          <w:lang w:val="en-GB"/>
        </w:rPr>
      </w:pPr>
      <w:r>
        <w:rPr>
          <w:lang w:val="en-GB"/>
        </w:rPr>
        <w:t>European Chair: Paul Varotsis, Lehman Brothers</w:t>
      </w:r>
    </w:p>
    <w:p>
      <w:pPr>
        <w:pStyle w:val="Normal"/>
        <w:rPr>
          <w:lang w:val="en-GB"/>
        </w:rPr>
      </w:pPr>
      <w:r>
        <w:rPr>
          <w:lang w:val="en-GB"/>
        </w:rPr>
      </w:r>
    </w:p>
    <w:p>
      <w:pPr>
        <w:pStyle w:val="Normal"/>
        <w:ind w:end="992"/>
        <w:rPr>
          <w:szCs w:val="20"/>
          <w:lang w:val="en-GB"/>
        </w:rPr>
      </w:pPr>
      <w:r>
        <w:rPr>
          <w:szCs w:val="20"/>
          <w:lang w:val="en-GB"/>
        </w:rPr>
      </w:r>
    </w:p>
    <w:p>
      <w:pPr>
        <w:pStyle w:val="Heading4"/>
        <w:jc w:val="both"/>
        <w:rPr>
          <w:sz w:val="24"/>
        </w:rPr>
      </w:pPr>
      <w:r>
        <w:rPr>
          <w:sz w:val="24"/>
        </w:rPr>
        <w:t>Overview</w:t>
      </w:r>
    </w:p>
    <w:p>
      <w:pPr>
        <w:pStyle w:val="Normal"/>
        <w:ind w:end="992"/>
        <w:jc w:val="both"/>
        <w:rPr>
          <w:sz w:val="24"/>
          <w:szCs w:val="20"/>
          <w:lang w:val="en-GB"/>
        </w:rPr>
      </w:pPr>
      <w:r>
        <w:rPr>
          <w:sz w:val="24"/>
          <w:szCs w:val="20"/>
          <w:lang w:val="en-GB"/>
        </w:rPr>
      </w:r>
    </w:p>
    <w:p>
      <w:pPr>
        <w:pStyle w:val="BodyText3"/>
        <w:rPr/>
      </w:pPr>
      <w:r>
        <w:rPr/>
        <w:t>The committee is a forum in which to address issues affecting the business and practice of credit derivatives trading. Taking in the views of dealers, end-user/risk-takers and portfolio managers, the committee aims to find consensus on the most efficient, effective and appropriate means of conducting OTC credit derivatives transactions. The Committee was formed, during the debate on whether restructuring should constitute a credit event under the 1999 ISDA Credit Derivative Definitions. The Committee worked in conjunction with the Credit Derivatives Documentation Working Group in drafting the Restructuring Supplement to the ’99 Definitions.</w:t>
      </w:r>
    </w:p>
    <w:p>
      <w:pPr>
        <w:pStyle w:val="BodyText3"/>
        <w:rPr/>
      </w:pPr>
      <w:r>
        <w:rPr/>
      </w:r>
    </w:p>
    <w:p>
      <w:pPr>
        <w:pStyle w:val="BodyText3"/>
        <w:rPr/>
      </w:pPr>
      <w:r>
        <w:rPr/>
        <w:t xml:space="preserve">In addition to undertaking work independently on issues relating to market practice , the role of the Committee going forward will remain that of a business advisory to inform and work with the Documentation Working Group on issues relating to credit derivatives,. Its first job in this capacity will likely be to work on the successor definition issue. </w:t>
      </w:r>
    </w:p>
    <w:p>
      <w:pPr>
        <w:pStyle w:val="BodyText3"/>
        <w:rPr/>
      </w:pPr>
      <w:r>
        <w:rPr/>
      </w:r>
    </w:p>
    <w:p>
      <w:pPr>
        <w:pStyle w:val="BodyText3"/>
        <w:rPr/>
      </w:pPr>
      <w:r>
        <w:rPr/>
        <w:t>The Committee will also support the Credit Risk Capital Working Group in its work with regulators on the revised Basel Capital Adequacy proposals. It will also inform the plans for the ISDA Market Survey to gather statistics on credit derivatives as part of its semi-annual process.</w:t>
      </w:r>
    </w:p>
    <w:p>
      <w:pPr>
        <w:pStyle w:val="BodyText3"/>
        <w:rPr/>
      </w:pPr>
      <w:r>
        <w:rPr/>
      </w:r>
    </w:p>
    <w:p>
      <w:pPr>
        <w:pStyle w:val="Normal"/>
        <w:jc w:val="both"/>
        <w:rPr>
          <w:b/>
        </w:rPr>
      </w:pPr>
      <w:r>
        <w:rPr>
          <w:b/>
        </w:rPr>
        <w:t>Current Activities</w:t>
      </w:r>
    </w:p>
    <w:p>
      <w:pPr>
        <w:pStyle w:val="Normal"/>
        <w:jc w:val="both"/>
        <w:rPr>
          <w:b/>
          <w:szCs w:val="20"/>
          <w:lang w:val="en-GB"/>
        </w:rPr>
      </w:pPr>
      <w:r>
        <w:rPr>
          <w:b/>
          <w:szCs w:val="20"/>
          <w:lang w:val="en-GB"/>
        </w:rPr>
      </w:r>
    </w:p>
    <w:p>
      <w:pPr>
        <w:pStyle w:val="Normal"/>
        <w:numPr>
          <w:ilvl w:val="0"/>
          <w:numId w:val="10"/>
        </w:numPr>
        <w:jc w:val="both"/>
        <w:rPr>
          <w:szCs w:val="20"/>
          <w:lang w:val="en-GB"/>
        </w:rPr>
      </w:pPr>
      <w:r>
        <w:rPr>
          <w:szCs w:val="20"/>
          <w:lang w:val="en-GB"/>
        </w:rPr>
        <w:t>Work on the successor definition.</w:t>
      </w:r>
      <w:r>
        <w:rPr>
          <w:b/>
          <w:bCs/>
          <w:szCs w:val="20"/>
          <w:u w:val="single"/>
          <w:lang w:val="en-GB"/>
        </w:rPr>
        <w:t>(Timing: summer 2001)</w:t>
      </w:r>
    </w:p>
    <w:p>
      <w:pPr>
        <w:pStyle w:val="Normal"/>
        <w:jc w:val="both"/>
        <w:rPr>
          <w:szCs w:val="20"/>
          <w:lang w:val="en-GB"/>
        </w:rPr>
      </w:pPr>
      <w:r>
        <w:rPr>
          <w:szCs w:val="20"/>
          <w:lang w:val="en-GB"/>
        </w:rPr>
      </w:r>
    </w:p>
    <w:p>
      <w:pPr>
        <w:pStyle w:val="Normal"/>
        <w:jc w:val="both"/>
        <w:rPr>
          <w:szCs w:val="20"/>
          <w:lang w:val="en-GB"/>
        </w:rPr>
      </w:pPr>
      <w:r>
        <w:rPr>
          <w:szCs w:val="20"/>
          <w:lang w:val="en-GB"/>
        </w:rPr>
        <w:t xml:space="preserve">Informing the process for the ISDA Market Survey in its planned addition of credit derivatives data to the semi-annual survey. </w:t>
      </w:r>
      <w:r>
        <w:rPr>
          <w:b/>
          <w:bCs/>
        </w:rPr>
        <w:t>(</w:t>
      </w:r>
      <w:r>
        <w:rPr>
          <w:b/>
          <w:bCs/>
          <w:u w:val="single"/>
        </w:rPr>
        <w:t>Timing: early summer 2001)</w:t>
      </w:r>
    </w:p>
    <w:p>
      <w:pPr>
        <w:pStyle w:val="Normal"/>
        <w:rPr>
          <w:szCs w:val="20"/>
          <w:lang w:val="en-GB"/>
        </w:rPr>
      </w:pPr>
      <w:r>
        <w:rPr>
          <w:szCs w:val="20"/>
          <w:lang w:val="en-GB"/>
        </w:rPr>
      </w:r>
    </w:p>
    <w:p>
      <w:pPr>
        <w:pStyle w:val="Normal"/>
        <w:rPr/>
      </w:pPr>
      <w:r>
        <w:rPr/>
      </w:r>
    </w:p>
    <w:p>
      <w:pPr>
        <w:pStyle w:val="Normal"/>
        <w:rPr/>
      </w:pPr>
      <w:r>
        <w:rPr/>
      </w:r>
      <w:r>
        <w:br w:type="page"/>
      </w:r>
    </w:p>
    <w:p>
      <w:pPr>
        <w:pStyle w:val="Normal"/>
        <w:pBdr>
          <w:bottom w:val="single" w:sz="12" w:space="0" w:color="000000"/>
        </w:pBdr>
        <w:rPr>
          <w:b/>
        </w:rPr>
      </w:pPr>
      <w:r>
        <w:rPr>
          <w:b/>
        </w:rPr>
        <w:t>International Swaps and Derivatives Association, Inc.</w:t>
      </w:r>
    </w:p>
    <w:p>
      <w:pPr>
        <w:pStyle w:val="Normal"/>
        <w:spacing w:lineRule="auto" w:line="360"/>
        <w:jc w:val="center"/>
        <w:rPr>
          <w:b/>
        </w:rPr>
      </w:pPr>
      <w:r>
        <w:rPr>
          <w:b/>
        </w:rPr>
      </w:r>
    </w:p>
    <w:p>
      <w:pPr>
        <w:pStyle w:val="Heading"/>
        <w:rPr>
          <w:sz w:val="28"/>
        </w:rPr>
      </w:pPr>
      <w:r>
        <w:rPr>
          <w:sz w:val="28"/>
        </w:rPr>
        <w:t>Equity Derivatives Committee</w:t>
      </w:r>
    </w:p>
    <w:p>
      <w:pPr>
        <w:pStyle w:val="Heading5"/>
        <w:ind w:hanging="0" w:start="0"/>
        <w:rPr/>
      </w:pPr>
      <w:r>
        <w:rPr/>
        <w:t xml:space="preserve">Chairs: Maurits Schouten, Credit Suisse First Boston </w:t>
      </w:r>
    </w:p>
    <w:p>
      <w:pPr>
        <w:pStyle w:val="Heading5"/>
        <w:ind w:hanging="0" w:start="0"/>
        <w:rPr/>
      </w:pPr>
      <w:r>
        <w:rPr/>
        <w:t>Stephen Kowitt, JP Morgan Chase</w:t>
      </w:r>
    </w:p>
    <w:p>
      <w:pPr>
        <w:pStyle w:val="Heading4"/>
        <w:jc w:val="both"/>
        <w:rPr>
          <w:sz w:val="24"/>
        </w:rPr>
      </w:pPr>
      <w:r>
        <w:rPr>
          <w:sz w:val="24"/>
        </w:rPr>
        <w:t>Overview</w:t>
      </w:r>
    </w:p>
    <w:p>
      <w:pPr>
        <w:pStyle w:val="Normal"/>
        <w:ind w:end="992"/>
        <w:jc w:val="both"/>
        <w:rPr>
          <w:sz w:val="24"/>
        </w:rPr>
      </w:pPr>
      <w:r>
        <w:rPr>
          <w:sz w:val="24"/>
        </w:rPr>
      </w:r>
    </w:p>
    <w:p>
      <w:pPr>
        <w:pStyle w:val="Normal"/>
        <w:jc w:val="both"/>
        <w:rPr/>
      </w:pPr>
      <w:r>
        <w:rPr/>
        <w:t xml:space="preserve">Formed in 1999, the Equity Derivatives Committee unites front-office, legal and operations specialists. The Committee also monitors accounting issues and reviewing training needs,  reflecting the increasing importance to ISDA members of issues specific to privately negotiated equity derivatives markets.  </w:t>
      </w:r>
    </w:p>
    <w:p>
      <w:pPr>
        <w:pStyle w:val="Normal"/>
        <w:jc w:val="both"/>
        <w:rPr/>
      </w:pPr>
      <w:r>
        <w:rPr/>
      </w:r>
    </w:p>
    <w:p>
      <w:pPr>
        <w:pStyle w:val="Heading1"/>
        <w:rPr>
          <w:b w:val="false"/>
          <w:sz w:val="24"/>
        </w:rPr>
      </w:pPr>
      <w:r>
        <w:rPr>
          <w:b w:val="false"/>
          <w:sz w:val="24"/>
        </w:rPr>
        <w:t>Current Activities</w:t>
      </w:r>
    </w:p>
    <w:p>
      <w:pPr>
        <w:pStyle w:val="Normal"/>
        <w:rPr>
          <w:b/>
          <w:sz w:val="24"/>
        </w:rPr>
      </w:pPr>
      <w:r>
        <w:rPr>
          <w:b/>
          <w:sz w:val="24"/>
        </w:rPr>
      </w:r>
    </w:p>
    <w:p>
      <w:pPr>
        <w:pStyle w:val="Normal"/>
        <w:rPr/>
      </w:pPr>
      <w:r>
        <w:rPr/>
        <w:t xml:space="preserve">The Committee is canvassing members for views as to the need to review the 1996 Equity Derivatives Definitions. This follows work on Article 9 of those Definitions, which deals with provisions for various forms of corporate event/action (see below for details). In Europe, the work on corporate provisions is leading to a focus on co-ordination with derivatives exchanges. In North America, accounting issues continue to be a primary concern, alongside the impact of Commodity Exchange Act reform. </w:t>
      </w:r>
    </w:p>
    <w:p>
      <w:pPr>
        <w:pStyle w:val="Normal"/>
        <w:rPr/>
      </w:pPr>
      <w:r>
        <w:rPr/>
      </w:r>
    </w:p>
    <w:p>
      <w:pPr>
        <w:pStyle w:val="Heading9"/>
        <w:ind w:hanging="0" w:start="0"/>
        <w:rPr>
          <w:u w:val="single"/>
        </w:rPr>
      </w:pPr>
      <w:r>
        <w:rPr>
          <w:u w:val="single"/>
        </w:rPr>
        <w:t>Europe</w:t>
      </w:r>
    </w:p>
    <w:p>
      <w:pPr>
        <w:pStyle w:val="Normal"/>
        <w:jc w:val="both"/>
        <w:rPr>
          <w:u w:val="single"/>
        </w:rPr>
      </w:pPr>
      <w:r>
        <w:rPr>
          <w:u w:val="single"/>
        </w:rPr>
      </w:r>
    </w:p>
    <w:p>
      <w:pPr>
        <w:pStyle w:val="Normal"/>
        <w:jc w:val="both"/>
        <w:rPr/>
      </w:pPr>
      <w:r>
        <w:rPr/>
        <w:t xml:space="preserve">The European Committee recently completed a project, delegated to a specially formed ‘Provisions Task Force’ set up in mid-2000, to address market practice in relation to the corporate event provisions contained in the ISDA Equity Derivatives Definitions. The 1996 Definitions offer a number of alternatives at to how to react to various eventualities (such as mergers or special dividends) and the Committee believes greater consensus would be of benefit to the market, mainly by reducing the potential for deal-confirmation backlogs. This involves agreement among dealers and also (in Europe) implies co-ordination with equity derivatives exchanges, which the Committee has now set itself as an objective for the rest of 2001. </w:t>
      </w:r>
    </w:p>
    <w:p>
      <w:pPr>
        <w:pStyle w:val="Normal"/>
        <w:jc w:val="both"/>
        <w:rPr/>
      </w:pPr>
      <w:r>
        <w:rPr/>
      </w:r>
    </w:p>
    <w:p>
      <w:pPr>
        <w:pStyle w:val="Heading7"/>
        <w:ind w:hanging="0" w:start="0"/>
        <w:rPr/>
      </w:pPr>
      <w:r>
        <w:rPr/>
        <w:t>(Timing: Spring 2001/ongoing)</w:t>
      </w:r>
    </w:p>
    <w:p>
      <w:pPr>
        <w:pStyle w:val="Normal"/>
        <w:jc w:val="both"/>
        <w:rPr>
          <w:b/>
        </w:rPr>
      </w:pPr>
      <w:r>
        <w:rPr>
          <w:b/>
        </w:rPr>
      </w:r>
    </w:p>
    <w:p>
      <w:pPr>
        <w:pStyle w:val="Heading7"/>
        <w:ind w:hanging="0" w:start="0"/>
        <w:rPr/>
      </w:pPr>
      <w:r>
        <w:rPr/>
        <w:t>North America</w:t>
      </w:r>
    </w:p>
    <w:p>
      <w:pPr>
        <w:pStyle w:val="Normal"/>
        <w:jc w:val="both"/>
        <w:rPr/>
      </w:pPr>
      <w:r>
        <w:rPr/>
      </w:r>
    </w:p>
    <w:p>
      <w:pPr>
        <w:pStyle w:val="Normal"/>
        <w:jc w:val="both"/>
        <w:rPr/>
      </w:pPr>
      <w:r>
        <w:rPr/>
        <w:t xml:space="preserve">In addition to running a parallel Provisions Task Force to that in Europe on the issue of corporate event language, the North American Committee has been following accounting issues, notably FASB’s Liabilities and Equity exposure draft, and the debate on Commodity Exchange Act reform, each of which promise to affect the market for convertibles and the single-stock derivatives markets. </w:t>
      </w:r>
    </w:p>
    <w:p>
      <w:pPr>
        <w:pStyle w:val="Normal"/>
        <w:jc w:val="both"/>
        <w:rPr/>
      </w:pPr>
      <w:r>
        <w:rPr/>
      </w:r>
    </w:p>
    <w:p>
      <w:pPr>
        <w:pStyle w:val="Heading7"/>
        <w:ind w:hanging="0" w:start="0"/>
        <w:rPr/>
      </w:pPr>
      <w:r>
        <w:rPr>
          <w:b w:val="false"/>
        </w:rPr>
        <w:t>(</w:t>
      </w:r>
      <w:r>
        <w:rPr>
          <w:bCs/>
        </w:rPr>
        <w:t>Timing: Spring 2001/ongoing)</w:t>
      </w:r>
    </w:p>
    <w:p>
      <w:pPr>
        <w:pStyle w:val="Normal"/>
        <w:rPr>
          <w:bCs/>
        </w:rPr>
      </w:pPr>
      <w:r>
        <w:rPr>
          <w:bCs/>
        </w:rPr>
      </w:r>
      <w:r>
        <w:br w:type="page"/>
      </w:r>
    </w:p>
    <w:p>
      <w:pPr>
        <w:pStyle w:val="Normal"/>
        <w:pBdr>
          <w:bottom w:val="single" w:sz="12" w:space="0" w:color="000000"/>
        </w:pBdr>
        <w:rPr/>
      </w:pPr>
      <w:r>
        <w:rPr>
          <w:b/>
          <w:sz w:val="72"/>
        </w:rPr>
        <w:t>ISDA</w:t>
      </w:r>
      <w:r>
        <w:rPr>
          <w:b/>
        </w:rPr>
        <w:t xml:space="preserve"> International Swaps and Derivatives Association, Inc.</w:t>
      </w:r>
    </w:p>
    <w:p>
      <w:pPr>
        <w:pStyle w:val="Header"/>
        <w:tabs>
          <w:tab w:val="clear" w:pos="4320"/>
          <w:tab w:val="clear" w:pos="8640"/>
          <w:tab w:val="left" w:pos="11482" w:leader="none"/>
        </w:tabs>
        <w:jc w:val="center"/>
        <w:rPr>
          <w:b/>
          <w:sz w:val="28"/>
          <w:u w:val="single"/>
        </w:rPr>
      </w:pPr>
      <w:r>
        <w:rPr>
          <w:b/>
          <w:sz w:val="28"/>
          <w:u w:val="single"/>
        </w:rPr>
      </w:r>
    </w:p>
    <w:p>
      <w:pPr>
        <w:pStyle w:val="Header"/>
        <w:tabs>
          <w:tab w:val="clear" w:pos="4320"/>
          <w:tab w:val="clear" w:pos="8640"/>
          <w:tab w:val="left" w:pos="11482" w:leader="none"/>
        </w:tabs>
        <w:jc w:val="both"/>
        <w:rPr>
          <w:b/>
          <w:sz w:val="28"/>
          <w:u w:val="single"/>
        </w:rPr>
      </w:pPr>
      <w:r>
        <w:rPr>
          <w:b/>
          <w:sz w:val="28"/>
          <w:u w:val="single"/>
        </w:rPr>
        <w:t>Latin America Committee</w:t>
      </w:r>
    </w:p>
    <w:p>
      <w:pPr>
        <w:pStyle w:val="Header"/>
        <w:tabs>
          <w:tab w:val="clear" w:pos="4320"/>
          <w:tab w:val="clear" w:pos="8640"/>
          <w:tab w:val="left" w:pos="11482" w:leader="none"/>
        </w:tabs>
        <w:jc w:val="both"/>
        <w:rPr>
          <w:sz w:val="24"/>
        </w:rPr>
      </w:pPr>
      <w:r>
        <w:rPr>
          <w:sz w:val="24"/>
        </w:rPr>
        <w:t>Chair: Diane Genova, JP Morgan Chase</w:t>
      </w:r>
    </w:p>
    <w:p>
      <w:pPr>
        <w:pStyle w:val="Normal"/>
        <w:jc w:val="both"/>
        <w:rPr>
          <w:sz w:val="24"/>
        </w:rPr>
      </w:pPr>
      <w:r>
        <w:rPr>
          <w:sz w:val="24"/>
        </w:rPr>
      </w:r>
    </w:p>
    <w:p>
      <w:pPr>
        <w:pStyle w:val="Normal"/>
        <w:jc w:val="both"/>
        <w:rPr/>
      </w:pPr>
      <w:r>
        <w:rPr/>
        <w:t>The Latin America Committee addresses business, legal and regulatory issues of importance to ISDA members in Latin America. The focus of the Latin America initiative will be on working with country regulators and potential new members to introduce them to ISDA, its documentation and other activities through meetings and conferences. Membership development within the region continues to be a major element of the Latin American initiative.</w:t>
      </w:r>
    </w:p>
    <w:p>
      <w:pPr>
        <w:pStyle w:val="Header"/>
        <w:tabs>
          <w:tab w:val="clear" w:pos="4320"/>
          <w:tab w:val="clear" w:pos="8640"/>
          <w:tab w:val="left" w:pos="11482" w:leader="none"/>
        </w:tabs>
        <w:jc w:val="both"/>
        <w:rPr>
          <w:sz w:val="24"/>
          <w:lang w:val="en-US"/>
        </w:rPr>
      </w:pPr>
      <w:r>
        <w:rPr>
          <w:sz w:val="24"/>
          <w:lang w:val="en-US"/>
        </w:rPr>
      </w:r>
    </w:p>
    <w:p>
      <w:pPr>
        <w:pStyle w:val="Header"/>
        <w:tabs>
          <w:tab w:val="clear" w:pos="4320"/>
          <w:tab w:val="clear" w:pos="8640"/>
          <w:tab w:val="left" w:pos="11482" w:leader="none"/>
        </w:tabs>
        <w:jc w:val="both"/>
        <w:rPr>
          <w:b/>
          <w:sz w:val="24"/>
          <w:lang w:val="en-US"/>
        </w:rPr>
      </w:pPr>
      <w:r>
        <w:rPr>
          <w:b/>
          <w:sz w:val="24"/>
          <w:lang w:val="en-US"/>
        </w:rPr>
        <w:t>Current Activities</w:t>
      </w:r>
    </w:p>
    <w:p>
      <w:pPr>
        <w:pStyle w:val="Header"/>
        <w:tabs>
          <w:tab w:val="clear" w:pos="4320"/>
          <w:tab w:val="clear" w:pos="8640"/>
          <w:tab w:val="left" w:pos="11482" w:leader="none"/>
        </w:tabs>
        <w:jc w:val="both"/>
        <w:rPr>
          <w:b/>
          <w:sz w:val="24"/>
          <w:lang w:val="en-US"/>
        </w:rPr>
      </w:pPr>
      <w:r>
        <w:rPr>
          <w:b/>
          <w:sz w:val="24"/>
          <w:lang w:val="en-US"/>
        </w:rPr>
      </w:r>
    </w:p>
    <w:p>
      <w:pPr>
        <w:pStyle w:val="Header"/>
        <w:tabs>
          <w:tab w:val="clear" w:pos="4320"/>
          <w:tab w:val="clear" w:pos="8640"/>
          <w:tab w:val="left" w:pos="11482" w:leader="none"/>
        </w:tabs>
        <w:jc w:val="both"/>
        <w:rPr>
          <w:sz w:val="24"/>
          <w:lang w:val="en-US"/>
        </w:rPr>
      </w:pPr>
      <w:r>
        <w:rPr>
          <w:b/>
          <w:sz w:val="24"/>
          <w:lang w:val="en-US"/>
        </w:rPr>
        <w:t>Latin America:</w:t>
      </w:r>
    </w:p>
    <w:p>
      <w:pPr>
        <w:pStyle w:val="Header"/>
        <w:tabs>
          <w:tab w:val="clear" w:pos="4320"/>
          <w:tab w:val="clear" w:pos="8640"/>
          <w:tab w:val="left" w:pos="11482" w:leader="none"/>
        </w:tabs>
        <w:jc w:val="both"/>
        <w:rPr>
          <w:sz w:val="24"/>
          <w:lang w:val="en-US"/>
        </w:rPr>
      </w:pPr>
      <w:r>
        <w:rPr>
          <w:sz w:val="24"/>
          <w:lang w:val="en-US"/>
        </w:rPr>
      </w:r>
    </w:p>
    <w:p>
      <w:pPr>
        <w:pStyle w:val="Header"/>
        <w:numPr>
          <w:ilvl w:val="0"/>
          <w:numId w:val="6"/>
        </w:numPr>
        <w:tabs>
          <w:tab w:val="clear" w:pos="4320"/>
          <w:tab w:val="clear" w:pos="8640"/>
          <w:tab w:val="left" w:pos="11482" w:leader="none"/>
        </w:tabs>
        <w:jc w:val="both"/>
        <w:rPr>
          <w:sz w:val="24"/>
          <w:lang w:val="en-US"/>
        </w:rPr>
      </w:pPr>
      <w:r>
        <w:rPr>
          <w:sz w:val="24"/>
          <w:lang w:val="en-US"/>
        </w:rPr>
        <w:t xml:space="preserve">Provide relevant information regarding Latin American derivatives and risk management to members and potential members and other interested parties, including through the ISDA website. </w:t>
      </w:r>
      <w:r>
        <w:rPr>
          <w:b/>
          <w:sz w:val="24"/>
          <w:u w:val="single"/>
        </w:rPr>
        <w:t>Timing: Ongoing</w:t>
      </w:r>
    </w:p>
    <w:p>
      <w:pPr>
        <w:pStyle w:val="Header"/>
        <w:tabs>
          <w:tab w:val="clear" w:pos="4320"/>
          <w:tab w:val="clear" w:pos="8640"/>
          <w:tab w:val="left" w:pos="11482" w:leader="none"/>
        </w:tabs>
        <w:jc w:val="both"/>
        <w:rPr>
          <w:b/>
          <w:sz w:val="24"/>
          <w:lang w:val="en-US"/>
        </w:rPr>
      </w:pPr>
      <w:r>
        <w:rPr>
          <w:b/>
          <w:sz w:val="24"/>
          <w:lang w:val="en-US"/>
        </w:rPr>
      </w:r>
    </w:p>
    <w:p>
      <w:pPr>
        <w:pStyle w:val="Header"/>
        <w:tabs>
          <w:tab w:val="clear" w:pos="4320"/>
          <w:tab w:val="clear" w:pos="8640"/>
          <w:tab w:val="left" w:pos="11482" w:leader="none"/>
        </w:tabs>
        <w:jc w:val="both"/>
        <w:rPr>
          <w:b/>
          <w:sz w:val="24"/>
          <w:lang w:val="en-US"/>
        </w:rPr>
      </w:pPr>
      <w:r>
        <w:rPr>
          <w:b/>
          <w:sz w:val="24"/>
          <w:lang w:val="en-US"/>
        </w:rPr>
        <w:t>Mexico</w:t>
      </w:r>
    </w:p>
    <w:p>
      <w:pPr>
        <w:pStyle w:val="Header"/>
        <w:tabs>
          <w:tab w:val="clear" w:pos="4320"/>
          <w:tab w:val="clear" w:pos="8640"/>
          <w:tab w:val="left" w:pos="11482" w:leader="none"/>
        </w:tabs>
        <w:jc w:val="both"/>
        <w:rPr>
          <w:b/>
          <w:sz w:val="24"/>
          <w:lang w:val="en-US"/>
        </w:rPr>
      </w:pPr>
      <w:r>
        <w:rPr>
          <w:b/>
          <w:sz w:val="24"/>
          <w:lang w:val="en-US"/>
        </w:rPr>
      </w:r>
    </w:p>
    <w:p>
      <w:pPr>
        <w:pStyle w:val="Header"/>
        <w:numPr>
          <w:ilvl w:val="0"/>
          <w:numId w:val="5"/>
        </w:numPr>
        <w:tabs>
          <w:tab w:val="clear" w:pos="4320"/>
          <w:tab w:val="clear" w:pos="8640"/>
          <w:tab w:val="left" w:pos="11482" w:leader="none"/>
        </w:tabs>
        <w:jc w:val="both"/>
        <w:rPr>
          <w:b/>
          <w:sz w:val="24"/>
          <w:u w:val="single"/>
        </w:rPr>
      </w:pPr>
      <w:r>
        <w:rPr>
          <w:sz w:val="24"/>
        </w:rPr>
        <w:t xml:space="preserve">ISDA conducted a two-day conference on Derivatives and Risk Management in Mexico, with sponsorship from Banco de Mexico, Nacional Financiera, Asociacion de Banqueros de Mexico and MexDer. For additional information attached is a copy of the agenda. </w:t>
      </w:r>
      <w:r>
        <w:rPr>
          <w:b/>
          <w:sz w:val="24"/>
          <w:u w:val="single"/>
        </w:rPr>
        <w:t>Timing: May 7</w:t>
      </w:r>
      <w:r>
        <w:rPr>
          <w:b/>
          <w:sz w:val="24"/>
          <w:u w:val="single"/>
          <w:vertAlign w:val="superscript"/>
        </w:rPr>
        <w:t>th</w:t>
      </w:r>
      <w:r>
        <w:rPr>
          <w:b/>
          <w:sz w:val="24"/>
          <w:u w:val="single"/>
        </w:rPr>
        <w:t xml:space="preserve"> and 8</w:t>
      </w:r>
      <w:r>
        <w:rPr>
          <w:b/>
          <w:sz w:val="24"/>
          <w:u w:val="single"/>
          <w:vertAlign w:val="superscript"/>
        </w:rPr>
        <w:t>th</w:t>
      </w:r>
      <w:r>
        <w:rPr>
          <w:b/>
          <w:sz w:val="24"/>
          <w:u w:val="single"/>
        </w:rPr>
        <w:t xml:space="preserve"> 2001</w:t>
      </w:r>
    </w:p>
    <w:p>
      <w:pPr>
        <w:pStyle w:val="Header"/>
        <w:tabs>
          <w:tab w:val="clear" w:pos="4320"/>
          <w:tab w:val="clear" w:pos="8640"/>
          <w:tab w:val="left" w:pos="11482" w:leader="none"/>
        </w:tabs>
        <w:ind w:start="720" w:end="0"/>
        <w:jc w:val="both"/>
        <w:rPr>
          <w:b/>
          <w:sz w:val="24"/>
          <w:u w:val="single"/>
        </w:rPr>
      </w:pPr>
      <w:r>
        <w:rPr>
          <w:b/>
          <w:sz w:val="24"/>
          <w:u w:val="single"/>
        </w:rPr>
      </w:r>
    </w:p>
    <w:p>
      <w:pPr>
        <w:pStyle w:val="Header"/>
        <w:numPr>
          <w:ilvl w:val="0"/>
          <w:numId w:val="5"/>
        </w:numPr>
        <w:tabs>
          <w:tab w:val="clear" w:pos="4320"/>
          <w:tab w:val="clear" w:pos="8640"/>
          <w:tab w:val="left" w:pos="11482" w:leader="none"/>
        </w:tabs>
        <w:jc w:val="both"/>
        <w:rPr>
          <w:sz w:val="24"/>
        </w:rPr>
      </w:pPr>
      <w:r>
        <w:rPr>
          <w:sz w:val="24"/>
        </w:rPr>
        <w:t xml:space="preserve">In light of the enactment of the Mexican Law on Commercial Reorganizations, which ensures enforceability of close-out netting provisions, ISDA is participating with local members and organizations in the development of local documentation and use of the ISDA master. </w:t>
      </w:r>
      <w:r>
        <w:rPr>
          <w:b/>
          <w:sz w:val="24"/>
          <w:u w:val="single"/>
        </w:rPr>
        <w:t>Timing: Ongoing</w:t>
      </w:r>
    </w:p>
    <w:p>
      <w:pPr>
        <w:pStyle w:val="Header"/>
        <w:tabs>
          <w:tab w:val="clear" w:pos="4320"/>
          <w:tab w:val="clear" w:pos="8640"/>
          <w:tab w:val="left" w:pos="11482" w:leader="none"/>
        </w:tabs>
        <w:jc w:val="both"/>
        <w:rPr>
          <w:sz w:val="24"/>
        </w:rPr>
      </w:pPr>
      <w:r>
        <w:rPr>
          <w:sz w:val="24"/>
        </w:rPr>
      </w:r>
    </w:p>
    <w:p>
      <w:pPr>
        <w:pStyle w:val="Header"/>
        <w:numPr>
          <w:ilvl w:val="0"/>
          <w:numId w:val="5"/>
        </w:numPr>
        <w:tabs>
          <w:tab w:val="clear" w:pos="4320"/>
          <w:tab w:val="clear" w:pos="8640"/>
          <w:tab w:val="left" w:pos="11482" w:leader="none"/>
        </w:tabs>
        <w:jc w:val="both"/>
        <w:rPr>
          <w:sz w:val="24"/>
        </w:rPr>
      </w:pPr>
      <w:r>
        <w:rPr>
          <w:sz w:val="24"/>
        </w:rPr>
        <w:t xml:space="preserve">ISDA will support the development of particular derivatives-related initiatives, including rates such as MEXTIBOR. </w:t>
      </w:r>
      <w:r>
        <w:rPr>
          <w:b/>
          <w:sz w:val="24"/>
          <w:u w:val="single"/>
        </w:rPr>
        <w:t>Timing: Ongoing</w:t>
      </w:r>
    </w:p>
    <w:p>
      <w:pPr>
        <w:pStyle w:val="Header"/>
        <w:tabs>
          <w:tab w:val="clear" w:pos="4320"/>
          <w:tab w:val="clear" w:pos="8640"/>
          <w:tab w:val="left" w:pos="11482" w:leader="none"/>
        </w:tabs>
        <w:jc w:val="both"/>
        <w:rPr>
          <w:sz w:val="24"/>
        </w:rPr>
      </w:pPr>
      <w:r>
        <w:rPr>
          <w:sz w:val="24"/>
        </w:rPr>
      </w:r>
    </w:p>
    <w:p>
      <w:pPr>
        <w:pStyle w:val="Header"/>
        <w:numPr>
          <w:ilvl w:val="0"/>
          <w:numId w:val="5"/>
        </w:numPr>
        <w:tabs>
          <w:tab w:val="clear" w:pos="4320"/>
          <w:tab w:val="clear" w:pos="8640"/>
          <w:tab w:val="left" w:pos="11482" w:leader="none"/>
        </w:tabs>
        <w:jc w:val="both"/>
        <w:rPr>
          <w:sz w:val="24"/>
        </w:rPr>
      </w:pPr>
      <w:r>
        <w:rPr>
          <w:sz w:val="24"/>
        </w:rPr>
        <w:t xml:space="preserve">ISDA is planning a conference on Understanding the 1992 ISDA Master Agreements. </w:t>
      </w:r>
      <w:r>
        <w:rPr>
          <w:b/>
          <w:sz w:val="24"/>
          <w:u w:val="single"/>
        </w:rPr>
        <w:t>Timing: Winter 2001</w:t>
      </w:r>
    </w:p>
    <w:p>
      <w:pPr>
        <w:pStyle w:val="Header"/>
        <w:tabs>
          <w:tab w:val="clear" w:pos="4320"/>
          <w:tab w:val="clear" w:pos="8640"/>
          <w:tab w:val="left" w:pos="11482" w:leader="none"/>
        </w:tabs>
        <w:ind w:start="720" w:end="0"/>
        <w:jc w:val="both"/>
        <w:rPr>
          <w:sz w:val="24"/>
        </w:rPr>
      </w:pPr>
      <w:r>
        <w:rPr>
          <w:sz w:val="24"/>
        </w:rPr>
      </w:r>
    </w:p>
    <w:p>
      <w:pPr>
        <w:pStyle w:val="Header"/>
        <w:tabs>
          <w:tab w:val="clear" w:pos="4320"/>
          <w:tab w:val="clear" w:pos="8640"/>
          <w:tab w:val="left" w:pos="11482" w:leader="none"/>
        </w:tabs>
        <w:jc w:val="both"/>
        <w:rPr>
          <w:sz w:val="24"/>
        </w:rPr>
      </w:pPr>
      <w:r>
        <w:rPr>
          <w:b/>
          <w:sz w:val="24"/>
        </w:rPr>
        <w:t>Brazil</w:t>
      </w:r>
    </w:p>
    <w:p>
      <w:pPr>
        <w:pStyle w:val="Header"/>
        <w:tabs>
          <w:tab w:val="clear" w:pos="4320"/>
          <w:tab w:val="clear" w:pos="8640"/>
          <w:tab w:val="left" w:pos="11482" w:leader="none"/>
        </w:tabs>
        <w:jc w:val="both"/>
        <w:rPr>
          <w:sz w:val="24"/>
        </w:rPr>
      </w:pPr>
      <w:r>
        <w:rPr>
          <w:sz w:val="24"/>
        </w:rPr>
      </w:r>
    </w:p>
    <w:p>
      <w:pPr>
        <w:pStyle w:val="Header"/>
        <w:numPr>
          <w:ilvl w:val="0"/>
          <w:numId w:val="12"/>
        </w:numPr>
        <w:tabs>
          <w:tab w:val="clear" w:pos="4320"/>
          <w:tab w:val="clear" w:pos="8640"/>
          <w:tab w:val="left" w:pos="11482" w:leader="none"/>
        </w:tabs>
        <w:jc w:val="both"/>
        <w:rPr>
          <w:b/>
          <w:sz w:val="24"/>
          <w:u w:val="single"/>
        </w:rPr>
      </w:pPr>
      <w:r>
        <w:rPr>
          <w:sz w:val="24"/>
        </w:rPr>
        <w:t xml:space="preserve">ISDA has been asked to work with local associations, members and other institutions to develop local documentation. Also, ISDA will work with our local member (Bank Itau) and foreign members active in Brazil, as well as with local associations, to facilitate and promote legal certainty regulation and legislation for OTC derivatives transactions. A trip is planned to Brazil to build up on these activities. </w:t>
      </w:r>
      <w:r>
        <w:rPr>
          <w:b/>
          <w:sz w:val="24"/>
          <w:u w:val="single"/>
        </w:rPr>
        <w:t>Timing:Ongoing</w:t>
      </w:r>
    </w:p>
    <w:p>
      <w:pPr>
        <w:pStyle w:val="Header"/>
        <w:tabs>
          <w:tab w:val="clear" w:pos="4320"/>
          <w:tab w:val="clear" w:pos="8640"/>
          <w:tab w:val="left" w:pos="11482" w:leader="none"/>
        </w:tabs>
        <w:jc w:val="both"/>
        <w:rPr>
          <w:b/>
          <w:sz w:val="24"/>
          <w:u w:val="single"/>
        </w:rPr>
      </w:pPr>
      <w:r>
        <w:rPr>
          <w:b/>
          <w:sz w:val="24"/>
          <w:u w:val="single"/>
        </w:rPr>
      </w:r>
    </w:p>
    <w:p>
      <w:pPr>
        <w:pStyle w:val="Header"/>
        <w:numPr>
          <w:ilvl w:val="0"/>
          <w:numId w:val="12"/>
        </w:numPr>
        <w:tabs>
          <w:tab w:val="clear" w:pos="4320"/>
          <w:tab w:val="clear" w:pos="8640"/>
          <w:tab w:val="left" w:pos="11482" w:leader="none"/>
        </w:tabs>
        <w:jc w:val="both"/>
        <w:rPr>
          <w:b/>
          <w:sz w:val="24"/>
          <w:u w:val="single"/>
        </w:rPr>
      </w:pPr>
      <w:r>
        <w:rPr>
          <w:sz w:val="24"/>
        </w:rPr>
        <w:t xml:space="preserve">ISDA intends to become involved in the working groups that are promoting the Brazilian credit derivatives markets. </w:t>
      </w:r>
      <w:r>
        <w:rPr>
          <w:b/>
          <w:sz w:val="24"/>
          <w:u w:val="single"/>
        </w:rPr>
        <w:t>Timing: Ongoing</w:t>
      </w:r>
    </w:p>
    <w:p>
      <w:pPr>
        <w:pStyle w:val="Header"/>
        <w:tabs>
          <w:tab w:val="clear" w:pos="4320"/>
          <w:tab w:val="clear" w:pos="8640"/>
          <w:tab w:val="left" w:pos="11482" w:leader="none"/>
        </w:tabs>
        <w:jc w:val="both"/>
        <w:rPr>
          <w:b/>
          <w:sz w:val="24"/>
          <w:u w:val="single"/>
        </w:rPr>
      </w:pPr>
      <w:r>
        <w:rPr>
          <w:b/>
          <w:sz w:val="24"/>
          <w:u w:val="single"/>
        </w:rPr>
      </w:r>
    </w:p>
    <w:p>
      <w:pPr>
        <w:pStyle w:val="Header"/>
        <w:tabs>
          <w:tab w:val="clear" w:pos="4320"/>
          <w:tab w:val="clear" w:pos="8640"/>
          <w:tab w:val="left" w:pos="11482" w:leader="none"/>
        </w:tabs>
        <w:jc w:val="both"/>
        <w:rPr>
          <w:b/>
          <w:sz w:val="24"/>
          <w:u w:val="single"/>
        </w:rPr>
      </w:pPr>
      <w:r>
        <w:rPr>
          <w:b/>
          <w:sz w:val="24"/>
          <w:u w:val="single"/>
        </w:rPr>
      </w:r>
    </w:p>
    <w:p>
      <w:pPr>
        <w:pStyle w:val="Header"/>
        <w:numPr>
          <w:ilvl w:val="0"/>
          <w:numId w:val="5"/>
        </w:numPr>
        <w:tabs>
          <w:tab w:val="clear" w:pos="4320"/>
          <w:tab w:val="clear" w:pos="8640"/>
          <w:tab w:val="left" w:pos="11482" w:leader="none"/>
        </w:tabs>
        <w:jc w:val="both"/>
        <w:rPr>
          <w:sz w:val="24"/>
        </w:rPr>
      </w:pPr>
      <w:r>
        <w:rPr>
          <w:sz w:val="24"/>
        </w:rPr>
        <w:t xml:space="preserve">ISDA is planning a conference similar to the Derivatives and Risk Management in Mexico.  </w:t>
      </w:r>
      <w:r>
        <w:rPr>
          <w:b/>
          <w:sz w:val="24"/>
          <w:u w:val="single"/>
        </w:rPr>
        <w:t>Timing: Spring 2002</w:t>
      </w:r>
    </w:p>
    <w:p>
      <w:pPr>
        <w:pStyle w:val="Header"/>
        <w:tabs>
          <w:tab w:val="clear" w:pos="4320"/>
          <w:tab w:val="clear" w:pos="8640"/>
          <w:tab w:val="left" w:pos="11482" w:leader="none"/>
        </w:tabs>
        <w:jc w:val="both"/>
        <w:rPr>
          <w:sz w:val="24"/>
        </w:rPr>
      </w:pPr>
      <w:r>
        <w:rPr>
          <w:sz w:val="24"/>
        </w:rPr>
      </w:r>
    </w:p>
    <w:p>
      <w:pPr>
        <w:pStyle w:val="Header"/>
        <w:tabs>
          <w:tab w:val="clear" w:pos="4320"/>
          <w:tab w:val="clear" w:pos="8640"/>
          <w:tab w:val="left" w:pos="11482" w:leader="none"/>
        </w:tabs>
        <w:jc w:val="both"/>
        <w:rPr>
          <w:b/>
          <w:sz w:val="24"/>
        </w:rPr>
      </w:pPr>
      <w:r>
        <w:rPr>
          <w:b/>
          <w:sz w:val="24"/>
        </w:rPr>
      </w:r>
    </w:p>
    <w:p>
      <w:pPr>
        <w:pStyle w:val="Header"/>
        <w:tabs>
          <w:tab w:val="clear" w:pos="4320"/>
          <w:tab w:val="clear" w:pos="8640"/>
          <w:tab w:val="left" w:pos="11482" w:leader="none"/>
        </w:tabs>
        <w:jc w:val="both"/>
        <w:rPr>
          <w:b/>
          <w:sz w:val="24"/>
        </w:rPr>
      </w:pPr>
      <w:r>
        <w:rPr>
          <w:b/>
          <w:sz w:val="24"/>
        </w:rPr>
        <w:t>Argentina/Chile</w:t>
      </w:r>
    </w:p>
    <w:p>
      <w:pPr>
        <w:pStyle w:val="Header"/>
        <w:tabs>
          <w:tab w:val="clear" w:pos="4320"/>
          <w:tab w:val="clear" w:pos="8640"/>
          <w:tab w:val="left" w:pos="11482" w:leader="none"/>
        </w:tabs>
        <w:jc w:val="both"/>
        <w:rPr>
          <w:b/>
          <w:sz w:val="24"/>
        </w:rPr>
      </w:pPr>
      <w:r>
        <w:rPr>
          <w:b/>
          <w:sz w:val="24"/>
        </w:rPr>
      </w:r>
    </w:p>
    <w:p>
      <w:pPr>
        <w:pStyle w:val="Header"/>
        <w:numPr>
          <w:ilvl w:val="0"/>
          <w:numId w:val="4"/>
        </w:numPr>
        <w:tabs>
          <w:tab w:val="clear" w:pos="4320"/>
          <w:tab w:val="clear" w:pos="8640"/>
          <w:tab w:val="left" w:pos="11482" w:leader="none"/>
        </w:tabs>
        <w:jc w:val="both"/>
        <w:rPr>
          <w:sz w:val="24"/>
        </w:rPr>
      </w:pPr>
      <w:r>
        <w:rPr>
          <w:sz w:val="24"/>
        </w:rPr>
        <w:t>The focus o Argentina/Chile for the time being is less intensive than that in Mexico/Brazil</w:t>
      </w:r>
    </w:p>
    <w:p>
      <w:pPr>
        <w:pStyle w:val="Header"/>
        <w:tabs>
          <w:tab w:val="clear" w:pos="4320"/>
          <w:tab w:val="clear" w:pos="8640"/>
          <w:tab w:val="left" w:pos="11482" w:leader="none"/>
        </w:tabs>
        <w:jc w:val="both"/>
        <w:rPr>
          <w:sz w:val="24"/>
        </w:rPr>
      </w:pPr>
      <w:r>
        <w:rPr>
          <w:sz w:val="24"/>
        </w:rPr>
      </w:r>
    </w:p>
    <w:p>
      <w:pPr>
        <w:pStyle w:val="Header"/>
        <w:numPr>
          <w:ilvl w:val="0"/>
          <w:numId w:val="12"/>
        </w:numPr>
        <w:tabs>
          <w:tab w:val="clear" w:pos="4320"/>
          <w:tab w:val="clear" w:pos="8640"/>
          <w:tab w:val="left" w:pos="11482" w:leader="none"/>
        </w:tabs>
        <w:jc w:val="both"/>
        <w:rPr/>
      </w:pPr>
      <w:r>
        <w:rPr>
          <w:sz w:val="24"/>
        </w:rPr>
        <w:t xml:space="preserve">ISDA plans to seek a legal opinion upon the passage of the Close Out and Netting Bill, which is awaiting signature from the Chamber of Deputies. </w:t>
      </w:r>
      <w:r>
        <w:rPr>
          <w:b/>
          <w:sz w:val="24"/>
          <w:u w:val="single"/>
        </w:rPr>
        <w:t>Timing: Ongoing</w:t>
      </w:r>
    </w:p>
    <w:p>
      <w:pPr>
        <w:pStyle w:val="Header"/>
        <w:tabs>
          <w:tab w:val="clear" w:pos="4320"/>
          <w:tab w:val="clear" w:pos="8640"/>
          <w:tab w:val="left" w:pos="11482" w:leader="none"/>
        </w:tabs>
        <w:jc w:val="both"/>
        <w:rPr/>
      </w:pPr>
      <w:r>
        <w:rPr/>
      </w:r>
    </w:p>
    <w:p>
      <w:pPr>
        <w:pStyle w:val="Header"/>
        <w:numPr>
          <w:ilvl w:val="0"/>
          <w:numId w:val="12"/>
        </w:numPr>
        <w:tabs>
          <w:tab w:val="clear" w:pos="4320"/>
          <w:tab w:val="clear" w:pos="8640"/>
          <w:tab w:val="left" w:pos="11482" w:leader="none"/>
        </w:tabs>
        <w:jc w:val="both"/>
        <w:rPr/>
      </w:pPr>
      <w:r>
        <w:rPr>
          <w:sz w:val="24"/>
        </w:rPr>
        <w:t xml:space="preserve">The Argentine Derivatives Association (ADA) master agreement is widely used and recognized in the local Argentine derivatives market. ISDA has been reviewing and comparing to the ISDA master.  In addition, the subcommittee will work to improve and promote its compatibility with the ISDA Master Agreement. </w:t>
      </w:r>
      <w:r>
        <w:rPr>
          <w:b/>
          <w:sz w:val="24"/>
          <w:u w:val="single"/>
        </w:rPr>
        <w:t>Timing: Ongoing</w:t>
      </w:r>
    </w:p>
    <w:p>
      <w:pPr>
        <w:pStyle w:val="Header"/>
        <w:tabs>
          <w:tab w:val="clear" w:pos="4320"/>
          <w:tab w:val="clear" w:pos="8640"/>
          <w:tab w:val="left" w:pos="11482" w:leader="none"/>
        </w:tabs>
        <w:jc w:val="both"/>
        <w:rPr/>
      </w:pPr>
      <w:r>
        <w:rPr/>
      </w:r>
    </w:p>
    <w:p>
      <w:pPr>
        <w:pStyle w:val="Header"/>
        <w:numPr>
          <w:ilvl w:val="0"/>
          <w:numId w:val="5"/>
        </w:numPr>
        <w:tabs>
          <w:tab w:val="clear" w:pos="4320"/>
          <w:tab w:val="clear" w:pos="8640"/>
          <w:tab w:val="left" w:pos="11482" w:leader="none"/>
        </w:tabs>
        <w:jc w:val="both"/>
        <w:rPr/>
      </w:pPr>
      <w:r>
        <w:rPr>
          <w:sz w:val="24"/>
        </w:rPr>
        <w:t xml:space="preserve">ISDA will continue to support the development of particular initiatives such as BAIBOR. </w:t>
      </w:r>
      <w:r>
        <w:rPr>
          <w:b/>
          <w:sz w:val="24"/>
          <w:u w:val="single"/>
        </w:rPr>
        <w:t>Timing: Ongoing</w:t>
      </w:r>
    </w:p>
    <w:p>
      <w:pPr>
        <w:pStyle w:val="Normal"/>
        <w:rPr/>
      </w:pPr>
      <w:r>
        <w:rPr/>
      </w:r>
    </w:p>
    <w:p>
      <w:pPr>
        <w:pStyle w:val="Normal"/>
        <w:rPr/>
      </w:pPr>
      <w:r>
        <w:rPr/>
      </w:r>
      <w:r>
        <w:br w:type="page"/>
      </w:r>
    </w:p>
    <w:p>
      <w:pPr>
        <w:pStyle w:val="Normal"/>
        <w:rPr/>
      </w:pPr>
      <w:r>
        <w:rPr/>
      </w:r>
    </w:p>
    <w:p>
      <w:pPr>
        <w:pStyle w:val="BodyText"/>
        <w:rPr>
          <w:rFonts w:ascii="Times" w:hAnsi="Times" w:cs="Times"/>
          <w:b/>
          <w:shadow/>
          <w:spacing w:val="20"/>
          <w:sz w:val="28"/>
        </w:rPr>
      </w:pPr>
      <w:r>
        <w:rPr>
          <w:rFonts w:cs="Times" w:ascii="Times" w:hAnsi="Times"/>
          <w:b/>
          <w:shadow/>
          <w:spacing w:val="20"/>
          <w:sz w:val="28"/>
        </w:rPr>
        <w:t>Derivatives and Risk Management in Mexico</w:t>
      </w:r>
    </w:p>
    <w:p>
      <w:pPr>
        <w:pStyle w:val="BodyText"/>
        <w:rPr>
          <w:rFonts w:ascii="Times" w:hAnsi="Times" w:cs="Times"/>
          <w:b/>
          <w:shadow/>
          <w:spacing w:val="20"/>
          <w:sz w:val="28"/>
        </w:rPr>
      </w:pPr>
      <w:r>
        <w:rPr>
          <w:rFonts w:cs="Times" w:ascii="Times" w:hAnsi="Times"/>
          <w:b/>
          <w:shadow/>
          <w:spacing w:val="20"/>
          <w:sz w:val="28"/>
        </w:rPr>
      </w:r>
    </w:p>
    <w:p>
      <w:pPr>
        <w:pStyle w:val="BodyText"/>
        <w:rPr>
          <w:b/>
          <w:sz w:val="22"/>
        </w:rPr>
      </w:pPr>
      <w:r>
        <w:rPr>
          <w:b/>
          <w:sz w:val="22"/>
        </w:rPr>
        <w:t>May 7, 2001, Nacional Financiera Auditorium, Mexico City</w:t>
      </w:r>
    </w:p>
    <w:p>
      <w:pPr>
        <w:pStyle w:val="BodyText"/>
        <w:rPr>
          <w:b/>
          <w:sz w:val="22"/>
        </w:rPr>
      </w:pPr>
      <w:r>
        <w:rPr>
          <w:b/>
          <w:sz w:val="22"/>
        </w:rPr>
      </w:r>
    </w:p>
    <w:p>
      <w:pPr>
        <w:pStyle w:val="Normal"/>
        <w:pBdr>
          <w:top w:val="single" w:sz="12" w:space="1" w:color="000000"/>
          <w:left w:val="single" w:sz="12" w:space="0" w:color="000000"/>
          <w:bottom w:val="single" w:sz="12" w:space="1" w:color="000000"/>
          <w:right w:val="single" w:sz="12" w:space="0" w:color="000000"/>
        </w:pBdr>
        <w:shd w:fill="E0E0E0" w:val="clear"/>
        <w:tabs>
          <w:tab w:val="clear" w:pos="720"/>
          <w:tab w:val="left" w:pos="1800" w:leader="none"/>
        </w:tabs>
        <w:ind w:start="180" w:end="216"/>
        <w:jc w:val="center"/>
        <w:rPr>
          <w:b/>
        </w:rPr>
      </w:pPr>
      <w:r>
        <w:rPr>
          <w:b/>
        </w:rPr>
        <w:t>PROGRAM AGENDA</w:t>
      </w:r>
    </w:p>
    <w:p>
      <w:pPr>
        <w:pStyle w:val="Normal"/>
        <w:tabs>
          <w:tab w:val="clear" w:pos="720"/>
          <w:tab w:val="left" w:pos="1800" w:leader="none"/>
        </w:tabs>
        <w:rPr>
          <w:b/>
        </w:rPr>
      </w:pPr>
      <w:r>
        <w:rPr>
          <w:b/>
        </w:rPr>
      </w:r>
    </w:p>
    <w:p>
      <w:pPr>
        <w:pStyle w:val="Normal"/>
        <w:tabs>
          <w:tab w:val="clear" w:pos="720"/>
          <w:tab w:val="left" w:pos="1800" w:leader="none"/>
        </w:tabs>
        <w:ind w:start="180" w:end="0"/>
        <w:rPr>
          <w:sz w:val="22"/>
        </w:rPr>
      </w:pPr>
      <w:r>
        <w:rPr>
          <w:b/>
          <w:sz w:val="22"/>
        </w:rPr>
        <w:t xml:space="preserve">  </w:t>
      </w:r>
      <w:r>
        <w:rPr>
          <w:b/>
          <w:sz w:val="22"/>
        </w:rPr>
        <w:t>8:15 AM</w:t>
        <w:tab/>
        <w:t xml:space="preserve">Registration and Continental Breakfast </w:t>
      </w:r>
    </w:p>
    <w:p>
      <w:pPr>
        <w:pStyle w:val="Normal"/>
        <w:tabs>
          <w:tab w:val="clear" w:pos="720"/>
          <w:tab w:val="left" w:pos="1800" w:leader="none"/>
        </w:tabs>
        <w:rPr>
          <w:b/>
          <w:sz w:val="22"/>
        </w:rPr>
      </w:pPr>
      <w:r>
        <w:rPr>
          <w:b/>
          <w:sz w:val="22"/>
        </w:rPr>
      </w:r>
    </w:p>
    <w:p>
      <w:pPr>
        <w:pStyle w:val="Normal"/>
        <w:tabs>
          <w:tab w:val="clear" w:pos="720"/>
          <w:tab w:val="left" w:pos="1800" w:leader="none"/>
        </w:tabs>
        <w:ind w:start="180" w:end="0"/>
        <w:rPr>
          <w:b/>
          <w:sz w:val="22"/>
        </w:rPr>
      </w:pPr>
      <w:r>
        <w:rPr>
          <w:b/>
          <w:sz w:val="22"/>
        </w:rPr>
        <w:t xml:space="preserve">  </w:t>
      </w:r>
      <w:r>
        <w:rPr>
          <w:b/>
          <w:sz w:val="22"/>
        </w:rPr>
        <w:t>8:45 AM</w:t>
        <w:tab/>
        <w:t>Welcoming Remarks</w:t>
        <w:tab/>
      </w:r>
    </w:p>
    <w:p>
      <w:pPr>
        <w:pStyle w:val="Normal"/>
        <w:tabs>
          <w:tab w:val="clear" w:pos="720"/>
          <w:tab w:val="left" w:pos="1800" w:leader="none"/>
        </w:tabs>
        <w:rPr/>
      </w:pPr>
      <w:r>
        <w:rPr>
          <w:b/>
          <w:sz w:val="22"/>
        </w:rPr>
        <w:tab/>
      </w:r>
      <w:r>
        <w:rPr>
          <w:b/>
          <w:i/>
          <w:sz w:val="22"/>
        </w:rPr>
        <w:t>Federico Patiño, Deputy Financial Officer, Nacional Financiera, S.N.C.</w:t>
      </w:r>
    </w:p>
    <w:p>
      <w:pPr>
        <w:pStyle w:val="Normal"/>
        <w:tabs>
          <w:tab w:val="clear" w:pos="720"/>
          <w:tab w:val="left" w:pos="1800" w:leader="none"/>
        </w:tabs>
        <w:ind w:start="180" w:end="0"/>
        <w:rPr>
          <w:b/>
          <w:i/>
          <w:i/>
          <w:sz w:val="22"/>
        </w:rPr>
      </w:pPr>
      <w:r>
        <w:rPr>
          <w:b/>
          <w:i/>
          <w:sz w:val="22"/>
        </w:rPr>
      </w:r>
    </w:p>
    <w:p>
      <w:pPr>
        <w:pStyle w:val="Normal"/>
        <w:tabs>
          <w:tab w:val="clear" w:pos="720"/>
          <w:tab w:val="left" w:pos="1800" w:leader="none"/>
        </w:tabs>
        <w:ind w:start="180" w:end="0"/>
        <w:rPr/>
      </w:pPr>
      <w:r>
        <w:rPr>
          <w:b/>
          <w:sz w:val="22"/>
        </w:rPr>
        <w:t xml:space="preserve">  </w:t>
      </w:r>
      <w:r>
        <w:rPr>
          <w:b/>
          <w:sz w:val="22"/>
        </w:rPr>
        <w:t>9:00 AM</w:t>
      </w:r>
      <w:r>
        <w:rPr>
          <w:b/>
          <w:i/>
          <w:sz w:val="22"/>
        </w:rPr>
        <w:tab/>
      </w:r>
      <w:r>
        <w:rPr>
          <w:b/>
          <w:sz w:val="22"/>
        </w:rPr>
        <w:t>Introduction</w:t>
        <w:tab/>
      </w:r>
    </w:p>
    <w:p>
      <w:pPr>
        <w:pStyle w:val="Normal"/>
        <w:tabs>
          <w:tab w:val="clear" w:pos="720"/>
          <w:tab w:val="left" w:pos="1800" w:leader="none"/>
        </w:tabs>
        <w:rPr/>
      </w:pPr>
      <w:r>
        <w:rPr>
          <w:b/>
          <w:sz w:val="22"/>
        </w:rPr>
        <w:tab/>
      </w:r>
      <w:r>
        <w:rPr>
          <w:b/>
          <w:i/>
          <w:sz w:val="22"/>
        </w:rPr>
        <w:t>Robert Pickel, Executive Director and Chief Executive Officer, ISDA</w:t>
      </w:r>
    </w:p>
    <w:p>
      <w:pPr>
        <w:pStyle w:val="Normal"/>
        <w:tabs>
          <w:tab w:val="clear" w:pos="720"/>
          <w:tab w:val="left" w:pos="1800" w:leader="none"/>
        </w:tabs>
        <w:ind w:start="180" w:end="0"/>
        <w:rPr>
          <w:b/>
          <w:i/>
          <w:i/>
          <w:sz w:val="22"/>
        </w:rPr>
      </w:pPr>
      <w:r>
        <w:rPr>
          <w:b/>
          <w:i/>
          <w:sz w:val="22"/>
        </w:rPr>
      </w:r>
    </w:p>
    <w:p>
      <w:pPr>
        <w:pStyle w:val="Normal"/>
        <w:tabs>
          <w:tab w:val="clear" w:pos="720"/>
          <w:tab w:val="left" w:pos="1800" w:leader="none"/>
        </w:tabs>
        <w:ind w:start="180" w:end="0"/>
        <w:rPr>
          <w:b/>
          <w:sz w:val="22"/>
        </w:rPr>
      </w:pPr>
      <w:r>
        <w:rPr>
          <w:b/>
          <w:sz w:val="22"/>
        </w:rPr>
        <w:t xml:space="preserve">  </w:t>
      </w:r>
      <w:r>
        <w:rPr>
          <w:b/>
          <w:sz w:val="22"/>
        </w:rPr>
        <w:t>9:15 AM</w:t>
        <w:tab/>
        <w:t>Opening Keynote Address</w:t>
      </w:r>
    </w:p>
    <w:p>
      <w:pPr>
        <w:pStyle w:val="Normal"/>
        <w:tabs>
          <w:tab w:val="clear" w:pos="720"/>
          <w:tab w:val="left" w:pos="1800" w:leader="none"/>
        </w:tabs>
        <w:rPr>
          <w:b/>
          <w:sz w:val="22"/>
        </w:rPr>
      </w:pPr>
      <w:r>
        <w:rPr>
          <w:b/>
          <w:sz w:val="22"/>
        </w:rPr>
        <w:tab/>
        <w:t>Derivatives and Risk Management in Mexico</w:t>
      </w:r>
    </w:p>
    <w:p>
      <w:pPr>
        <w:pStyle w:val="Normal"/>
        <w:tabs>
          <w:tab w:val="clear" w:pos="720"/>
          <w:tab w:val="left" w:pos="1800" w:leader="none"/>
        </w:tabs>
        <w:rPr>
          <w:b/>
          <w:sz w:val="22"/>
        </w:rPr>
      </w:pPr>
      <w:r>
        <w:rPr>
          <w:b/>
          <w:sz w:val="22"/>
        </w:rPr>
        <w:tab/>
      </w:r>
      <w:r>
        <w:rPr>
          <w:b/>
          <w:i/>
          <w:sz w:val="22"/>
        </w:rPr>
        <w:t>Guillermo Guemez-Garcia, Deputy Governor, Banco de Mexico</w:t>
      </w:r>
    </w:p>
    <w:p>
      <w:pPr>
        <w:pStyle w:val="Normal"/>
        <w:tabs>
          <w:tab w:val="clear" w:pos="720"/>
          <w:tab w:val="left" w:pos="0" w:leader="none"/>
          <w:tab w:val="left" w:pos="630" w:leader="none"/>
          <w:tab w:val="left" w:pos="1800" w:leader="none"/>
        </w:tabs>
        <w:rPr>
          <w:b/>
          <w:sz w:val="22"/>
        </w:rPr>
      </w:pPr>
      <w:r>
        <w:rPr>
          <w:b/>
          <w:sz w:val="22"/>
        </w:rPr>
      </w:r>
    </w:p>
    <w:p>
      <w:pPr>
        <w:pStyle w:val="Normal"/>
        <w:tabs>
          <w:tab w:val="left" w:pos="-90" w:leader="none"/>
          <w:tab w:val="left" w:pos="180" w:leader="none"/>
          <w:tab w:val="left" w:pos="720" w:leader="none"/>
          <w:tab w:val="left" w:pos="1800" w:leader="none"/>
        </w:tabs>
        <w:ind w:start="-90" w:end="0"/>
        <w:rPr>
          <w:b/>
          <w:sz w:val="22"/>
        </w:rPr>
      </w:pPr>
      <w:r>
        <w:rPr>
          <w:b/>
          <w:sz w:val="22"/>
        </w:rPr>
        <w:t xml:space="preserve">    </w:t>
      </w:r>
      <w:r>
        <w:rPr>
          <w:b/>
          <w:sz w:val="22"/>
        </w:rPr>
        <w:tab/>
        <w:t xml:space="preserve">  9:45 AM</w:t>
        <w:tab/>
        <w:t>History and Development of OTC Derivatives:  The Building Blocks</w:t>
      </w:r>
    </w:p>
    <w:p>
      <w:pPr>
        <w:pStyle w:val="Normal"/>
        <w:tabs>
          <w:tab w:val="left" w:pos="-90" w:leader="none"/>
          <w:tab w:val="left" w:pos="720" w:leader="none"/>
          <w:tab w:val="left" w:pos="1800" w:leader="none"/>
        </w:tabs>
        <w:ind w:start="-90" w:end="0"/>
        <w:rPr/>
      </w:pPr>
      <w:r>
        <w:rPr>
          <w:b/>
          <w:sz w:val="22"/>
        </w:rPr>
        <w:tab/>
        <w:tab/>
      </w:r>
      <w:r>
        <w:rPr>
          <w:b/>
          <w:i/>
          <w:sz w:val="22"/>
        </w:rPr>
        <w:t xml:space="preserve">José Manuel Hernández-Beneyto, ISDA Board Member and </w:t>
      </w:r>
    </w:p>
    <w:p>
      <w:pPr>
        <w:pStyle w:val="Normal"/>
        <w:tabs>
          <w:tab w:val="left" w:pos="-90" w:leader="none"/>
          <w:tab w:val="left" w:pos="720" w:leader="none"/>
          <w:tab w:val="left" w:pos="1800" w:leader="none"/>
        </w:tabs>
        <w:ind w:start="-90" w:end="0"/>
        <w:rPr>
          <w:b/>
          <w:sz w:val="22"/>
        </w:rPr>
      </w:pPr>
      <w:r>
        <w:rPr>
          <w:b/>
          <w:i/>
          <w:sz w:val="22"/>
        </w:rPr>
        <w:tab/>
        <w:tab/>
        <w:t xml:space="preserve">    Director</w:t>
      </w:r>
      <w:r>
        <w:rPr>
          <w:i/>
          <w:iCs/>
          <w:sz w:val="20"/>
        </w:rPr>
        <w:t xml:space="preserve"> </w:t>
      </w:r>
      <w:r>
        <w:rPr>
          <w:b/>
          <w:bCs/>
          <w:i/>
          <w:iCs/>
          <w:sz w:val="22"/>
        </w:rPr>
        <w:t>General Adjunto</w:t>
      </w:r>
      <w:r>
        <w:rPr>
          <w:b/>
          <w:i/>
          <w:sz w:val="22"/>
        </w:rPr>
        <w:t>, Banco Santander Central Hispano, S.A.</w:t>
      </w:r>
    </w:p>
    <w:p>
      <w:pPr>
        <w:pStyle w:val="PlainText"/>
        <w:tabs>
          <w:tab w:val="clear" w:pos="720"/>
          <w:tab w:val="left" w:pos="1800" w:leader="none"/>
        </w:tabs>
        <w:ind w:start="1440" w:end="0"/>
        <w:rPr/>
      </w:pPr>
      <w:r>
        <w:rPr>
          <w:b/>
          <w:sz w:val="22"/>
        </w:rPr>
        <w:tab/>
      </w:r>
      <w:r>
        <w:rPr>
          <w:rFonts w:cs="Times New Roman" w:ascii="Times New Roman" w:hAnsi="Times New Roman"/>
          <w:b/>
          <w:i/>
          <w:sz w:val="22"/>
        </w:rPr>
        <w:t>David L. Mengle, Vice President, J.P. Morgan Securities Inc. and</w:t>
      </w:r>
    </w:p>
    <w:p>
      <w:pPr>
        <w:pStyle w:val="PlainText"/>
        <w:tabs>
          <w:tab w:val="clear" w:pos="720"/>
          <w:tab w:val="left" w:pos="1800" w:leader="none"/>
        </w:tabs>
        <w:ind w:start="1440" w:end="0"/>
        <w:rPr>
          <w:rFonts w:ascii="Times New Roman" w:hAnsi="Times New Roman" w:cs="Times New Roman"/>
          <w:sz w:val="22"/>
        </w:rPr>
      </w:pPr>
      <w:r>
        <w:rPr>
          <w:rFonts w:cs="Times New Roman" w:ascii="Times New Roman" w:hAnsi="Times New Roman"/>
          <w:b/>
          <w:i/>
          <w:sz w:val="22"/>
        </w:rPr>
        <w:tab/>
        <w:t xml:space="preserve">    Adjunct Associate Professor, Fordham University Graduate School of Business</w:t>
      </w:r>
    </w:p>
    <w:p>
      <w:pPr>
        <w:pStyle w:val="Normal"/>
        <w:tabs>
          <w:tab w:val="left" w:pos="-90" w:leader="none"/>
          <w:tab w:val="left" w:pos="720" w:leader="none"/>
          <w:tab w:val="left" w:pos="1800" w:leader="none"/>
        </w:tabs>
        <w:ind w:start="-90" w:end="0"/>
        <w:rPr>
          <w:rFonts w:ascii="Times New Roman" w:hAnsi="Times New Roman" w:cs="Times New Roman"/>
          <w:b/>
          <w:sz w:val="22"/>
        </w:rPr>
      </w:pPr>
      <w:r>
        <w:rPr>
          <w:rFonts w:cs="Times New Roman"/>
          <w:b/>
          <w:sz w:val="22"/>
        </w:rPr>
      </w:r>
    </w:p>
    <w:p>
      <w:pPr>
        <w:pStyle w:val="Normal"/>
        <w:tabs>
          <w:tab w:val="left" w:pos="-90" w:leader="none"/>
          <w:tab w:val="left" w:pos="720" w:leader="none"/>
          <w:tab w:val="left" w:pos="1800" w:leader="none"/>
        </w:tabs>
        <w:ind w:start="-90" w:end="0"/>
        <w:rPr>
          <w:sz w:val="22"/>
        </w:rPr>
      </w:pPr>
      <w:r>
        <w:rPr>
          <w:b/>
          <w:sz w:val="22"/>
        </w:rPr>
        <w:tab/>
        <w:tab/>
        <w:t>Fundamentals of Derivatives:  Use and</w:t>
      </w:r>
      <w:r>
        <w:rPr>
          <w:sz w:val="22"/>
        </w:rPr>
        <w:t xml:space="preserve"> </w:t>
      </w:r>
      <w:r>
        <w:rPr>
          <w:b/>
          <w:sz w:val="22"/>
        </w:rPr>
        <w:t>Application</w:t>
      </w:r>
    </w:p>
    <w:p>
      <w:pPr>
        <w:pStyle w:val="Normal"/>
        <w:numPr>
          <w:ilvl w:val="1"/>
          <w:numId w:val="3"/>
        </w:numPr>
        <w:tabs>
          <w:tab w:val="clear" w:pos="720"/>
          <w:tab w:val="left" w:pos="2430" w:leader="none"/>
          <w:tab w:val="left" w:pos="2700" w:leader="none"/>
        </w:tabs>
        <w:ind w:firstLine="900" w:start="1440" w:end="0"/>
        <w:rPr>
          <w:sz w:val="22"/>
        </w:rPr>
      </w:pPr>
      <w:r>
        <w:rPr>
          <w:sz w:val="22"/>
        </w:rPr>
        <w:t>What are they?</w:t>
      </w:r>
    </w:p>
    <w:p>
      <w:pPr>
        <w:pStyle w:val="Normal"/>
        <w:numPr>
          <w:ilvl w:val="1"/>
          <w:numId w:val="3"/>
        </w:numPr>
        <w:tabs>
          <w:tab w:val="clear" w:pos="720"/>
          <w:tab w:val="left" w:pos="2430" w:leader="none"/>
          <w:tab w:val="left" w:pos="2700" w:leader="none"/>
        </w:tabs>
        <w:ind w:firstLine="900" w:start="1440" w:end="0"/>
        <w:rPr>
          <w:sz w:val="22"/>
        </w:rPr>
      </w:pPr>
      <w:r>
        <w:rPr>
          <w:sz w:val="22"/>
        </w:rPr>
        <w:t>How do they work?</w:t>
      </w:r>
    </w:p>
    <w:p>
      <w:pPr>
        <w:pStyle w:val="Normal"/>
        <w:numPr>
          <w:ilvl w:val="1"/>
          <w:numId w:val="3"/>
        </w:numPr>
        <w:tabs>
          <w:tab w:val="clear" w:pos="720"/>
          <w:tab w:val="left" w:pos="2430" w:leader="none"/>
          <w:tab w:val="left" w:pos="2700" w:leader="none"/>
        </w:tabs>
        <w:ind w:firstLine="900" w:start="1440" w:end="0"/>
        <w:rPr>
          <w:sz w:val="22"/>
        </w:rPr>
      </w:pPr>
      <w:r>
        <w:rPr>
          <w:sz w:val="22"/>
        </w:rPr>
        <w:t>What types of structures are in the market?</w:t>
      </w:r>
    </w:p>
    <w:p>
      <w:pPr>
        <w:pStyle w:val="Normal"/>
        <w:numPr>
          <w:ilvl w:val="1"/>
          <w:numId w:val="3"/>
        </w:numPr>
        <w:tabs>
          <w:tab w:val="clear" w:pos="720"/>
          <w:tab w:val="left" w:pos="2430" w:leader="none"/>
          <w:tab w:val="left" w:pos="2700" w:leader="none"/>
        </w:tabs>
        <w:ind w:firstLine="900" w:start="1440" w:end="0"/>
        <w:rPr>
          <w:sz w:val="22"/>
        </w:rPr>
      </w:pPr>
      <w:r>
        <w:rPr>
          <w:sz w:val="22"/>
        </w:rPr>
        <w:t>Why use them?</w:t>
      </w:r>
    </w:p>
    <w:p>
      <w:pPr>
        <w:pStyle w:val="Normal"/>
        <w:numPr>
          <w:ilvl w:val="1"/>
          <w:numId w:val="3"/>
        </w:numPr>
        <w:tabs>
          <w:tab w:val="clear" w:pos="720"/>
          <w:tab w:val="left" w:pos="2430" w:leader="none"/>
          <w:tab w:val="left" w:pos="2700" w:leader="none"/>
        </w:tabs>
        <w:ind w:firstLine="900" w:start="1440" w:end="0"/>
        <w:rPr>
          <w:sz w:val="22"/>
        </w:rPr>
      </w:pPr>
      <w:r>
        <w:rPr>
          <w:sz w:val="22"/>
        </w:rPr>
        <w:t>What risks do they manage?</w:t>
      </w:r>
    </w:p>
    <w:p>
      <w:pPr>
        <w:pStyle w:val="Normal"/>
        <w:numPr>
          <w:ilvl w:val="1"/>
          <w:numId w:val="3"/>
        </w:numPr>
        <w:tabs>
          <w:tab w:val="clear" w:pos="720"/>
          <w:tab w:val="left" w:pos="2430" w:leader="none"/>
          <w:tab w:val="left" w:pos="2700" w:leader="none"/>
        </w:tabs>
        <w:ind w:firstLine="900" w:start="1440" w:end="0"/>
        <w:rPr>
          <w:sz w:val="22"/>
        </w:rPr>
      </w:pPr>
      <w:r>
        <w:rPr>
          <w:sz w:val="22"/>
        </w:rPr>
        <w:t>What risk do they involve?</w:t>
      </w:r>
      <w:r>
        <w:rPr>
          <w:b/>
          <w:sz w:val="22"/>
        </w:rPr>
        <w:tab/>
        <w:tab/>
      </w:r>
    </w:p>
    <w:p>
      <w:pPr>
        <w:pStyle w:val="Normal"/>
        <w:tabs>
          <w:tab w:val="clear" w:pos="720"/>
          <w:tab w:val="left" w:pos="1800" w:leader="none"/>
        </w:tabs>
        <w:rPr>
          <w:b/>
          <w:sz w:val="22"/>
        </w:rPr>
      </w:pPr>
      <w:r>
        <w:rPr>
          <w:b/>
          <w:sz w:val="22"/>
        </w:rPr>
      </w:r>
    </w:p>
    <w:p>
      <w:pPr>
        <w:pStyle w:val="Normal"/>
        <w:tabs>
          <w:tab w:val="clear" w:pos="720"/>
          <w:tab w:val="left" w:pos="180" w:leader="none"/>
          <w:tab w:val="left" w:pos="1800" w:leader="none"/>
        </w:tabs>
        <w:ind w:start="-90" w:end="0"/>
        <w:rPr>
          <w:b/>
          <w:sz w:val="22"/>
        </w:rPr>
      </w:pPr>
      <w:r>
        <w:rPr>
          <w:b/>
          <w:sz w:val="22"/>
        </w:rPr>
        <w:t xml:space="preserve">   </w:t>
      </w:r>
      <w:r>
        <w:rPr>
          <w:b/>
          <w:sz w:val="22"/>
        </w:rPr>
        <w:tab/>
        <w:t>11:00 AM</w:t>
        <w:tab/>
        <w:t>Morning Break</w:t>
      </w:r>
    </w:p>
    <w:p>
      <w:pPr>
        <w:pStyle w:val="Normal"/>
        <w:tabs>
          <w:tab w:val="clear" w:pos="720"/>
          <w:tab w:val="left" w:pos="1800" w:leader="none"/>
        </w:tabs>
        <w:ind w:start="-90" w:end="0"/>
        <w:rPr>
          <w:b/>
          <w:sz w:val="22"/>
        </w:rPr>
      </w:pPr>
      <w:r>
        <w:rPr>
          <w:b/>
          <w:sz w:val="22"/>
        </w:rPr>
      </w:r>
    </w:p>
    <w:p>
      <w:pPr>
        <w:pStyle w:val="Normal"/>
        <w:tabs>
          <w:tab w:val="clear" w:pos="720"/>
          <w:tab w:val="left" w:pos="180" w:leader="none"/>
          <w:tab w:val="left" w:pos="1800" w:leader="none"/>
        </w:tabs>
        <w:ind w:start="-90" w:end="0"/>
        <w:rPr/>
      </w:pPr>
      <w:r>
        <w:rPr>
          <w:b/>
          <w:sz w:val="22"/>
        </w:rPr>
        <w:t xml:space="preserve">   </w:t>
      </w:r>
      <w:r>
        <w:rPr>
          <w:b/>
          <w:sz w:val="22"/>
        </w:rPr>
        <w:tab/>
        <w:t>11:30 AM</w:t>
      </w:r>
      <w:r>
        <w:rPr>
          <w:sz w:val="22"/>
        </w:rPr>
        <w:tab/>
      </w:r>
      <w:r>
        <w:rPr>
          <w:b/>
          <w:sz w:val="22"/>
        </w:rPr>
        <w:t>Legal and Regulatory Standards in the Global Derivatives Market</w:t>
      </w:r>
    </w:p>
    <w:p>
      <w:pPr>
        <w:pStyle w:val="Normal"/>
        <w:tabs>
          <w:tab w:val="left" w:pos="-90" w:leader="none"/>
          <w:tab w:val="left" w:pos="720" w:leader="none"/>
          <w:tab w:val="left" w:pos="1800" w:leader="none"/>
        </w:tabs>
        <w:rPr/>
      </w:pPr>
      <w:r>
        <w:rPr>
          <w:b/>
          <w:sz w:val="22"/>
        </w:rPr>
        <w:tab/>
        <w:tab/>
      </w:r>
      <w:r>
        <w:rPr>
          <w:b/>
          <w:i/>
          <w:sz w:val="22"/>
        </w:rPr>
        <w:t xml:space="preserve">Diane Genova, ISDA Board Member, Managing Director and </w:t>
      </w:r>
    </w:p>
    <w:p>
      <w:pPr>
        <w:pStyle w:val="Normal"/>
        <w:tabs>
          <w:tab w:val="left" w:pos="-90" w:leader="none"/>
          <w:tab w:val="left" w:pos="720" w:leader="none"/>
          <w:tab w:val="left" w:pos="1800" w:leader="none"/>
        </w:tabs>
        <w:rPr>
          <w:b/>
          <w:i/>
          <w:i/>
          <w:sz w:val="22"/>
        </w:rPr>
      </w:pPr>
      <w:r>
        <w:rPr>
          <w:b/>
          <w:i/>
          <w:sz w:val="22"/>
        </w:rPr>
        <w:tab/>
        <w:tab/>
        <w:t xml:space="preserve">     Associate General Counsel, J.P.  Morgan Chase &amp; Co.</w:t>
      </w:r>
    </w:p>
    <w:p>
      <w:pPr>
        <w:pStyle w:val="Normal"/>
        <w:tabs>
          <w:tab w:val="left" w:pos="-90" w:leader="none"/>
          <w:tab w:val="left" w:pos="720" w:leader="none"/>
          <w:tab w:val="left" w:pos="1800" w:leader="none"/>
        </w:tabs>
        <w:rPr>
          <w:b/>
          <w:i/>
          <w:i/>
          <w:sz w:val="22"/>
        </w:rPr>
      </w:pPr>
      <w:r>
        <w:rPr>
          <w:b/>
          <w:i/>
          <w:sz w:val="22"/>
        </w:rPr>
      </w:r>
    </w:p>
    <w:p>
      <w:pPr>
        <w:pStyle w:val="Normal"/>
        <w:tabs>
          <w:tab w:val="left" w:pos="-90" w:leader="none"/>
          <w:tab w:val="left" w:pos="180" w:leader="none"/>
          <w:tab w:val="left" w:pos="720" w:leader="none"/>
          <w:tab w:val="left" w:pos="1800" w:leader="none"/>
        </w:tabs>
        <w:ind w:start="-90" w:end="0"/>
        <w:rPr>
          <w:b/>
          <w:sz w:val="22"/>
        </w:rPr>
      </w:pPr>
      <w:r>
        <w:rPr>
          <w:b/>
          <w:sz w:val="22"/>
        </w:rPr>
        <w:t xml:space="preserve">   </w:t>
      </w:r>
      <w:r>
        <w:rPr>
          <w:b/>
          <w:sz w:val="22"/>
        </w:rPr>
        <w:tab/>
        <w:t>12:00 PM</w:t>
        <w:tab/>
        <w:t>Risk Management in the Derivatives Markets</w:t>
      </w:r>
    </w:p>
    <w:p>
      <w:pPr>
        <w:pStyle w:val="Normal"/>
        <w:tabs>
          <w:tab w:val="left" w:pos="-90" w:leader="none"/>
          <w:tab w:val="left" w:pos="720" w:leader="none"/>
          <w:tab w:val="left" w:pos="1800" w:leader="none"/>
        </w:tabs>
        <w:ind w:start="1800" w:end="0"/>
        <w:rPr>
          <w:b/>
          <w:i/>
          <w:i/>
          <w:sz w:val="22"/>
        </w:rPr>
      </w:pPr>
      <w:r>
        <w:rPr>
          <w:b/>
          <w:i/>
          <w:sz w:val="22"/>
        </w:rPr>
        <w:t xml:space="preserve">Robert Mark, ISDA Board Member, Senior Executive Vice President and </w:t>
      </w:r>
    </w:p>
    <w:p>
      <w:pPr>
        <w:pStyle w:val="Normal"/>
        <w:tabs>
          <w:tab w:val="left" w:pos="-90" w:leader="none"/>
          <w:tab w:val="left" w:pos="720" w:leader="none"/>
          <w:tab w:val="left" w:pos="1800" w:leader="none"/>
        </w:tabs>
        <w:rPr>
          <w:b/>
          <w:i/>
          <w:i/>
          <w:sz w:val="22"/>
        </w:rPr>
      </w:pPr>
      <w:r>
        <w:rPr>
          <w:b/>
          <w:i/>
          <w:sz w:val="22"/>
        </w:rPr>
        <w:tab/>
        <w:tab/>
        <w:t xml:space="preserve">    Chief Risk Officer, Canadian Imperial Bank of Commerce </w:t>
      </w:r>
    </w:p>
    <w:p>
      <w:pPr>
        <w:pStyle w:val="Normal"/>
        <w:tabs>
          <w:tab w:val="left" w:pos="-90" w:leader="none"/>
          <w:tab w:val="left" w:pos="720" w:leader="none"/>
          <w:tab w:val="left" w:pos="1800" w:leader="none"/>
        </w:tabs>
        <w:rPr>
          <w:b/>
          <w:sz w:val="22"/>
        </w:rPr>
      </w:pPr>
      <w:r>
        <w:rPr>
          <w:b/>
          <w:i/>
          <w:sz w:val="22"/>
        </w:rPr>
        <w:tab/>
        <w:tab/>
        <w:t>Michel Crouhy, Senior Vice President, Canadian Imperial Bank of Commerce</w:t>
      </w:r>
    </w:p>
    <w:p>
      <w:pPr>
        <w:pStyle w:val="Normal"/>
        <w:tabs>
          <w:tab w:val="clear" w:pos="720"/>
          <w:tab w:val="left" w:pos="0" w:leader="none"/>
          <w:tab w:val="left" w:pos="630" w:leader="none"/>
          <w:tab w:val="left" w:pos="1800" w:leader="none"/>
        </w:tabs>
        <w:rPr>
          <w:b/>
          <w:sz w:val="22"/>
        </w:rPr>
      </w:pPr>
      <w:r>
        <w:rPr>
          <w:b/>
          <w:sz w:val="22"/>
        </w:rPr>
      </w:r>
    </w:p>
    <w:p>
      <w:pPr>
        <w:pStyle w:val="Normal"/>
        <w:tabs>
          <w:tab w:val="clear" w:pos="720"/>
          <w:tab w:val="left" w:pos="180" w:leader="none"/>
          <w:tab w:val="left" w:pos="630" w:leader="none"/>
          <w:tab w:val="left" w:pos="1800" w:leader="none"/>
        </w:tabs>
        <w:rPr/>
      </w:pPr>
      <w:r>
        <w:rPr>
          <w:sz w:val="22"/>
        </w:rPr>
        <w:t xml:space="preserve">  </w:t>
      </w:r>
      <w:r>
        <w:rPr>
          <w:sz w:val="22"/>
        </w:rPr>
        <w:tab/>
        <w:t xml:space="preserve">  </w:t>
      </w:r>
      <w:r>
        <w:rPr>
          <w:b/>
          <w:sz w:val="22"/>
        </w:rPr>
        <w:t>1:15 PM</w:t>
        <w:tab/>
        <w:t xml:space="preserve">Overview of ISDA and Current Activities </w:t>
      </w:r>
    </w:p>
    <w:p>
      <w:pPr>
        <w:pStyle w:val="Normal"/>
        <w:tabs>
          <w:tab w:val="clear" w:pos="720"/>
          <w:tab w:val="left" w:pos="0" w:leader="none"/>
          <w:tab w:val="left" w:pos="630" w:leader="none"/>
          <w:tab w:val="left" w:pos="1800" w:leader="none"/>
        </w:tabs>
        <w:rPr/>
      </w:pPr>
      <w:r>
        <w:rPr>
          <w:b/>
          <w:sz w:val="22"/>
        </w:rPr>
        <w:tab/>
        <w:tab/>
      </w:r>
      <w:r>
        <w:rPr>
          <w:b/>
          <w:i/>
          <w:sz w:val="22"/>
        </w:rPr>
        <w:t>Robert Pickel, Executive Director and Chief Executive Officer, ISDA</w:t>
      </w:r>
    </w:p>
    <w:p>
      <w:pPr>
        <w:pStyle w:val="Heading8"/>
        <w:ind w:hanging="0" w:start="0"/>
        <w:rPr>
          <w:sz w:val="22"/>
        </w:rPr>
      </w:pPr>
      <w:r>
        <w:rPr>
          <w:sz w:val="22"/>
        </w:rPr>
        <w:tab/>
        <w:tab/>
        <w:t>Ruth Ainslie, Senior Policy Director, ISDA</w:t>
      </w:r>
      <w:r>
        <w:rPr>
          <w:b w:val="false"/>
          <w:i w:val="false"/>
          <w:sz w:val="22"/>
        </w:rPr>
        <w:tab/>
      </w:r>
    </w:p>
    <w:p>
      <w:pPr>
        <w:pStyle w:val="Normal"/>
        <w:tabs>
          <w:tab w:val="clear" w:pos="720"/>
          <w:tab w:val="left" w:pos="-90" w:leader="none"/>
          <w:tab w:val="left" w:pos="1800" w:leader="none"/>
          <w:tab w:val="left" w:pos="2340" w:leader="none"/>
          <w:tab w:val="left" w:pos="2700" w:leader="none"/>
        </w:tabs>
        <w:rPr/>
      </w:pPr>
      <w:r>
        <w:rPr>
          <w:b/>
          <w:bCs/>
          <w:sz w:val="22"/>
        </w:rPr>
        <w:tab/>
        <w:tab/>
      </w:r>
      <w:r>
        <w:rPr>
          <w:sz w:val="22"/>
        </w:rPr>
        <w:t>●</w:t>
        <w:tab/>
        <w:t>Documentation: Architecture of the ISDA Master Agreement</w:t>
      </w:r>
    </w:p>
    <w:p>
      <w:pPr>
        <w:pStyle w:val="Normal"/>
        <w:tabs>
          <w:tab w:val="clear" w:pos="720"/>
          <w:tab w:val="left" w:pos="-90" w:leader="none"/>
          <w:tab w:val="left" w:pos="2340" w:leader="none"/>
          <w:tab w:val="left" w:pos="2700" w:leader="none"/>
        </w:tabs>
        <w:ind w:start="2070" w:end="0"/>
        <w:rPr>
          <w:sz w:val="22"/>
        </w:rPr>
      </w:pPr>
      <w:r>
        <w:rPr>
          <w:sz w:val="22"/>
        </w:rPr>
        <w:tab/>
        <w:t>●</w:t>
        <w:tab/>
        <w:t>Risk Management</w:t>
      </w:r>
    </w:p>
    <w:p>
      <w:pPr>
        <w:pStyle w:val="Normal"/>
        <w:tabs>
          <w:tab w:val="left" w:pos="-90" w:leader="none"/>
          <w:tab w:val="left" w:pos="720" w:leader="none"/>
          <w:tab w:val="left" w:pos="1800" w:leader="none"/>
          <w:tab w:val="left" w:pos="2340" w:leader="none"/>
          <w:tab w:val="left" w:pos="2700" w:leader="none"/>
        </w:tabs>
        <w:rPr>
          <w:b/>
          <w:sz w:val="22"/>
        </w:rPr>
      </w:pPr>
      <w:r>
        <w:rPr>
          <w:sz w:val="22"/>
        </w:rPr>
        <w:tab/>
        <w:tab/>
        <w:tab/>
        <w:t>●</w:t>
        <w:tab/>
        <w:t>Global Policy</w:t>
      </w:r>
    </w:p>
    <w:p>
      <w:pPr>
        <w:pStyle w:val="Heading9"/>
        <w:tabs>
          <w:tab w:val="clear" w:pos="720"/>
          <w:tab w:val="left" w:pos="1800" w:leader="none"/>
        </w:tabs>
        <w:ind w:hanging="0" w:start="0"/>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Heading9"/>
        <w:tabs>
          <w:tab w:val="clear" w:pos="720"/>
          <w:tab w:val="left" w:pos="180" w:leader="none"/>
          <w:tab w:val="left" w:pos="1800" w:leader="none"/>
        </w:tabs>
        <w:ind w:hanging="0" w:start="0"/>
        <w:rPr>
          <w:rFonts w:ascii="Times New Roman" w:hAnsi="Times New Roman" w:cs="Times New Roman"/>
          <w:sz w:val="22"/>
        </w:rPr>
      </w:pPr>
      <w:r>
        <w:rPr>
          <w:rFonts w:cs="Times New Roman" w:ascii="Times New Roman" w:hAnsi="Times New Roman"/>
          <w:i w:val="false"/>
          <w:sz w:val="22"/>
        </w:rPr>
        <w:t xml:space="preserve">  </w:t>
      </w:r>
      <w:r>
        <w:rPr>
          <w:rFonts w:cs="Times New Roman" w:ascii="Times New Roman" w:hAnsi="Times New Roman"/>
          <w:i w:val="false"/>
          <w:sz w:val="22"/>
        </w:rPr>
        <w:tab/>
        <w:t xml:space="preserve">  </w:t>
      </w:r>
      <w:r>
        <w:rPr>
          <w:rFonts w:cs="Times New Roman" w:ascii="Times New Roman" w:hAnsi="Times New Roman"/>
          <w:i w:val="false"/>
          <w:iCs/>
          <w:sz w:val="22"/>
        </w:rPr>
        <w:t>2:00 PM</w:t>
      </w:r>
      <w:r>
        <w:rPr>
          <w:rFonts w:cs="Times New Roman" w:ascii="Times New Roman" w:hAnsi="Times New Roman"/>
          <w:sz w:val="22"/>
        </w:rPr>
        <w:tab/>
      </w:r>
      <w:r>
        <w:rPr>
          <w:rFonts w:cs="Times New Roman" w:ascii="Times New Roman" w:hAnsi="Times New Roman"/>
          <w:i w:val="false"/>
          <w:iCs/>
          <w:sz w:val="22"/>
        </w:rPr>
        <w:t>Luncheon</w:t>
      </w:r>
    </w:p>
    <w:p>
      <w:pPr>
        <w:pStyle w:val="Normal"/>
        <w:rPr/>
      </w:pPr>
      <w:r>
        <w:rPr>
          <w:sz w:val="22"/>
        </w:rPr>
        <w:tab/>
        <w:tab/>
      </w:r>
      <w:r>
        <w:rPr>
          <w:b/>
          <w:bCs/>
          <w:i/>
          <w:iCs/>
          <w:sz w:val="22"/>
        </w:rPr>
        <w:t xml:space="preserve">      Jonathan Davis, President, National Banking and Securities Commission</w:t>
      </w:r>
    </w:p>
    <w:p>
      <w:pPr>
        <w:pStyle w:val="Normal"/>
        <w:rPr/>
      </w:pPr>
      <w:r>
        <w:rPr>
          <w:i/>
          <w:iCs/>
        </w:rPr>
        <w:tab/>
        <w:tab/>
      </w:r>
      <w:r>
        <w:rPr>
          <w:b/>
          <w:bCs/>
          <w:i/>
          <w:iCs/>
          <w:sz w:val="22"/>
        </w:rPr>
        <w:t xml:space="preserve">     </w:t>
      </w:r>
      <w:r>
        <w:rPr>
          <w:b/>
          <w:bCs/>
          <w:sz w:val="22"/>
        </w:rPr>
        <w:t>(Location: Esplanade)</w:t>
      </w:r>
    </w:p>
    <w:p>
      <w:pPr>
        <w:pStyle w:val="Heading5"/>
        <w:ind w:hanging="0" w:start="0"/>
        <w:rPr>
          <w:b/>
          <w:bCs/>
          <w:sz w:val="22"/>
          <w:szCs w:val="24"/>
        </w:rPr>
      </w:pPr>
      <w:r>
        <w:rPr>
          <w:b/>
          <w:bCs/>
          <w:sz w:val="22"/>
          <w:szCs w:val="24"/>
        </w:rPr>
      </w:r>
    </w:p>
    <w:p>
      <w:pPr>
        <w:pStyle w:val="Heading5"/>
        <w:ind w:hanging="0" w:start="0"/>
        <w:rPr>
          <w:bCs/>
          <w:sz w:val="22"/>
          <w:szCs w:val="24"/>
        </w:rPr>
      </w:pPr>
      <w:r>
        <w:rPr>
          <w:bCs/>
          <w:sz w:val="22"/>
          <w:szCs w:val="24"/>
        </w:rPr>
      </w:r>
    </w:p>
    <w:p>
      <w:pPr>
        <w:pStyle w:val="Heading5"/>
        <w:ind w:hanging="0" w:start="0"/>
        <w:rPr>
          <w:bCs/>
          <w:sz w:val="22"/>
          <w:szCs w:val="24"/>
        </w:rPr>
      </w:pPr>
      <w:r>
        <w:rPr>
          <w:bCs/>
          <w:sz w:val="22"/>
          <w:szCs w:val="24"/>
        </w:rPr>
        <w:t>Simultaneous translation will be provided</w:t>
      </w:r>
    </w:p>
    <w:p>
      <w:pPr>
        <w:pStyle w:val="Normal"/>
        <w:rPr>
          <w:bCs/>
          <w:sz w:val="22"/>
          <w:szCs w:val="24"/>
        </w:rPr>
      </w:pPr>
      <w:r>
        <w:rPr>
          <w:bCs/>
          <w:sz w:val="22"/>
          <w:szCs w:val="24"/>
        </w:rPr>
      </w:r>
      <w:r>
        <w:br w:type="page"/>
      </w:r>
    </w:p>
    <w:p>
      <w:pPr>
        <w:pStyle w:val="Heading"/>
        <w:tabs>
          <w:tab w:val="clear" w:pos="720"/>
          <w:tab w:val="left" w:pos="2070" w:leader="none"/>
          <w:tab w:val="left" w:pos="7200" w:leader="none"/>
        </w:tabs>
        <w:rPr>
          <w:rFonts w:ascii="Times" w:hAnsi="Times" w:cs="Times"/>
          <w:shadow/>
          <w:spacing w:val="20"/>
          <w:sz w:val="28"/>
        </w:rPr>
      </w:pPr>
      <w:r>
        <w:rPr>
          <w:rFonts w:cs="Times" w:ascii="Times" w:hAnsi="Times"/>
          <w:shadow/>
          <w:spacing w:val="20"/>
          <w:sz w:val="28"/>
        </w:rPr>
        <w:t>Derivatives and Risk Management in Mexico</w:t>
      </w:r>
    </w:p>
    <w:p>
      <w:pPr>
        <w:pStyle w:val="Heading"/>
        <w:tabs>
          <w:tab w:val="clear" w:pos="720"/>
          <w:tab w:val="left" w:pos="2070" w:leader="none"/>
          <w:tab w:val="left" w:pos="7200" w:leader="none"/>
        </w:tabs>
        <w:rPr>
          <w:rFonts w:ascii="Times" w:hAnsi="Times" w:cs="Times"/>
          <w:shadow/>
          <w:spacing w:val="20"/>
          <w:sz w:val="20"/>
        </w:rPr>
      </w:pPr>
      <w:r>
        <w:rPr>
          <w:rFonts w:cs="Times" w:ascii="Times" w:hAnsi="Times"/>
          <w:shadow/>
          <w:spacing w:val="20"/>
          <w:sz w:val="20"/>
        </w:rPr>
      </w:r>
    </w:p>
    <w:p>
      <w:pPr>
        <w:pStyle w:val="BodyText"/>
        <w:rPr>
          <w:b/>
          <w:bCs/>
          <w:sz w:val="22"/>
        </w:rPr>
      </w:pPr>
      <w:r>
        <w:rPr>
          <w:b/>
          <w:bCs/>
          <w:sz w:val="22"/>
        </w:rPr>
        <w:t xml:space="preserve">May 7, 2001, Nacional Financiera Auditorium, Mexico City </w:t>
      </w:r>
    </w:p>
    <w:p>
      <w:pPr>
        <w:pStyle w:val="BodyText"/>
        <w:rPr>
          <w:b/>
          <w:bCs/>
          <w:sz w:val="22"/>
        </w:rPr>
      </w:pPr>
      <w:r>
        <w:rPr>
          <w:b/>
          <w:bCs/>
          <w:sz w:val="22"/>
        </w:rPr>
      </w:r>
    </w:p>
    <w:p>
      <w:pPr>
        <w:pStyle w:val="Heading7"/>
        <w:pBdr>
          <w:top w:val="single" w:sz="12" w:space="1" w:color="000000"/>
          <w:left w:val="single" w:sz="12" w:space="0" w:color="000000"/>
          <w:bottom w:val="single" w:sz="12" w:space="1" w:color="000000"/>
          <w:right w:val="single" w:sz="12" w:space="0" w:color="000000"/>
        </w:pBdr>
        <w:shd w:fill="E0E0E0" w:val="clear"/>
        <w:ind w:hanging="0" w:start="180" w:end="216"/>
        <w:rPr/>
      </w:pPr>
      <w:r>
        <w:rPr/>
        <w:t>PROGRAM AGENDA</w:t>
      </w:r>
    </w:p>
    <w:p>
      <w:pPr>
        <w:pStyle w:val="Normal"/>
        <w:rPr>
          <w:b/>
          <w:sz w:val="22"/>
        </w:rPr>
      </w:pPr>
      <w:r>
        <w:rPr>
          <w:b/>
          <w:sz w:val="22"/>
        </w:rPr>
      </w:r>
    </w:p>
    <w:p>
      <w:pPr>
        <w:pStyle w:val="Normal"/>
        <w:tabs>
          <w:tab w:val="clear" w:pos="720"/>
          <w:tab w:val="left" w:pos="180" w:leader="none"/>
        </w:tabs>
        <w:rPr>
          <w:b/>
          <w:sz w:val="22"/>
        </w:rPr>
      </w:pPr>
      <w:r>
        <w:rPr>
          <w:b/>
          <w:sz w:val="22"/>
        </w:rPr>
        <w:t xml:space="preserve">     </w:t>
      </w:r>
      <w:r>
        <w:rPr>
          <w:b/>
          <w:sz w:val="22"/>
        </w:rPr>
        <w:t>3:30 PM</w:t>
        <w:tab/>
        <w:t xml:space="preserve">       Workshop Sessions:  </w:t>
      </w:r>
    </w:p>
    <w:p>
      <w:pPr>
        <w:pStyle w:val="Normal"/>
        <w:rPr>
          <w:b/>
          <w:sz w:val="22"/>
        </w:rPr>
      </w:pPr>
      <w:r>
        <w:rPr>
          <w:b/>
          <w:sz w:val="22"/>
        </w:rPr>
      </w:r>
    </w:p>
    <w:p>
      <w:pPr>
        <w:pStyle w:val="Normal"/>
        <w:rPr/>
      </w:pPr>
      <w:r>
        <w:rPr>
          <w:b/>
          <w:sz w:val="22"/>
        </w:rPr>
        <w:t xml:space="preserve">   </w:t>
      </w:r>
      <w:r>
        <w:rPr>
          <w:b/>
          <w:sz w:val="22"/>
          <w:u w:val="single"/>
        </w:rPr>
        <w:t>Workshop Choices</w:t>
      </w:r>
      <w:r>
        <w:rPr>
          <w:b/>
          <w:sz w:val="22"/>
        </w:rPr>
        <w:t xml:space="preserve">:  Delegates may select one workshop topic. </w:t>
      </w:r>
    </w:p>
    <w:p>
      <w:pPr>
        <w:pStyle w:val="Normal"/>
        <w:rPr>
          <w:b/>
          <w:sz w:val="22"/>
        </w:rPr>
      </w:pPr>
      <w:r>
        <w:rPr>
          <w:b/>
          <w:sz w:val="22"/>
        </w:rPr>
      </w:r>
    </w:p>
    <w:p>
      <w:pPr>
        <w:pStyle w:val="Normal"/>
        <w:numPr>
          <w:ilvl w:val="0"/>
          <w:numId w:val="7"/>
        </w:numPr>
        <w:ind w:firstLine="180" w:start="900" w:end="0"/>
        <w:rPr>
          <w:b/>
          <w:i/>
          <w:i/>
          <w:sz w:val="22"/>
        </w:rPr>
      </w:pPr>
      <w:r>
        <w:rPr>
          <w:b/>
          <w:sz w:val="22"/>
        </w:rPr>
        <w:t xml:space="preserve">Comparative Analysis: Local Master Agreements and the ISDA Master: </w:t>
      </w:r>
    </w:p>
    <w:p>
      <w:pPr>
        <w:pStyle w:val="Normal"/>
        <w:ind w:firstLine="540" w:start="900" w:end="0"/>
        <w:rPr>
          <w:b/>
          <w:i/>
          <w:i/>
          <w:sz w:val="22"/>
        </w:rPr>
      </w:pPr>
      <w:r>
        <w:rPr>
          <w:b/>
          <w:i/>
          <w:sz w:val="22"/>
        </w:rPr>
        <w:t xml:space="preserve">Diane Genova, ISDA Board Member, Managing Director and Associate General Counsel, </w:t>
      </w:r>
    </w:p>
    <w:p>
      <w:pPr>
        <w:pStyle w:val="Normal"/>
        <w:tabs>
          <w:tab w:val="clear" w:pos="720"/>
          <w:tab w:val="left" w:pos="1440" w:leader="none"/>
        </w:tabs>
        <w:ind w:start="900" w:end="0"/>
        <w:rPr>
          <w:b/>
          <w:i/>
          <w:i/>
          <w:sz w:val="22"/>
        </w:rPr>
      </w:pPr>
      <w:r>
        <w:rPr>
          <w:b/>
          <w:i/>
          <w:sz w:val="22"/>
        </w:rPr>
        <w:t xml:space="preserve">    </w:t>
      </w:r>
      <w:r>
        <w:rPr>
          <w:b/>
          <w:i/>
          <w:sz w:val="22"/>
        </w:rPr>
        <w:tab/>
        <w:t xml:space="preserve">    J.P. Morgan Chase &amp; Co.</w:t>
      </w:r>
    </w:p>
    <w:p>
      <w:pPr>
        <w:pStyle w:val="Normal"/>
        <w:ind w:firstLine="540" w:start="900" w:end="0"/>
        <w:rPr>
          <w:b/>
          <w:i/>
          <w:i/>
          <w:sz w:val="22"/>
        </w:rPr>
      </w:pPr>
      <w:r>
        <w:rPr>
          <w:b/>
          <w:i/>
          <w:sz w:val="22"/>
        </w:rPr>
        <w:t>John P. Emert, Assistant General Counsel, Bank of America</w:t>
      </w:r>
    </w:p>
    <w:p>
      <w:pPr>
        <w:pStyle w:val="Normal"/>
        <w:ind w:firstLine="180" w:start="1260" w:end="0"/>
        <w:rPr>
          <w:b/>
          <w:i/>
          <w:i/>
          <w:sz w:val="22"/>
        </w:rPr>
      </w:pPr>
      <w:r>
        <w:rPr>
          <w:b/>
          <w:i/>
          <w:sz w:val="22"/>
        </w:rPr>
        <w:t>Maria Teresa Vargas de Regil, Director Juridico de Tesoreria, Derivados and Piso Financiero,</w:t>
      </w:r>
    </w:p>
    <w:p>
      <w:pPr>
        <w:pStyle w:val="Normal"/>
        <w:tabs>
          <w:tab w:val="clear" w:pos="720"/>
          <w:tab w:val="left" w:pos="1440" w:leader="none"/>
        </w:tabs>
        <w:ind w:firstLine="720" w:end="0"/>
        <w:rPr>
          <w:b/>
          <w:i/>
          <w:i/>
          <w:sz w:val="22"/>
        </w:rPr>
      </w:pPr>
      <w:r>
        <w:rPr>
          <w:b/>
          <w:i/>
          <w:sz w:val="22"/>
        </w:rPr>
        <w:t xml:space="preserve">       </w:t>
      </w:r>
      <w:r>
        <w:rPr>
          <w:b/>
          <w:i/>
          <w:sz w:val="22"/>
        </w:rPr>
        <w:tab/>
        <w:t xml:space="preserve">    BBVA Bancomer, S.A., Grupo Financiero BBVA Bancomer</w:t>
      </w:r>
    </w:p>
    <w:p>
      <w:pPr>
        <w:pStyle w:val="Normal"/>
        <w:ind w:firstLine="180" w:start="1260" w:end="0"/>
        <w:rPr>
          <w:b/>
          <w:i/>
          <w:i/>
          <w:sz w:val="22"/>
        </w:rPr>
      </w:pPr>
      <w:r>
        <w:rPr>
          <w:b/>
          <w:i/>
          <w:sz w:val="22"/>
        </w:rPr>
        <w:t>Carolina Machado, Vice President and Head of Legal and Compliance, J.P. Morgan Chase – Mexico</w:t>
      </w:r>
    </w:p>
    <w:p>
      <w:pPr>
        <w:pStyle w:val="Normal"/>
        <w:ind w:hanging="360" w:start="1260" w:end="0"/>
        <w:rPr>
          <w:b/>
          <w:i/>
          <w:i/>
          <w:sz w:val="18"/>
        </w:rPr>
      </w:pPr>
      <w:r>
        <w:rPr>
          <w:b/>
          <w:i/>
          <w:sz w:val="18"/>
        </w:rPr>
      </w:r>
    </w:p>
    <w:p>
      <w:pPr>
        <w:pStyle w:val="Normal"/>
        <w:numPr>
          <w:ilvl w:val="1"/>
          <w:numId w:val="7"/>
        </w:numPr>
        <w:ind w:hanging="360" w:start="1800" w:end="0"/>
        <w:rPr>
          <w:b/>
          <w:i/>
          <w:i/>
          <w:sz w:val="22"/>
        </w:rPr>
      </w:pPr>
      <w:r>
        <w:rPr>
          <w:b/>
          <w:sz w:val="22"/>
        </w:rPr>
        <w:t>The 1992 ISDA Master Agreement</w:t>
        <w:tab/>
        <w:tab/>
        <w:tab/>
        <w:t>B.   Local Master Agreements</w:t>
      </w:r>
    </w:p>
    <w:p>
      <w:pPr>
        <w:pStyle w:val="Normal"/>
        <w:numPr>
          <w:ilvl w:val="2"/>
          <w:numId w:val="7"/>
        </w:numPr>
        <w:tabs>
          <w:tab w:val="clear" w:pos="720"/>
          <w:tab w:val="left" w:pos="2160" w:leader="none"/>
          <w:tab w:val="left" w:pos="7560" w:leader="none"/>
          <w:tab w:val="left" w:pos="7920" w:leader="none"/>
        </w:tabs>
        <w:ind w:hanging="540" w:start="2340" w:end="0"/>
        <w:rPr>
          <w:sz w:val="22"/>
        </w:rPr>
      </w:pPr>
      <w:r>
        <w:rPr>
          <w:sz w:val="22"/>
        </w:rPr>
        <w:t>Use and Scope</w:t>
        <w:tab/>
        <w:t>●</w:t>
        <w:tab/>
        <w:t>Development</w:t>
      </w:r>
    </w:p>
    <w:p>
      <w:pPr>
        <w:pStyle w:val="Normal"/>
        <w:numPr>
          <w:ilvl w:val="2"/>
          <w:numId w:val="7"/>
        </w:numPr>
        <w:tabs>
          <w:tab w:val="clear" w:pos="720"/>
          <w:tab w:val="left" w:pos="2160" w:leader="none"/>
          <w:tab w:val="left" w:pos="7560" w:leader="none"/>
        </w:tabs>
        <w:ind w:hanging="540" w:start="2340" w:end="0"/>
        <w:rPr>
          <w:b/>
          <w:sz w:val="22"/>
        </w:rPr>
      </w:pPr>
      <w:r>
        <w:rPr>
          <w:sz w:val="22"/>
        </w:rPr>
        <w:t>Payment Mechanics</w:t>
        <w:tab/>
        <w:t>●    Comparison with ISDA</w:t>
      </w:r>
    </w:p>
    <w:p>
      <w:pPr>
        <w:pStyle w:val="Normal"/>
        <w:numPr>
          <w:ilvl w:val="2"/>
          <w:numId w:val="7"/>
        </w:numPr>
        <w:rPr>
          <w:b/>
          <w:sz w:val="22"/>
        </w:rPr>
      </w:pPr>
      <w:r>
        <w:rPr>
          <w:sz w:val="22"/>
        </w:rPr>
        <w:t>Representations</w:t>
      </w:r>
    </w:p>
    <w:p>
      <w:pPr>
        <w:pStyle w:val="Normal"/>
        <w:numPr>
          <w:ilvl w:val="2"/>
          <w:numId w:val="7"/>
        </w:numPr>
        <w:ind w:hanging="540" w:start="2340" w:end="0"/>
        <w:rPr>
          <w:sz w:val="22"/>
        </w:rPr>
      </w:pPr>
      <w:r>
        <w:rPr>
          <w:sz w:val="22"/>
        </w:rPr>
        <w:t>Single Agreement</w:t>
      </w:r>
    </w:p>
    <w:p>
      <w:pPr>
        <w:pStyle w:val="Normal"/>
        <w:numPr>
          <w:ilvl w:val="2"/>
          <w:numId w:val="7"/>
        </w:numPr>
        <w:tabs>
          <w:tab w:val="clear" w:pos="720"/>
          <w:tab w:val="left" w:pos="1800" w:leader="none"/>
        </w:tabs>
        <w:rPr>
          <w:b/>
          <w:sz w:val="22"/>
        </w:rPr>
      </w:pPr>
      <w:r>
        <w:rPr>
          <w:sz w:val="22"/>
        </w:rPr>
        <w:t>Early Termination</w:t>
      </w:r>
    </w:p>
    <w:p>
      <w:pPr>
        <w:pStyle w:val="Normal"/>
        <w:rPr>
          <w:b/>
          <w:sz w:val="22"/>
        </w:rPr>
      </w:pPr>
      <w:r>
        <w:rPr>
          <w:b/>
          <w:sz w:val="22"/>
        </w:rPr>
      </w:r>
    </w:p>
    <w:p>
      <w:pPr>
        <w:pStyle w:val="Heading3"/>
        <w:numPr>
          <w:ilvl w:val="0"/>
          <w:numId w:val="16"/>
        </w:numPr>
        <w:tabs>
          <w:tab w:val="clear" w:pos="2160"/>
          <w:tab w:val="clear" w:pos="2520"/>
          <w:tab w:val="left" w:pos="900" w:leader="none"/>
        </w:tabs>
        <w:ind w:hanging="540" w:start="1440" w:end="0"/>
        <w:rPr>
          <w:sz w:val="22"/>
        </w:rPr>
      </w:pPr>
      <w:r>
        <w:rPr>
          <w:sz w:val="22"/>
        </w:rPr>
        <w:t>Current Approaches to Risk Management</w:t>
      </w:r>
    </w:p>
    <w:p>
      <w:pPr>
        <w:pStyle w:val="Normal"/>
        <w:tabs>
          <w:tab w:val="clear" w:pos="720"/>
          <w:tab w:val="left" w:pos="900" w:leader="none"/>
        </w:tabs>
        <w:ind w:firstLine="540" w:start="900" w:end="0"/>
        <w:rPr>
          <w:b/>
          <w:bCs/>
          <w:i/>
          <w:i/>
          <w:iCs/>
          <w:sz w:val="22"/>
        </w:rPr>
      </w:pPr>
      <w:r>
        <w:rPr>
          <w:b/>
          <w:bCs/>
          <w:i/>
          <w:iCs/>
          <w:sz w:val="22"/>
        </w:rPr>
        <w:t xml:space="preserve">Robert Mark, ISDA Board Member, Senior Executive Vice President and Chief Risk Officer, </w:t>
      </w:r>
    </w:p>
    <w:p>
      <w:pPr>
        <w:pStyle w:val="Normal"/>
        <w:tabs>
          <w:tab w:val="clear" w:pos="720"/>
          <w:tab w:val="left" w:pos="900" w:leader="none"/>
        </w:tabs>
        <w:ind w:firstLine="540" w:start="900" w:end="0"/>
        <w:rPr/>
      </w:pPr>
      <w:r>
        <w:rPr>
          <w:b/>
          <w:bCs/>
          <w:i/>
          <w:iCs/>
          <w:sz w:val="22"/>
        </w:rPr>
        <w:t xml:space="preserve">    </w:t>
      </w:r>
      <w:r>
        <w:rPr>
          <w:b/>
          <w:bCs/>
          <w:i/>
          <w:iCs/>
          <w:sz w:val="22"/>
        </w:rPr>
        <w:t>Canadian Imperial Bank of Commerce</w:t>
      </w:r>
    </w:p>
    <w:p>
      <w:pPr>
        <w:pStyle w:val="Normal"/>
        <w:tabs>
          <w:tab w:val="clear" w:pos="720"/>
          <w:tab w:val="left" w:pos="900" w:leader="none"/>
          <w:tab w:val="left" w:pos="1440" w:leader="none"/>
        </w:tabs>
        <w:ind w:start="900" w:end="0"/>
        <w:rPr>
          <w:b/>
          <w:bCs/>
          <w:i/>
          <w:i/>
          <w:iCs/>
          <w:sz w:val="22"/>
        </w:rPr>
      </w:pPr>
      <w:r>
        <w:rPr>
          <w:b/>
          <w:bCs/>
          <w:i/>
          <w:iCs/>
          <w:sz w:val="22"/>
        </w:rPr>
        <w:tab/>
        <w:t>Michel Crouhy, Senior Vice President, Canadian Imperial Bank of Commerce</w:t>
      </w:r>
    </w:p>
    <w:p>
      <w:pPr>
        <w:pStyle w:val="Normal"/>
        <w:tabs>
          <w:tab w:val="clear" w:pos="720"/>
          <w:tab w:val="left" w:pos="900" w:leader="none"/>
        </w:tabs>
        <w:autoSpaceDE w:val="false"/>
        <w:ind w:start="900" w:end="0"/>
        <w:rPr/>
      </w:pPr>
      <w:r>
        <w:rPr>
          <w:b/>
          <w:bCs/>
          <w:i/>
          <w:iCs/>
          <w:sz w:val="22"/>
        </w:rPr>
        <w:tab/>
        <w:t xml:space="preserve">Jose Manuel Doiztúa Garcia, </w:t>
      </w:r>
      <w:r>
        <w:rPr>
          <w:b/>
          <w:bCs/>
          <w:i/>
          <w:iCs/>
          <w:sz w:val="22"/>
          <w:szCs w:val="20"/>
        </w:rPr>
        <w:t>Director General, Grupo Financiero BBVA - Bancomer México</w:t>
      </w:r>
      <w:r>
        <w:rPr>
          <w:b/>
          <w:bCs/>
          <w:i/>
          <w:iCs/>
          <w:sz w:val="22"/>
        </w:rPr>
        <w:t xml:space="preserve"> </w:t>
      </w:r>
    </w:p>
    <w:p>
      <w:pPr>
        <w:pStyle w:val="Heading1"/>
        <w:tabs>
          <w:tab w:val="clear" w:pos="720"/>
          <w:tab w:val="left" w:pos="900" w:leader="none"/>
        </w:tabs>
        <w:ind w:start="900" w:end="0"/>
        <w:rPr>
          <w:bCs/>
          <w:sz w:val="22"/>
        </w:rPr>
      </w:pPr>
      <w:r>
        <w:rPr>
          <w:bCs/>
          <w:sz w:val="22"/>
        </w:rPr>
        <w:tab/>
        <w:t>Javier Márquez Diez-Canedo, Manager, Banco de Mexico</w:t>
      </w:r>
    </w:p>
    <w:p>
      <w:pPr>
        <w:pStyle w:val="Normal"/>
        <w:tabs>
          <w:tab w:val="clear" w:pos="720"/>
          <w:tab w:val="left" w:pos="900" w:leader="none"/>
        </w:tabs>
        <w:ind w:start="900" w:end="0"/>
        <w:rPr>
          <w:b/>
          <w:bCs/>
          <w:i/>
          <w:i/>
          <w:iCs/>
          <w:sz w:val="22"/>
        </w:rPr>
      </w:pPr>
      <w:r>
        <w:rPr>
          <w:b/>
          <w:bCs/>
          <w:i/>
          <w:iCs/>
          <w:sz w:val="22"/>
        </w:rPr>
        <w:tab/>
        <w:t>Pascual R. O’Dogherty, Director of Financial Sector Analysis, Banco de Mexico</w:t>
      </w:r>
    </w:p>
    <w:p>
      <w:pPr>
        <w:pStyle w:val="Normal"/>
        <w:ind w:hanging="360" w:start="1440" w:end="0"/>
        <w:rPr>
          <w:sz w:val="22"/>
        </w:rPr>
      </w:pPr>
      <w:r>
        <w:rPr>
          <w:b/>
          <w:bCs/>
          <w:i/>
          <w:iCs/>
          <w:sz w:val="22"/>
        </w:rPr>
        <w:tab/>
        <w:t>Guillermo Zamarripa, Vice President, CNBV</w:t>
      </w:r>
      <w:r>
        <w:rPr>
          <w:b/>
          <w:sz w:val="22"/>
        </w:rPr>
        <w:t xml:space="preserve"> </w:t>
      </w:r>
    </w:p>
    <w:p>
      <w:pPr>
        <w:pStyle w:val="Normal"/>
        <w:ind w:start="1080" w:end="0"/>
        <w:rPr>
          <w:b/>
          <w:bCs/>
          <w:sz w:val="18"/>
        </w:rPr>
      </w:pPr>
      <w:r>
        <w:rPr>
          <w:b/>
          <w:bCs/>
          <w:sz w:val="18"/>
        </w:rPr>
      </w:r>
    </w:p>
    <w:p>
      <w:pPr>
        <w:pStyle w:val="Normal"/>
        <w:tabs>
          <w:tab w:val="clear" w:pos="720"/>
          <w:tab w:val="left" w:pos="7200" w:leader="none"/>
          <w:tab w:val="left" w:pos="7560" w:leader="none"/>
        </w:tabs>
        <w:ind w:hanging="360" w:start="1800" w:end="0"/>
        <w:rPr>
          <w:sz w:val="22"/>
        </w:rPr>
      </w:pPr>
      <w:r>
        <w:rPr>
          <w:b/>
          <w:sz w:val="22"/>
          <w:lang w:eastAsia="ja-JP"/>
        </w:rPr>
        <w:t>A.</w:t>
        <w:tab/>
        <w:t>The Need for Risk Management Systems</w:t>
        <w:tab/>
        <w:t>B.</w:t>
        <w:tab/>
        <w:t xml:space="preserve">The New Regulatory Environment and </w:t>
      </w:r>
    </w:p>
    <w:p>
      <w:pPr>
        <w:pStyle w:val="Normal"/>
        <w:numPr>
          <w:ilvl w:val="2"/>
          <w:numId w:val="11"/>
        </w:numPr>
        <w:tabs>
          <w:tab w:val="clear" w:pos="720"/>
          <w:tab w:val="left" w:pos="2160" w:leader="none"/>
          <w:tab w:val="left" w:pos="7560" w:leader="none"/>
          <w:tab w:val="left" w:pos="7920" w:leader="none"/>
        </w:tabs>
        <w:ind w:hanging="540" w:start="2340" w:end="0"/>
        <w:rPr>
          <w:sz w:val="22"/>
        </w:rPr>
      </w:pPr>
      <w:r>
        <w:rPr>
          <w:sz w:val="22"/>
        </w:rPr>
        <w:t>Which Risks do we want to manage and how?</w:t>
        <w:tab/>
      </w:r>
      <w:r>
        <w:rPr>
          <w:b/>
          <w:sz w:val="22"/>
        </w:rPr>
        <w:t>BIS Capital Requirements</w:t>
      </w:r>
      <w:r>
        <w:rPr>
          <w:sz w:val="22"/>
        </w:rPr>
        <w:t xml:space="preserve">: </w:t>
      </w:r>
      <w:r>
        <w:rPr>
          <w:b/>
          <w:sz w:val="22"/>
          <w:lang w:eastAsia="ja-JP"/>
        </w:rPr>
        <w:t>Approaches</w:t>
      </w:r>
    </w:p>
    <w:p>
      <w:pPr>
        <w:pStyle w:val="Normal"/>
        <w:numPr>
          <w:ilvl w:val="2"/>
          <w:numId w:val="11"/>
        </w:numPr>
        <w:tabs>
          <w:tab w:val="clear" w:pos="720"/>
          <w:tab w:val="left" w:pos="2160" w:leader="none"/>
          <w:tab w:val="left" w:pos="7560" w:leader="none"/>
          <w:tab w:val="left" w:pos="7920" w:leader="none"/>
        </w:tabs>
        <w:ind w:hanging="540" w:start="2340" w:end="0"/>
        <w:rPr>
          <w:sz w:val="22"/>
        </w:rPr>
      </w:pPr>
      <w:r>
        <w:rPr>
          <w:sz w:val="22"/>
        </w:rPr>
        <w:t>Measuring Market Risk: the VaR Approach</w:t>
        <w:tab/>
        <w:t>●</w:t>
        <w:tab/>
        <w:t>Market Risk Measurement</w:t>
      </w:r>
    </w:p>
    <w:p>
      <w:pPr>
        <w:pStyle w:val="BodyTextIndent3"/>
        <w:tabs>
          <w:tab w:val="clear" w:pos="720"/>
          <w:tab w:val="left" w:pos="7560" w:leader="none"/>
        </w:tabs>
        <w:rPr>
          <w:bCs/>
          <w:iCs/>
          <w:sz w:val="22"/>
        </w:rPr>
      </w:pPr>
      <w:r>
        <w:rPr>
          <w:bCs/>
          <w:iCs/>
          <w:sz w:val="22"/>
        </w:rPr>
        <w:tab/>
      </w:r>
      <w:r>
        <w:rPr>
          <w:sz w:val="22"/>
        </w:rPr>
        <w:t>●</w:t>
        <w:tab/>
        <w:t>Credit Risk Mitigation</w:t>
      </w:r>
    </w:p>
    <w:p>
      <w:pPr>
        <w:pStyle w:val="Normal"/>
        <w:ind w:firstLine="360" w:start="7200" w:end="0"/>
        <w:rPr>
          <w:bCs/>
          <w:iCs/>
          <w:sz w:val="22"/>
        </w:rPr>
      </w:pPr>
      <w:r>
        <w:rPr>
          <w:bCs/>
          <w:iCs/>
          <w:sz w:val="22"/>
        </w:rPr>
        <w:t>●</w:t>
      </w:r>
      <w:r>
        <w:rPr>
          <w:bCs/>
          <w:iCs/>
          <w:sz w:val="22"/>
        </w:rPr>
        <w:tab/>
        <w:t>Operational Risk and Others</w:t>
      </w:r>
    </w:p>
    <w:p>
      <w:pPr>
        <w:pStyle w:val="Normal"/>
        <w:ind w:firstLine="360" w:start="7200" w:end="0"/>
        <w:rPr>
          <w:bCs/>
          <w:iCs/>
          <w:sz w:val="18"/>
        </w:rPr>
      </w:pPr>
      <w:r>
        <w:rPr>
          <w:bCs/>
          <w:iCs/>
          <w:sz w:val="18"/>
        </w:rPr>
      </w:r>
    </w:p>
    <w:p>
      <w:pPr>
        <w:pStyle w:val="Normal"/>
        <w:numPr>
          <w:ilvl w:val="0"/>
          <w:numId w:val="2"/>
        </w:numPr>
        <w:ind w:hanging="0" w:start="0" w:end="0"/>
        <w:jc w:val="center"/>
        <w:rPr>
          <w:b/>
          <w:sz w:val="22"/>
          <w:lang w:eastAsia="ja-JP"/>
        </w:rPr>
      </w:pPr>
      <w:r>
        <w:rPr>
          <w:b/>
          <w:sz w:val="22"/>
        </w:rPr>
        <w:t>The 31/33 points</w:t>
      </w:r>
      <w:r>
        <w:rPr>
          <w:sz w:val="22"/>
        </w:rPr>
        <w:t xml:space="preserve">: </w:t>
      </w:r>
      <w:r>
        <w:rPr>
          <w:b/>
          <w:sz w:val="22"/>
          <w:lang w:eastAsia="ja-JP"/>
        </w:rPr>
        <w:t>Challenges and Developments</w:t>
      </w:r>
    </w:p>
    <w:p>
      <w:pPr>
        <w:pStyle w:val="Normal"/>
        <w:tabs>
          <w:tab w:val="clear" w:pos="720"/>
          <w:tab w:val="left" w:pos="1080" w:leader="none"/>
        </w:tabs>
        <w:rPr>
          <w:b/>
          <w:sz w:val="22"/>
          <w:lang w:eastAsia="ja-JP"/>
        </w:rPr>
      </w:pPr>
      <w:r>
        <w:rPr>
          <w:b/>
          <w:sz w:val="22"/>
          <w:lang w:eastAsia="ja-JP"/>
        </w:rPr>
      </w:r>
    </w:p>
    <w:p>
      <w:pPr>
        <w:pStyle w:val="Heading4"/>
        <w:numPr>
          <w:ilvl w:val="0"/>
          <w:numId w:val="15"/>
        </w:numPr>
        <w:tabs>
          <w:tab w:val="clear" w:pos="720"/>
          <w:tab w:val="left" w:pos="900" w:leader="none"/>
        </w:tabs>
        <w:ind w:hanging="540" w:start="1440" w:end="992"/>
        <w:rPr/>
      </w:pPr>
      <w:r>
        <w:rPr/>
        <w:t>Financial Innovation: Growth and New Products</w:t>
      </w:r>
    </w:p>
    <w:p>
      <w:pPr>
        <w:pStyle w:val="Normal"/>
        <w:ind w:firstLine="540" w:start="900" w:end="0"/>
        <w:rPr/>
      </w:pPr>
      <w:r>
        <w:rPr>
          <w:b/>
          <w:bCs/>
          <w:i/>
          <w:iCs/>
          <w:sz w:val="22"/>
        </w:rPr>
        <w:t>David L. Mengle, Vice President, J.P. Morgan Securities Inc. and</w:t>
      </w:r>
    </w:p>
    <w:p>
      <w:pPr>
        <w:pStyle w:val="Normal"/>
        <w:ind w:firstLine="720" w:end="0"/>
        <w:rPr>
          <w:b/>
          <w:bCs/>
          <w:i/>
          <w:i/>
          <w:iCs/>
          <w:sz w:val="22"/>
        </w:rPr>
      </w:pPr>
      <w:r>
        <w:rPr>
          <w:b/>
          <w:bCs/>
          <w:i/>
          <w:iCs/>
          <w:sz w:val="22"/>
        </w:rPr>
        <w:t xml:space="preserve">       </w:t>
      </w:r>
      <w:r>
        <w:rPr>
          <w:b/>
          <w:bCs/>
          <w:i/>
          <w:iCs/>
          <w:sz w:val="22"/>
        </w:rPr>
        <w:tab/>
        <w:t xml:space="preserve">    Adjunct Associate Professor, Fordham University Graduate School of Business</w:t>
      </w:r>
    </w:p>
    <w:p>
      <w:pPr>
        <w:pStyle w:val="Normal"/>
        <w:ind w:firstLine="540" w:start="900" w:end="0"/>
        <w:rPr>
          <w:b/>
          <w:bCs/>
          <w:i/>
          <w:i/>
          <w:iCs/>
          <w:sz w:val="22"/>
        </w:rPr>
      </w:pPr>
      <w:r>
        <w:rPr>
          <w:b/>
          <w:bCs/>
          <w:i/>
          <w:iCs/>
          <w:sz w:val="22"/>
        </w:rPr>
        <w:t>Hernan Sabau, Partner, SAI Consultores</w:t>
      </w:r>
    </w:p>
    <w:p>
      <w:pPr>
        <w:pStyle w:val="Normal"/>
        <w:ind w:firstLine="540" w:start="900" w:end="0"/>
        <w:rPr>
          <w:b/>
          <w:bCs/>
          <w:i/>
          <w:i/>
          <w:iCs/>
          <w:sz w:val="20"/>
        </w:rPr>
      </w:pPr>
      <w:r>
        <w:rPr>
          <w:b/>
          <w:bCs/>
          <w:i/>
          <w:iCs/>
          <w:sz w:val="22"/>
        </w:rPr>
        <w:t>David Jasper, Vice President, Emerging Markets Trading, Goldman Sachs</w:t>
      </w:r>
    </w:p>
    <w:p>
      <w:pPr>
        <w:pStyle w:val="Normal"/>
        <w:numPr>
          <w:ilvl w:val="2"/>
          <w:numId w:val="11"/>
        </w:numPr>
        <w:tabs>
          <w:tab w:val="clear" w:pos="720"/>
          <w:tab w:val="left" w:pos="1440" w:leader="none"/>
        </w:tabs>
        <w:ind w:hanging="360" w:start="1800" w:end="0"/>
        <w:rPr>
          <w:sz w:val="22"/>
        </w:rPr>
      </w:pPr>
      <w:r>
        <w:rPr>
          <w:sz w:val="22"/>
        </w:rPr>
        <w:t>Interest rate swaps</w:t>
      </w:r>
    </w:p>
    <w:p>
      <w:pPr>
        <w:pStyle w:val="Normal"/>
        <w:numPr>
          <w:ilvl w:val="2"/>
          <w:numId w:val="11"/>
        </w:numPr>
        <w:tabs>
          <w:tab w:val="clear" w:pos="720"/>
          <w:tab w:val="left" w:pos="1440" w:leader="none"/>
        </w:tabs>
        <w:ind w:hanging="360" w:start="1800" w:end="0"/>
        <w:rPr>
          <w:sz w:val="22"/>
        </w:rPr>
      </w:pPr>
      <w:r>
        <w:rPr>
          <w:sz w:val="22"/>
        </w:rPr>
        <w:t>Currency swaps</w:t>
      </w:r>
    </w:p>
    <w:p>
      <w:pPr>
        <w:pStyle w:val="Normal"/>
        <w:numPr>
          <w:ilvl w:val="2"/>
          <w:numId w:val="11"/>
        </w:numPr>
        <w:tabs>
          <w:tab w:val="clear" w:pos="720"/>
          <w:tab w:val="left" w:pos="1440" w:leader="none"/>
          <w:tab w:val="left" w:pos="1800" w:leader="none"/>
        </w:tabs>
        <w:ind w:hanging="360" w:start="1800" w:end="0"/>
        <w:rPr>
          <w:b/>
          <w:sz w:val="22"/>
        </w:rPr>
      </w:pPr>
      <w:r>
        <w:rPr>
          <w:sz w:val="22"/>
        </w:rPr>
        <w:t>Developing Products</w:t>
      </w:r>
    </w:p>
    <w:p>
      <w:pPr>
        <w:pStyle w:val="Normal"/>
        <w:tabs>
          <w:tab w:val="clear" w:pos="720"/>
          <w:tab w:val="left" w:pos="1080" w:leader="none"/>
        </w:tabs>
        <w:rPr>
          <w:b/>
          <w:sz w:val="22"/>
        </w:rPr>
      </w:pPr>
      <w:r>
        <w:rPr>
          <w:b/>
          <w:sz w:val="22"/>
        </w:rPr>
      </w:r>
    </w:p>
    <w:p>
      <w:pPr>
        <w:pStyle w:val="Normal"/>
        <w:tabs>
          <w:tab w:val="clear" w:pos="720"/>
          <w:tab w:val="left" w:pos="990" w:leader="none"/>
          <w:tab w:val="left" w:pos="1350" w:leader="none"/>
          <w:tab w:val="left" w:pos="1800" w:leader="none"/>
        </w:tabs>
        <w:ind w:start="180" w:end="0"/>
        <w:rPr>
          <w:b/>
          <w:sz w:val="22"/>
        </w:rPr>
      </w:pPr>
      <w:r>
        <w:rPr>
          <w:b/>
          <w:sz w:val="22"/>
        </w:rPr>
        <w:t xml:space="preserve">    </w:t>
      </w:r>
      <w:r>
        <w:rPr>
          <w:b/>
          <w:sz w:val="22"/>
        </w:rPr>
        <w:t>5:35 PM</w:t>
        <w:tab/>
        <w:tab/>
        <w:t>Questions and Discussion</w:t>
      </w:r>
    </w:p>
    <w:p>
      <w:pPr>
        <w:pStyle w:val="Normal"/>
        <w:tabs>
          <w:tab w:val="clear" w:pos="720"/>
          <w:tab w:val="left" w:pos="1800" w:leader="none"/>
        </w:tabs>
        <w:rPr>
          <w:b/>
          <w:sz w:val="22"/>
        </w:rPr>
      </w:pPr>
      <w:r>
        <w:rPr>
          <w:b/>
          <w:sz w:val="22"/>
        </w:rPr>
      </w:r>
    </w:p>
    <w:p>
      <w:pPr>
        <w:pStyle w:val="Normal"/>
        <w:tabs>
          <w:tab w:val="clear" w:pos="720"/>
          <w:tab w:val="left" w:pos="1800" w:leader="none"/>
        </w:tabs>
        <w:ind w:start="180" w:end="0"/>
        <w:rPr>
          <w:b/>
          <w:sz w:val="22"/>
        </w:rPr>
      </w:pPr>
      <w:r>
        <w:rPr>
          <w:b/>
          <w:sz w:val="22"/>
        </w:rPr>
        <w:t xml:space="preserve">    </w:t>
      </w:r>
      <w:r>
        <w:rPr>
          <w:b/>
          <w:sz w:val="22"/>
        </w:rPr>
        <w:t>5:45 PM</w:t>
        <w:tab/>
        <w:t>Conference Concludes</w:t>
      </w:r>
    </w:p>
    <w:p>
      <w:pPr>
        <w:pStyle w:val="Normal"/>
        <w:tabs>
          <w:tab w:val="clear" w:pos="720"/>
          <w:tab w:val="left" w:pos="1800" w:leader="none"/>
        </w:tabs>
        <w:rPr>
          <w:b/>
          <w:sz w:val="22"/>
        </w:rPr>
      </w:pPr>
      <w:r>
        <w:rPr>
          <w:b/>
          <w:sz w:val="22"/>
        </w:rPr>
      </w:r>
    </w:p>
    <w:p>
      <w:pPr>
        <w:pStyle w:val="Normal"/>
        <w:tabs>
          <w:tab w:val="clear" w:pos="720"/>
          <w:tab w:val="left" w:pos="1800" w:leader="none"/>
        </w:tabs>
        <w:ind w:start="180" w:end="0"/>
        <w:rPr>
          <w:b/>
          <w:sz w:val="22"/>
        </w:rPr>
      </w:pPr>
      <w:r>
        <w:rPr>
          <w:b/>
          <w:sz w:val="22"/>
        </w:rPr>
        <w:t xml:space="preserve">    </w:t>
      </w:r>
      <w:r>
        <w:rPr>
          <w:b/>
          <w:sz w:val="22"/>
        </w:rPr>
        <w:t>6:00 PM</w:t>
        <w:tab/>
        <w:t>Cocktail Reception (Location: San Angel Inn)</w:t>
      </w:r>
      <w:r>
        <w:br w:type="page"/>
      </w:r>
    </w:p>
    <w:p>
      <w:pPr>
        <w:pStyle w:val="BodyText"/>
        <w:rPr>
          <w:rFonts w:ascii="Times" w:hAnsi="Times" w:cs="Times"/>
          <w:b/>
          <w:shadow/>
          <w:spacing w:val="20"/>
          <w:sz w:val="28"/>
        </w:rPr>
      </w:pPr>
      <w:r>
        <w:rPr>
          <w:rFonts w:cs="Times" w:ascii="Times" w:hAnsi="Times"/>
          <w:b/>
          <w:shadow/>
          <w:spacing w:val="20"/>
          <w:sz w:val="28"/>
        </w:rPr>
        <w:t>Derivatives and Risk Management in Mexico</w:t>
      </w:r>
    </w:p>
    <w:p>
      <w:pPr>
        <w:pStyle w:val="BodyText"/>
        <w:rPr>
          <w:rFonts w:ascii="Times" w:hAnsi="Times" w:cs="Times"/>
          <w:b/>
          <w:shadow/>
          <w:spacing w:val="20"/>
          <w:sz w:val="28"/>
        </w:rPr>
      </w:pPr>
      <w:r>
        <w:rPr>
          <w:rFonts w:cs="Times" w:ascii="Times" w:hAnsi="Times"/>
          <w:b/>
          <w:shadow/>
          <w:spacing w:val="20"/>
          <w:sz w:val="28"/>
        </w:rPr>
      </w:r>
    </w:p>
    <w:p>
      <w:pPr>
        <w:pStyle w:val="BodyText"/>
        <w:rPr>
          <w:b/>
          <w:sz w:val="22"/>
        </w:rPr>
      </w:pPr>
      <w:r>
        <w:rPr>
          <w:b/>
          <w:sz w:val="22"/>
        </w:rPr>
        <w:t>May 8, 2001, Nacional Financiera Auditorium, Mexico City</w:t>
      </w:r>
    </w:p>
    <w:p>
      <w:pPr>
        <w:pStyle w:val="BodyText"/>
        <w:rPr>
          <w:b/>
          <w:sz w:val="22"/>
        </w:rPr>
      </w:pPr>
      <w:r>
        <w:rPr>
          <w:b/>
          <w:sz w:val="22"/>
        </w:rPr>
      </w:r>
    </w:p>
    <w:p>
      <w:pPr>
        <w:pStyle w:val="Normal"/>
        <w:pBdr>
          <w:top w:val="single" w:sz="12" w:space="1" w:color="000000"/>
          <w:left w:val="single" w:sz="12" w:space="0" w:color="000000"/>
          <w:bottom w:val="single" w:sz="12" w:space="1" w:color="000000"/>
          <w:right w:val="single" w:sz="12" w:space="0" w:color="000000"/>
        </w:pBdr>
        <w:shd w:fill="E0E0E0" w:val="clear"/>
        <w:tabs>
          <w:tab w:val="clear" w:pos="720"/>
          <w:tab w:val="left" w:pos="1800" w:leader="none"/>
        </w:tabs>
        <w:ind w:start="180" w:end="216"/>
        <w:jc w:val="center"/>
        <w:rPr>
          <w:b/>
        </w:rPr>
      </w:pPr>
      <w:r>
        <w:rPr>
          <w:b/>
        </w:rPr>
        <w:t>PROGRAM AGENDA</w:t>
      </w:r>
    </w:p>
    <w:p>
      <w:pPr>
        <w:pStyle w:val="Normal"/>
        <w:tabs>
          <w:tab w:val="clear" w:pos="720"/>
          <w:tab w:val="left" w:pos="1800" w:leader="none"/>
        </w:tabs>
        <w:rPr>
          <w:b/>
          <w:sz w:val="22"/>
          <w:u w:val="single"/>
        </w:rPr>
      </w:pPr>
      <w:r>
        <w:rPr>
          <w:b/>
          <w:sz w:val="22"/>
          <w:u w:val="single"/>
        </w:rPr>
      </w:r>
    </w:p>
    <w:p>
      <w:pPr>
        <w:pStyle w:val="Normal"/>
        <w:tabs>
          <w:tab w:val="clear" w:pos="720"/>
          <w:tab w:val="left" w:pos="1800" w:leader="none"/>
        </w:tabs>
        <w:ind w:start="180" w:end="0"/>
        <w:rPr>
          <w:b/>
          <w:sz w:val="22"/>
        </w:rPr>
      </w:pPr>
      <w:r>
        <w:rPr>
          <w:b/>
          <w:sz w:val="22"/>
        </w:rPr>
        <w:t xml:space="preserve">  </w:t>
      </w:r>
      <w:r>
        <w:rPr>
          <w:b/>
          <w:sz w:val="22"/>
        </w:rPr>
        <w:t>8:15 AM</w:t>
        <w:tab/>
        <w:t>Continental Breakfast</w:t>
      </w:r>
    </w:p>
    <w:p>
      <w:pPr>
        <w:pStyle w:val="Normal"/>
        <w:tabs>
          <w:tab w:val="clear" w:pos="720"/>
          <w:tab w:val="left" w:pos="1800" w:leader="none"/>
        </w:tabs>
        <w:rPr>
          <w:b/>
          <w:sz w:val="22"/>
        </w:rPr>
      </w:pPr>
      <w:r>
        <w:rPr>
          <w:b/>
          <w:sz w:val="22"/>
        </w:rPr>
      </w:r>
    </w:p>
    <w:p>
      <w:pPr>
        <w:pStyle w:val="Normal"/>
        <w:tabs>
          <w:tab w:val="clear" w:pos="720"/>
          <w:tab w:val="left" w:pos="1800" w:leader="none"/>
        </w:tabs>
        <w:ind w:start="180" w:end="0"/>
        <w:rPr>
          <w:b/>
          <w:sz w:val="22"/>
        </w:rPr>
      </w:pPr>
      <w:r>
        <w:rPr>
          <w:b/>
          <w:sz w:val="22"/>
        </w:rPr>
        <w:t xml:space="preserve">  </w:t>
      </w:r>
      <w:r>
        <w:rPr>
          <w:b/>
          <w:sz w:val="22"/>
        </w:rPr>
        <w:t>9:00 AM</w:t>
        <w:tab/>
        <w:t>Introduction and Welcoming Remarks</w:t>
      </w:r>
    </w:p>
    <w:p>
      <w:pPr>
        <w:pStyle w:val="Normal"/>
        <w:tabs>
          <w:tab w:val="clear" w:pos="720"/>
          <w:tab w:val="left" w:pos="1800" w:leader="none"/>
        </w:tabs>
        <w:rPr/>
      </w:pPr>
      <w:r>
        <w:rPr>
          <w:b/>
          <w:sz w:val="22"/>
        </w:rPr>
        <w:tab/>
      </w:r>
      <w:r>
        <w:rPr>
          <w:b/>
          <w:i/>
          <w:iCs/>
          <w:sz w:val="22"/>
        </w:rPr>
        <w:t>Robert Pickel, Executive Director and Chief Executive Officer, ISDA</w:t>
      </w:r>
    </w:p>
    <w:p>
      <w:pPr>
        <w:pStyle w:val="Normal"/>
        <w:tabs>
          <w:tab w:val="clear" w:pos="720"/>
          <w:tab w:val="left" w:pos="1800" w:leader="none"/>
        </w:tabs>
        <w:rPr>
          <w:b/>
          <w:sz w:val="22"/>
        </w:rPr>
      </w:pPr>
      <w:r>
        <w:rPr>
          <w:b/>
          <w:sz w:val="22"/>
        </w:rPr>
        <w:tab/>
      </w:r>
    </w:p>
    <w:p>
      <w:pPr>
        <w:pStyle w:val="Normal"/>
        <w:tabs>
          <w:tab w:val="clear" w:pos="720"/>
          <w:tab w:val="left" w:pos="1800" w:leader="none"/>
        </w:tabs>
        <w:ind w:start="180" w:end="0"/>
        <w:rPr/>
      </w:pPr>
      <w:r>
        <w:rPr>
          <w:b/>
          <w:bCs/>
          <w:sz w:val="22"/>
        </w:rPr>
        <w:t xml:space="preserve">  </w:t>
      </w:r>
      <w:r>
        <w:rPr>
          <w:b/>
          <w:bCs/>
          <w:sz w:val="22"/>
        </w:rPr>
        <w:t>9:10 AM</w:t>
      </w:r>
      <w:r>
        <w:rPr>
          <w:b/>
          <w:sz w:val="22"/>
        </w:rPr>
        <w:tab/>
      </w:r>
      <w:r>
        <w:rPr>
          <w:b/>
          <w:bCs/>
          <w:sz w:val="22"/>
        </w:rPr>
        <w:t xml:space="preserve">Implementations of the Use of Derivatives in International Trade Operations  </w:t>
      </w:r>
    </w:p>
    <w:p>
      <w:pPr>
        <w:pStyle w:val="BodyTextIndent2"/>
        <w:rPr>
          <w:sz w:val="22"/>
        </w:rPr>
      </w:pPr>
      <w:r>
        <w:rPr>
          <w:sz w:val="22"/>
        </w:rPr>
        <w:tab/>
      </w:r>
      <w:r>
        <w:rPr>
          <w:i/>
          <w:sz w:val="22"/>
        </w:rPr>
        <w:t>Hector Rangel Domene, President, Asociacion de Banqueros de Mexico</w:t>
      </w:r>
    </w:p>
    <w:p>
      <w:pPr>
        <w:pStyle w:val="Normal"/>
        <w:tabs>
          <w:tab w:val="clear" w:pos="720"/>
          <w:tab w:val="left" w:pos="1800" w:leader="none"/>
        </w:tabs>
        <w:ind w:start="180" w:end="0"/>
        <w:rPr>
          <w:sz w:val="22"/>
        </w:rPr>
      </w:pPr>
      <w:r>
        <w:rPr>
          <w:sz w:val="22"/>
        </w:rPr>
      </w:r>
    </w:p>
    <w:p>
      <w:pPr>
        <w:pStyle w:val="Normal"/>
        <w:tabs>
          <w:tab w:val="clear" w:pos="720"/>
          <w:tab w:val="left" w:pos="1800" w:leader="none"/>
        </w:tabs>
        <w:ind w:start="180" w:end="0"/>
        <w:rPr/>
      </w:pPr>
      <w:r>
        <w:rPr>
          <w:sz w:val="22"/>
        </w:rPr>
        <w:t xml:space="preserve">  </w:t>
      </w:r>
      <w:r>
        <w:rPr>
          <w:b/>
          <w:sz w:val="22"/>
        </w:rPr>
        <w:t>9:30 AM</w:t>
        <w:tab/>
        <w:t>OTC Derivatives in Emerging Markets and Latin America</w:t>
      </w:r>
    </w:p>
    <w:p>
      <w:pPr>
        <w:pStyle w:val="Normal"/>
        <w:tabs>
          <w:tab w:val="clear" w:pos="720"/>
          <w:tab w:val="left" w:pos="1800" w:leader="none"/>
        </w:tabs>
        <w:ind w:start="1800" w:end="0"/>
        <w:rPr/>
      </w:pPr>
      <w:r>
        <w:rPr>
          <w:b/>
          <w:iCs/>
          <w:sz w:val="22"/>
        </w:rPr>
        <w:t>Moderator:</w:t>
      </w:r>
      <w:r>
        <w:rPr>
          <w:b/>
          <w:i/>
          <w:sz w:val="22"/>
        </w:rPr>
        <w:t xml:space="preserve">  Jose Marcos Ramirez Miguel, Director General of Finance, </w:t>
      </w:r>
    </w:p>
    <w:p>
      <w:pPr>
        <w:pStyle w:val="Normal"/>
        <w:tabs>
          <w:tab w:val="clear" w:pos="720"/>
          <w:tab w:val="left" w:pos="1800" w:leader="none"/>
        </w:tabs>
        <w:ind w:start="1800" w:end="0"/>
        <w:rPr/>
      </w:pPr>
      <w:r>
        <w:rPr>
          <w:b/>
          <w:iCs/>
          <w:sz w:val="22"/>
        </w:rPr>
        <w:t xml:space="preserve">    </w:t>
      </w:r>
      <w:r>
        <w:rPr>
          <w:b/>
          <w:i/>
          <w:sz w:val="22"/>
        </w:rPr>
        <w:t>Grupo Financiero Santander Serfin</w:t>
      </w:r>
    </w:p>
    <w:p>
      <w:pPr>
        <w:pStyle w:val="Normal"/>
        <w:tabs>
          <w:tab w:val="clear" w:pos="720"/>
          <w:tab w:val="left" w:pos="1800" w:leader="none"/>
          <w:tab w:val="left" w:pos="2910" w:leader="none"/>
        </w:tabs>
        <w:ind w:start="1800" w:end="0"/>
        <w:rPr>
          <w:b/>
          <w:i/>
          <w:i/>
          <w:iCs/>
          <w:sz w:val="22"/>
        </w:rPr>
      </w:pPr>
      <w:r>
        <w:rPr>
          <w:b/>
          <w:i/>
          <w:iCs/>
          <w:sz w:val="22"/>
        </w:rPr>
        <w:t>Enrique Hurtado Valenzuela, Executive Director of Derivatives, Grupo Financiero Santander Serfin</w:t>
      </w:r>
    </w:p>
    <w:p>
      <w:pPr>
        <w:pStyle w:val="Normal"/>
        <w:tabs>
          <w:tab w:val="clear" w:pos="720"/>
          <w:tab w:val="left" w:pos="1800" w:leader="none"/>
          <w:tab w:val="left" w:pos="2910" w:leader="none"/>
        </w:tabs>
        <w:ind w:start="1800" w:end="0"/>
        <w:rPr>
          <w:b/>
          <w:i/>
          <w:i/>
          <w:iCs/>
          <w:sz w:val="22"/>
        </w:rPr>
      </w:pPr>
      <w:r>
        <w:rPr>
          <w:b/>
          <w:i/>
          <w:iCs/>
          <w:sz w:val="22"/>
        </w:rPr>
        <w:t xml:space="preserve">Andres Hall, </w:t>
      </w:r>
      <w:r>
        <w:rPr>
          <w:b/>
          <w:bCs/>
          <w:i/>
          <w:iCs/>
          <w:sz w:val="22"/>
          <w:szCs w:val="20"/>
        </w:rPr>
        <w:t>Commissioner, Argentine Securities &amp; Exchange Commission</w:t>
      </w:r>
    </w:p>
    <w:p>
      <w:pPr>
        <w:pStyle w:val="Normal"/>
        <w:tabs>
          <w:tab w:val="clear" w:pos="720"/>
          <w:tab w:val="left" w:pos="1800" w:leader="none"/>
          <w:tab w:val="left" w:pos="2910" w:leader="none"/>
        </w:tabs>
        <w:ind w:start="1800" w:end="0"/>
        <w:rPr>
          <w:b/>
          <w:i/>
          <w:i/>
          <w:iCs/>
          <w:sz w:val="22"/>
        </w:rPr>
      </w:pPr>
      <w:r>
        <w:rPr>
          <w:b/>
          <w:i/>
          <w:iCs/>
          <w:sz w:val="22"/>
        </w:rPr>
        <w:t>Marta Alves, Managing Director, Banco Itau</w:t>
      </w:r>
    </w:p>
    <w:p>
      <w:pPr>
        <w:pStyle w:val="Normal"/>
        <w:tabs>
          <w:tab w:val="clear" w:pos="720"/>
          <w:tab w:val="left" w:pos="1800" w:leader="none"/>
          <w:tab w:val="left" w:pos="2910" w:leader="none"/>
        </w:tabs>
        <w:ind w:start="1800" w:end="0"/>
        <w:rPr>
          <w:b/>
          <w:i/>
          <w:i/>
          <w:iCs/>
          <w:sz w:val="22"/>
        </w:rPr>
      </w:pPr>
      <w:r>
        <w:rPr>
          <w:b/>
          <w:i/>
          <w:iCs/>
          <w:sz w:val="22"/>
        </w:rPr>
      </w:r>
    </w:p>
    <w:p>
      <w:pPr>
        <w:pStyle w:val="Normal"/>
        <w:tabs>
          <w:tab w:val="clear" w:pos="720"/>
          <w:tab w:val="left" w:pos="1800" w:leader="none"/>
          <w:tab w:val="left" w:pos="2910" w:leader="none"/>
        </w:tabs>
        <w:rPr>
          <w:b/>
          <w:sz w:val="22"/>
        </w:rPr>
      </w:pPr>
      <w:r>
        <w:rPr>
          <w:b/>
          <w:sz w:val="22"/>
        </w:rPr>
        <w:t xml:space="preserve">   </w:t>
      </w:r>
      <w:r>
        <w:rPr>
          <w:b/>
          <w:sz w:val="22"/>
        </w:rPr>
        <w:t>10:45 AM</w:t>
        <w:tab/>
        <w:t>Morning Break</w:t>
      </w:r>
    </w:p>
    <w:p>
      <w:pPr>
        <w:pStyle w:val="Normal"/>
        <w:tabs>
          <w:tab w:val="clear" w:pos="720"/>
          <w:tab w:val="left" w:pos="1800" w:leader="none"/>
          <w:tab w:val="left" w:pos="2910" w:leader="none"/>
        </w:tabs>
        <w:rPr>
          <w:sz w:val="22"/>
        </w:rPr>
      </w:pPr>
      <w:r>
        <w:rPr>
          <w:sz w:val="22"/>
        </w:rPr>
        <w:tab/>
      </w:r>
    </w:p>
    <w:p>
      <w:pPr>
        <w:pStyle w:val="Normal"/>
        <w:tabs>
          <w:tab w:val="clear" w:pos="720"/>
          <w:tab w:val="left" w:pos="1800" w:leader="none"/>
          <w:tab w:val="left" w:pos="2520" w:leader="none"/>
        </w:tabs>
        <w:ind w:hanging="1800" w:start="1800" w:end="0"/>
        <w:rPr>
          <w:b/>
          <w:sz w:val="22"/>
        </w:rPr>
      </w:pPr>
      <w:r>
        <w:rPr>
          <w:b/>
          <w:sz w:val="22"/>
        </w:rPr>
        <w:t xml:space="preserve">   </w:t>
      </w:r>
      <w:r>
        <w:rPr>
          <w:b/>
          <w:sz w:val="22"/>
        </w:rPr>
        <w:t>11:15 AM</w:t>
        <w:tab/>
        <w:t xml:space="preserve">Risk Management in Mexico a Business Perspective: Going Forward </w:t>
      </w:r>
    </w:p>
    <w:p>
      <w:pPr>
        <w:pStyle w:val="Normal"/>
        <w:tabs>
          <w:tab w:val="clear" w:pos="720"/>
          <w:tab w:val="left" w:pos="1800" w:leader="none"/>
          <w:tab w:val="left" w:pos="2520" w:leader="none"/>
        </w:tabs>
        <w:ind w:hanging="1800" w:start="1800" w:end="0"/>
        <w:rPr>
          <w:b/>
          <w:sz w:val="22"/>
        </w:rPr>
      </w:pPr>
      <w:r>
        <w:rPr>
          <w:b/>
          <w:sz w:val="22"/>
        </w:rPr>
        <w:tab/>
      </w:r>
      <w:r>
        <w:rPr>
          <w:b/>
          <w:i/>
          <w:sz w:val="22"/>
        </w:rPr>
        <w:t>Eduardo F. Cepeda, President and Director General, J.P.  Morgan Grupo Financiero, S.A. de C.V.</w:t>
      </w:r>
    </w:p>
    <w:p>
      <w:pPr>
        <w:pStyle w:val="Normal"/>
        <w:tabs>
          <w:tab w:val="clear" w:pos="720"/>
          <w:tab w:val="left" w:pos="1800" w:leader="none"/>
          <w:tab w:val="left" w:pos="2160" w:leader="none"/>
          <w:tab w:val="left" w:pos="2520" w:leader="none"/>
        </w:tabs>
        <w:ind w:hanging="2160" w:start="2160" w:end="0"/>
        <w:rPr>
          <w:b/>
          <w:sz w:val="22"/>
        </w:rPr>
      </w:pPr>
      <w:r>
        <w:rPr>
          <w:b/>
          <w:sz w:val="22"/>
        </w:rPr>
      </w:r>
    </w:p>
    <w:p>
      <w:pPr>
        <w:pStyle w:val="Normal"/>
        <w:ind w:hanging="1860" w:start="1860" w:end="0"/>
        <w:rPr>
          <w:b/>
          <w:sz w:val="22"/>
        </w:rPr>
      </w:pPr>
      <w:r>
        <w:rPr>
          <w:b/>
          <w:sz w:val="22"/>
        </w:rPr>
        <w:t xml:space="preserve">   </w:t>
      </w:r>
      <w:r>
        <w:rPr>
          <w:b/>
          <w:sz w:val="22"/>
        </w:rPr>
        <w:t>12:15 PM</w:t>
        <w:tab/>
        <w:t xml:space="preserve">Review of the New Bankruptcy Law and Regulatory Developments and Challenges in Mexico  </w:t>
      </w:r>
    </w:p>
    <w:p>
      <w:pPr>
        <w:pStyle w:val="Normal"/>
        <w:ind w:start="1860" w:end="0"/>
        <w:rPr>
          <w:b/>
          <w:sz w:val="22"/>
        </w:rPr>
      </w:pPr>
      <w:r>
        <w:rPr>
          <w:b/>
          <w:i/>
          <w:sz w:val="22"/>
        </w:rPr>
        <w:t>Antonio Franck C., Founder and Managing Partner, Franck, Galicia, Duclaud y Robles, S.C.</w:t>
      </w:r>
    </w:p>
    <w:p>
      <w:pPr>
        <w:pStyle w:val="Normal"/>
        <w:ind w:start="1860" w:end="0"/>
        <w:rPr>
          <w:b/>
          <w:i/>
          <w:i/>
          <w:sz w:val="22"/>
        </w:rPr>
      </w:pPr>
      <w:r>
        <w:rPr>
          <w:b/>
          <w:i/>
          <w:sz w:val="22"/>
        </w:rPr>
        <w:t>Luis Nicolau, Partner, Ritch, Heather y Muller, S.C.</w:t>
      </w:r>
    </w:p>
    <w:p>
      <w:pPr>
        <w:pStyle w:val="Normal"/>
        <w:tabs>
          <w:tab w:val="clear" w:pos="720"/>
          <w:tab w:val="left" w:pos="1800" w:leader="none"/>
          <w:tab w:val="left" w:pos="2160" w:leader="none"/>
          <w:tab w:val="left" w:pos="2520" w:leader="none"/>
        </w:tabs>
        <w:ind w:hanging="2160" w:start="2160" w:end="0"/>
        <w:rPr>
          <w:b/>
          <w:i/>
          <w:i/>
          <w:sz w:val="22"/>
        </w:rPr>
      </w:pPr>
      <w:r>
        <w:rPr>
          <w:b/>
          <w:i/>
          <w:sz w:val="22"/>
        </w:rPr>
      </w:r>
    </w:p>
    <w:p>
      <w:pPr>
        <w:pStyle w:val="Normal"/>
        <w:tabs>
          <w:tab w:val="clear" w:pos="720"/>
          <w:tab w:val="left" w:pos="1800" w:leader="none"/>
          <w:tab w:val="left" w:pos="2160" w:leader="none"/>
          <w:tab w:val="left" w:pos="2520" w:leader="none"/>
        </w:tabs>
        <w:ind w:start="180" w:end="0"/>
        <w:rPr>
          <w:b/>
          <w:sz w:val="22"/>
        </w:rPr>
      </w:pPr>
      <w:r>
        <w:rPr>
          <w:b/>
          <w:sz w:val="22"/>
        </w:rPr>
        <w:t xml:space="preserve">  </w:t>
      </w:r>
      <w:r>
        <w:rPr>
          <w:b/>
          <w:sz w:val="22"/>
        </w:rPr>
        <w:t>1:15 PM</w:t>
        <w:tab/>
        <w:t xml:space="preserve">OTC Derivatives and Repo Transactions in Mexico </w:t>
      </w:r>
    </w:p>
    <w:p>
      <w:pPr>
        <w:pStyle w:val="Normal"/>
        <w:ind w:firstLine="360" w:start="1440" w:end="0"/>
        <w:rPr>
          <w:b/>
          <w:i/>
          <w:i/>
          <w:sz w:val="22"/>
        </w:rPr>
      </w:pPr>
      <w:r>
        <w:rPr>
          <w:b/>
          <w:i/>
          <w:sz w:val="22"/>
        </w:rPr>
        <w:t>Francisco Bataller Lopez, Managing Director of Markets, Grupo Financiero BBVA Bancomer, S.A.</w:t>
      </w:r>
    </w:p>
    <w:p>
      <w:pPr>
        <w:pStyle w:val="Normal"/>
        <w:tabs>
          <w:tab w:val="clear" w:pos="720"/>
          <w:tab w:val="left" w:pos="1800" w:leader="none"/>
          <w:tab w:val="left" w:pos="2160" w:leader="none"/>
          <w:tab w:val="left" w:pos="2520" w:leader="none"/>
        </w:tabs>
        <w:rPr>
          <w:b/>
          <w:i/>
          <w:i/>
          <w:sz w:val="22"/>
        </w:rPr>
      </w:pPr>
      <w:r>
        <w:rPr>
          <w:b/>
          <w:i/>
          <w:sz w:val="22"/>
        </w:rPr>
      </w:r>
    </w:p>
    <w:p>
      <w:pPr>
        <w:pStyle w:val="Normal"/>
        <w:tabs>
          <w:tab w:val="clear" w:pos="720"/>
          <w:tab w:val="left" w:pos="1800" w:leader="none"/>
          <w:tab w:val="left" w:pos="2160" w:leader="none"/>
          <w:tab w:val="left" w:pos="2520" w:leader="none"/>
        </w:tabs>
        <w:ind w:start="180" w:end="0"/>
        <w:rPr/>
      </w:pPr>
      <w:r>
        <w:rPr>
          <w:b/>
          <w:iCs/>
          <w:sz w:val="22"/>
        </w:rPr>
        <w:t xml:space="preserve">  </w:t>
      </w:r>
      <w:r>
        <w:rPr>
          <w:b/>
          <w:sz w:val="22"/>
        </w:rPr>
        <w:t>2:00 PM</w:t>
        <w:tab/>
        <w:t xml:space="preserve">Luncheon </w:t>
      </w:r>
    </w:p>
    <w:p>
      <w:pPr>
        <w:pStyle w:val="Normal"/>
        <w:tabs>
          <w:tab w:val="clear" w:pos="720"/>
          <w:tab w:val="left" w:pos="1800" w:leader="none"/>
          <w:tab w:val="left" w:pos="2160" w:leader="none"/>
          <w:tab w:val="left" w:pos="2520" w:leader="none"/>
        </w:tabs>
        <w:rPr/>
      </w:pPr>
      <w:r>
        <w:rPr>
          <w:b/>
          <w:sz w:val="22"/>
        </w:rPr>
        <w:tab/>
      </w:r>
      <w:r>
        <w:rPr>
          <w:b/>
          <w:i/>
          <w:sz w:val="22"/>
        </w:rPr>
        <w:t>Agustin Carstens, Undersecretary, Ministry of Finance and Public Credit</w:t>
      </w:r>
    </w:p>
    <w:p>
      <w:pPr>
        <w:pStyle w:val="Heading9"/>
        <w:tabs>
          <w:tab w:val="clear" w:pos="720"/>
          <w:tab w:val="left" w:pos="1800" w:leader="none"/>
        </w:tabs>
        <w:ind w:hanging="0" w:start="180" w:end="0"/>
        <w:rPr/>
      </w:pPr>
      <w:r>
        <w:rPr>
          <w:rFonts w:cs="Times New Roman" w:ascii="Times New Roman" w:hAnsi="Times New Roman"/>
          <w:sz w:val="22"/>
        </w:rPr>
        <w:tab/>
      </w:r>
      <w:r>
        <w:rPr>
          <w:rFonts w:cs="Times New Roman" w:ascii="Times New Roman" w:hAnsi="Times New Roman"/>
          <w:i w:val="false"/>
          <w:iCs/>
          <w:sz w:val="22"/>
        </w:rPr>
        <w:t>(Location: Esplanade)</w:t>
      </w:r>
    </w:p>
    <w:p>
      <w:pPr>
        <w:pStyle w:val="Normal"/>
        <w:rPr>
          <w:rFonts w:ascii="Times New Roman" w:hAnsi="Times New Roman" w:cs="Times New Roman"/>
          <w:i/>
          <w:i/>
          <w:iCs/>
          <w:sz w:val="22"/>
          <w:lang w:eastAsia="ja-JP"/>
        </w:rPr>
      </w:pPr>
      <w:r>
        <w:rPr>
          <w:rFonts w:cs="Times New Roman"/>
          <w:i/>
          <w:iCs/>
          <w:sz w:val="22"/>
          <w:lang w:eastAsia="ja-JP"/>
        </w:rPr>
      </w:r>
    </w:p>
    <w:p>
      <w:pPr>
        <w:pStyle w:val="Normal"/>
        <w:tabs>
          <w:tab w:val="clear" w:pos="720"/>
          <w:tab w:val="left" w:pos="1800" w:leader="none"/>
          <w:tab w:val="left" w:pos="2160" w:leader="none"/>
          <w:tab w:val="left" w:pos="2520" w:leader="none"/>
        </w:tabs>
        <w:ind w:start="180" w:end="0"/>
        <w:rPr/>
      </w:pPr>
      <w:r>
        <w:rPr>
          <w:b/>
          <w:sz w:val="22"/>
        </w:rPr>
        <w:t xml:space="preserve">  </w:t>
      </w:r>
      <w:r>
        <w:rPr>
          <w:b/>
          <w:sz w:val="22"/>
        </w:rPr>
        <w:t>3:30 PM</w:t>
      </w:r>
      <w:r>
        <w:rPr>
          <w:sz w:val="22"/>
        </w:rPr>
        <w:tab/>
      </w:r>
      <w:r>
        <w:rPr>
          <w:b/>
          <w:sz w:val="22"/>
        </w:rPr>
        <w:t>Accounting, Tax Treatment and Policy Issues of Derivatives and Repo Transactions in Mexico</w:t>
      </w:r>
    </w:p>
    <w:p>
      <w:pPr>
        <w:pStyle w:val="Normal"/>
        <w:tabs>
          <w:tab w:val="clear" w:pos="720"/>
          <w:tab w:val="left" w:pos="1800" w:leader="none"/>
          <w:tab w:val="left" w:pos="2160" w:leader="none"/>
          <w:tab w:val="left" w:pos="2520" w:leader="none"/>
        </w:tabs>
        <w:ind w:hanging="2160" w:start="2160" w:end="0"/>
        <w:rPr>
          <w:b/>
          <w:bCs/>
          <w:sz w:val="22"/>
        </w:rPr>
      </w:pPr>
      <w:r>
        <w:rPr>
          <w:sz w:val="22"/>
        </w:rPr>
        <w:tab/>
      </w:r>
      <w:r>
        <w:rPr>
          <w:b/>
          <w:bCs/>
          <w:i/>
          <w:iCs/>
          <w:sz w:val="22"/>
        </w:rPr>
        <w:t>Alfonso Gómez , Senior Manager of Financial and Commodity Risk Consulting, Arthur Andersen</w:t>
      </w:r>
    </w:p>
    <w:p>
      <w:pPr>
        <w:pStyle w:val="Normal"/>
        <w:tabs>
          <w:tab w:val="clear" w:pos="720"/>
          <w:tab w:val="left" w:pos="1800" w:leader="none"/>
          <w:tab w:val="left" w:pos="2160" w:leader="none"/>
          <w:tab w:val="left" w:pos="2520" w:leader="none"/>
        </w:tabs>
        <w:ind w:hanging="2160" w:start="2160" w:end="0"/>
        <w:rPr/>
      </w:pPr>
      <w:r>
        <w:rPr>
          <w:b/>
          <w:bCs/>
          <w:sz w:val="22"/>
        </w:rPr>
        <w:tab/>
      </w:r>
      <w:r>
        <w:rPr>
          <w:b/>
          <w:bCs/>
          <w:i/>
          <w:iCs/>
          <w:sz w:val="22"/>
        </w:rPr>
        <w:t>Jose Carlos Silva Sanchez-Gavito, Partner, Chevez, Ruiz, Zamarripa y Cia, S.C.</w:t>
      </w:r>
      <w:r>
        <w:rPr>
          <w:b/>
          <w:i/>
          <w:iCs/>
          <w:sz w:val="22"/>
        </w:rPr>
        <w:t xml:space="preserve"> </w:t>
      </w:r>
    </w:p>
    <w:p>
      <w:pPr>
        <w:pStyle w:val="Normal"/>
        <w:tabs>
          <w:tab w:val="clear" w:pos="720"/>
          <w:tab w:val="left" w:pos="1800" w:leader="none"/>
        </w:tabs>
        <w:ind w:start="180" w:end="0"/>
        <w:rPr>
          <w:b/>
          <w:i/>
          <w:i/>
          <w:iCs/>
          <w:sz w:val="22"/>
        </w:rPr>
      </w:pPr>
      <w:r>
        <w:rPr>
          <w:b/>
          <w:i/>
          <w:iCs/>
          <w:sz w:val="22"/>
        </w:rPr>
      </w:r>
    </w:p>
    <w:p>
      <w:pPr>
        <w:pStyle w:val="Normal"/>
        <w:tabs>
          <w:tab w:val="clear" w:pos="720"/>
          <w:tab w:val="left" w:pos="1800" w:leader="none"/>
        </w:tabs>
        <w:ind w:start="180" w:end="0"/>
        <w:rPr/>
      </w:pPr>
      <w:r>
        <w:rPr>
          <w:b/>
          <w:i/>
          <w:iCs/>
          <w:sz w:val="22"/>
        </w:rPr>
        <w:t xml:space="preserve">  </w:t>
      </w:r>
      <w:r>
        <w:rPr>
          <w:b/>
          <w:sz w:val="22"/>
        </w:rPr>
        <w:t>4:15 PM</w:t>
        <w:tab/>
        <w:t>Afternoon Break</w:t>
      </w:r>
    </w:p>
    <w:p>
      <w:pPr>
        <w:pStyle w:val="Normal"/>
        <w:tabs>
          <w:tab w:val="clear" w:pos="720"/>
          <w:tab w:val="left" w:pos="1800" w:leader="none"/>
          <w:tab w:val="left" w:pos="2160" w:leader="none"/>
          <w:tab w:val="left" w:pos="2520" w:leader="none"/>
        </w:tabs>
        <w:rPr>
          <w:sz w:val="22"/>
        </w:rPr>
      </w:pPr>
      <w:r>
        <w:rPr>
          <w:sz w:val="22"/>
        </w:rPr>
        <w:tab/>
      </w:r>
    </w:p>
    <w:p>
      <w:pPr>
        <w:pStyle w:val="Normal"/>
        <w:tabs>
          <w:tab w:val="clear" w:pos="720"/>
          <w:tab w:val="left" w:pos="1800" w:leader="none"/>
          <w:tab w:val="left" w:pos="2160" w:leader="none"/>
          <w:tab w:val="left" w:pos="2520" w:leader="none"/>
        </w:tabs>
        <w:ind w:start="180" w:end="0"/>
        <w:rPr/>
      </w:pPr>
      <w:r>
        <w:rPr>
          <w:sz w:val="22"/>
        </w:rPr>
        <w:t xml:space="preserve">  </w:t>
      </w:r>
      <w:r>
        <w:rPr>
          <w:b/>
          <w:sz w:val="22"/>
        </w:rPr>
        <w:t>4:30 PM</w:t>
        <w:tab/>
        <w:t>Synergy between Exchange and the OTC Derivatives Markets in Mexico: Looking</w:t>
      </w:r>
    </w:p>
    <w:p>
      <w:pPr>
        <w:pStyle w:val="Normal"/>
        <w:tabs>
          <w:tab w:val="clear" w:pos="720"/>
          <w:tab w:val="left" w:pos="1800" w:leader="none"/>
          <w:tab w:val="left" w:pos="2160" w:leader="none"/>
          <w:tab w:val="left" w:pos="2520" w:leader="none"/>
        </w:tabs>
        <w:ind w:hanging="2160" w:start="2160" w:end="0"/>
        <w:rPr>
          <w:b/>
          <w:sz w:val="22"/>
        </w:rPr>
      </w:pPr>
      <w:r>
        <w:rPr>
          <w:b/>
          <w:sz w:val="22"/>
        </w:rPr>
        <w:tab/>
        <w:t xml:space="preserve">Forward Growth and Liquidity </w:t>
      </w:r>
    </w:p>
    <w:p>
      <w:pPr>
        <w:pStyle w:val="Normal"/>
        <w:tabs>
          <w:tab w:val="clear" w:pos="720"/>
          <w:tab w:val="left" w:pos="1800" w:leader="none"/>
          <w:tab w:val="left" w:pos="2520" w:leader="none"/>
        </w:tabs>
        <w:ind w:hanging="1800" w:start="1800" w:end="0"/>
        <w:rPr/>
      </w:pPr>
      <w:r>
        <w:rPr>
          <w:b/>
          <w:sz w:val="22"/>
        </w:rPr>
        <w:t xml:space="preserve">      </w:t>
      </w:r>
      <w:r>
        <w:rPr>
          <w:b/>
          <w:sz w:val="22"/>
        </w:rPr>
        <w:tab/>
        <w:t xml:space="preserve">Moderator:  </w:t>
      </w:r>
      <w:r>
        <w:rPr>
          <w:b/>
          <w:i/>
          <w:sz w:val="22"/>
        </w:rPr>
        <w:t>Rodolfo Sanchez-Arriola, Chief Executive Officer, MexDer</w:t>
      </w:r>
    </w:p>
    <w:p>
      <w:pPr>
        <w:pStyle w:val="Normal"/>
        <w:tabs>
          <w:tab w:val="clear" w:pos="720"/>
          <w:tab w:val="left" w:pos="1800" w:leader="none"/>
          <w:tab w:val="left" w:pos="2520" w:leader="none"/>
        </w:tabs>
        <w:ind w:hanging="1800" w:start="1800" w:end="0"/>
        <w:rPr>
          <w:b/>
          <w:i/>
          <w:i/>
          <w:sz w:val="22"/>
        </w:rPr>
      </w:pPr>
      <w:r>
        <w:rPr>
          <w:b/>
          <w:i/>
          <w:sz w:val="22"/>
        </w:rPr>
        <w:tab/>
        <w:t>Fernando Concha, Country Treasurer, Citibank Mexico S.A.</w:t>
      </w:r>
    </w:p>
    <w:p>
      <w:pPr>
        <w:pStyle w:val="Normal"/>
        <w:tabs>
          <w:tab w:val="clear" w:pos="720"/>
          <w:tab w:val="left" w:pos="1800" w:leader="none"/>
          <w:tab w:val="left" w:pos="2520" w:leader="none"/>
        </w:tabs>
        <w:ind w:hanging="1800" w:start="1800" w:end="0"/>
        <w:rPr>
          <w:b/>
          <w:i/>
          <w:i/>
          <w:sz w:val="22"/>
        </w:rPr>
      </w:pPr>
      <w:r>
        <w:rPr>
          <w:b/>
          <w:i/>
          <w:sz w:val="22"/>
        </w:rPr>
        <w:tab/>
        <w:t>Jorge Alonso, Executive Director, J.P.  Morgan Chase &amp; Co.</w:t>
      </w:r>
    </w:p>
    <w:p>
      <w:pPr>
        <w:pStyle w:val="Normal"/>
        <w:tabs>
          <w:tab w:val="clear" w:pos="720"/>
          <w:tab w:val="left" w:pos="1800" w:leader="none"/>
          <w:tab w:val="left" w:pos="2520" w:leader="none"/>
        </w:tabs>
        <w:ind w:hanging="1800" w:start="1800" w:end="0"/>
        <w:rPr>
          <w:b/>
          <w:sz w:val="22"/>
        </w:rPr>
      </w:pPr>
      <w:r>
        <w:rPr>
          <w:b/>
          <w:i/>
          <w:sz w:val="22"/>
        </w:rPr>
        <w:tab/>
        <w:t>Juan José Salazar, Executive Vice President, Grupo Financiero Banamex Accival</w:t>
      </w:r>
    </w:p>
    <w:p>
      <w:pPr>
        <w:pStyle w:val="Normal"/>
        <w:tabs>
          <w:tab w:val="clear" w:pos="720"/>
          <w:tab w:val="left" w:pos="1800" w:leader="none"/>
        </w:tabs>
        <w:rPr>
          <w:b/>
          <w:sz w:val="22"/>
        </w:rPr>
      </w:pPr>
      <w:r>
        <w:rPr>
          <w:b/>
          <w:sz w:val="22"/>
        </w:rPr>
      </w:r>
    </w:p>
    <w:p>
      <w:pPr>
        <w:pStyle w:val="Normal"/>
        <w:tabs>
          <w:tab w:val="clear" w:pos="720"/>
          <w:tab w:val="left" w:pos="1800" w:leader="none"/>
        </w:tabs>
        <w:ind w:start="180" w:end="0"/>
        <w:rPr>
          <w:b/>
          <w:sz w:val="22"/>
        </w:rPr>
      </w:pPr>
      <w:r>
        <w:rPr>
          <w:b/>
          <w:sz w:val="22"/>
        </w:rPr>
        <w:t xml:space="preserve">  </w:t>
      </w:r>
      <w:r>
        <w:rPr>
          <w:b/>
          <w:sz w:val="22"/>
        </w:rPr>
        <w:t>5:30 PM</w:t>
        <w:tab/>
        <w:t>Closing Remarks</w:t>
      </w:r>
    </w:p>
    <w:p>
      <w:pPr>
        <w:pStyle w:val="Heading"/>
        <w:tabs>
          <w:tab w:val="clear" w:pos="720"/>
          <w:tab w:val="left" w:pos="1800" w:leader="none"/>
        </w:tabs>
        <w:jc w:val="start"/>
        <w:rPr>
          <w:bCs/>
        </w:rPr>
      </w:pPr>
      <w:r>
        <w:rPr>
          <w:bCs/>
          <w:i/>
        </w:rPr>
        <w:tab/>
        <w:t>Mario Laborin, General Director, Nacional Financiera, S.N.C.</w:t>
      </w:r>
    </w:p>
    <w:p>
      <w:pPr>
        <w:pStyle w:val="Heading"/>
        <w:rPr>
          <w:bCs/>
        </w:rPr>
      </w:pPr>
      <w:r>
        <w:rPr>
          <w:bCs/>
        </w:rPr>
      </w:r>
    </w:p>
    <w:p>
      <w:pPr>
        <w:pStyle w:val="Heading"/>
        <w:rPr>
          <w:bCs/>
        </w:rPr>
      </w:pPr>
      <w:r>
        <w:rPr>
          <w:bCs/>
        </w:rPr>
      </w:r>
    </w:p>
    <w:p>
      <w:pPr>
        <w:pStyle w:val="Heading"/>
        <w:rPr>
          <w:bCs/>
        </w:rPr>
      </w:pPr>
      <w:r>
        <w:rPr>
          <w:bCs/>
        </w:rPr>
      </w:r>
    </w:p>
    <w:p>
      <w:pPr>
        <w:pStyle w:val="Heading"/>
        <w:rPr>
          <w:bCs/>
        </w:rPr>
      </w:pPr>
      <w:r>
        <w:rPr>
          <w:bCs/>
        </w:rPr>
        <w:t>Simultaneous translation will be provided</w:t>
      </w:r>
    </w:p>
    <w:p>
      <w:pPr>
        <w:pStyle w:val="Normal"/>
        <w:rPr>
          <w:bCs/>
        </w:rPr>
      </w:pPr>
      <w:r>
        <w:rPr>
          <w:bCs/>
        </w:rPr>
      </w:r>
    </w:p>
    <w:p>
      <w:pPr>
        <w:pStyle w:val="Normal"/>
        <w:rPr/>
      </w:pPr>
      <w:r>
        <w:rPr/>
      </w:r>
      <w:r>
        <w:br w:type="page"/>
      </w:r>
    </w:p>
    <w:p>
      <w:pPr>
        <w:pStyle w:val="Normal"/>
        <w:rPr/>
      </w:pPr>
      <w:r>
        <w:rPr/>
      </w:r>
    </w:p>
    <w:p>
      <w:pPr>
        <w:pStyle w:val="Normal"/>
        <w:pBdr>
          <w:bottom w:val="single" w:sz="12" w:space="0" w:color="000000"/>
        </w:pBdr>
        <w:rPr>
          <w:b/>
          <w:szCs w:val="20"/>
          <w:lang w:val="en-GB"/>
        </w:rPr>
      </w:pPr>
      <w:r>
        <w:rPr>
          <w:b/>
          <w:sz w:val="72"/>
        </w:rPr>
        <w:t>ISDA</w:t>
      </w:r>
      <w:r>
        <w:rPr>
          <w:b/>
        </w:rPr>
        <w:t xml:space="preserve"> International Swaps and Derivatives Association, Inc.</w:t>
      </w:r>
    </w:p>
    <w:p>
      <w:pPr>
        <w:pStyle w:val="Heading"/>
        <w:rPr>
          <w:b w:val="false"/>
          <w:szCs w:val="20"/>
          <w:lang w:val="en-GB"/>
        </w:rPr>
      </w:pPr>
      <w:r>
        <w:rPr>
          <w:b w:val="false"/>
          <w:szCs w:val="20"/>
          <w:lang w:val="en-GB"/>
        </w:rPr>
      </w:r>
    </w:p>
    <w:p>
      <w:pPr>
        <w:pStyle w:val="Normal"/>
        <w:jc w:val="center"/>
        <w:rPr>
          <w:b/>
          <w:sz w:val="28"/>
          <w:szCs w:val="20"/>
          <w:u w:val="single"/>
          <w:lang w:val="en-GB"/>
        </w:rPr>
      </w:pPr>
      <w:r>
        <w:rPr>
          <w:b/>
          <w:sz w:val="28"/>
          <w:u w:val="single"/>
        </w:rPr>
        <w:t>Trading Practice Committee:</w:t>
      </w:r>
    </w:p>
    <w:p>
      <w:pPr>
        <w:pStyle w:val="Heading5"/>
        <w:ind w:hanging="0" w:start="0"/>
        <w:rPr/>
      </w:pPr>
      <w:r>
        <w:rPr/>
        <w:t>Chair: Jonathan Moulds, Bank of America</w:t>
      </w:r>
    </w:p>
    <w:p>
      <w:pPr>
        <w:pStyle w:val="Normal"/>
        <w:jc w:val="center"/>
        <w:rPr>
          <w:lang w:val="en-GB"/>
        </w:rPr>
      </w:pPr>
      <w:r>
        <w:rPr>
          <w:lang w:val="en-GB"/>
        </w:rPr>
        <w:t>European Co-chair: Tim Fredrickson, UBSW [?]</w:t>
      </w:r>
    </w:p>
    <w:p>
      <w:pPr>
        <w:pStyle w:val="Normal"/>
        <w:jc w:val="center"/>
        <w:rPr>
          <w:lang w:val="en-GB"/>
        </w:rPr>
      </w:pPr>
      <w:r>
        <w:rPr>
          <w:lang w:val="en-GB"/>
        </w:rPr>
        <w:t>North American Co-chair: Chip Carver, Goldman Sachs</w:t>
      </w:r>
    </w:p>
    <w:p>
      <w:pPr>
        <w:pStyle w:val="Normal"/>
        <w:ind w:end="992"/>
        <w:rPr>
          <w:szCs w:val="20"/>
          <w:lang w:val="en-GB"/>
        </w:rPr>
      </w:pPr>
      <w:r>
        <w:rPr>
          <w:szCs w:val="20"/>
          <w:lang w:val="en-GB"/>
        </w:rPr>
      </w:r>
    </w:p>
    <w:p>
      <w:pPr>
        <w:pStyle w:val="Heading4"/>
        <w:jc w:val="both"/>
        <w:rPr>
          <w:sz w:val="24"/>
        </w:rPr>
      </w:pPr>
      <w:r>
        <w:rPr>
          <w:sz w:val="24"/>
        </w:rPr>
        <w:t>Overview</w:t>
      </w:r>
    </w:p>
    <w:p>
      <w:pPr>
        <w:pStyle w:val="Normal"/>
        <w:ind w:end="992"/>
        <w:jc w:val="both"/>
        <w:rPr>
          <w:sz w:val="24"/>
          <w:szCs w:val="20"/>
          <w:lang w:val="en-GB"/>
        </w:rPr>
      </w:pPr>
      <w:r>
        <w:rPr>
          <w:sz w:val="24"/>
          <w:szCs w:val="20"/>
          <w:lang w:val="en-GB"/>
        </w:rPr>
      </w:r>
    </w:p>
    <w:p>
      <w:pPr>
        <w:pStyle w:val="BodyText3"/>
        <w:rPr/>
      </w:pPr>
      <w:r>
        <w:rPr/>
        <w:t>The committee is a forum in which to address issues affecting the business and practice of derivatives trading, with a view to reaching consensus and convention on the most efficient, effective and appropriate means of conducting OTC transactions. The Committee was recently renamed the Trading Practice Committee, more accurately to reflect its role in relation to other ISDA activities and committees (e.g.: Operations, Collateral, Accounting, etc).</w:t>
      </w:r>
    </w:p>
    <w:p>
      <w:pPr>
        <w:pStyle w:val="Normal"/>
        <w:jc w:val="both"/>
        <w:rPr>
          <w:szCs w:val="20"/>
          <w:lang w:val="en-GB"/>
        </w:rPr>
      </w:pPr>
      <w:r>
        <w:rPr>
          <w:szCs w:val="20"/>
          <w:lang w:val="en-GB"/>
        </w:rPr>
      </w:r>
    </w:p>
    <w:p>
      <w:pPr>
        <w:pStyle w:val="Normal"/>
        <w:jc w:val="both"/>
        <w:rPr>
          <w:szCs w:val="20"/>
          <w:lang w:val="en-GB"/>
        </w:rPr>
      </w:pPr>
      <w:r>
        <w:rPr/>
        <w:t>The role of the Trading Practice Committee is to review trading standards and practices, and to act as an advisory resource to other committees on the direction and status of specific issues involving the industry. Associate groups are the Market Survey and ISDAFIX (see below).</w:t>
      </w:r>
    </w:p>
    <w:p>
      <w:pPr>
        <w:pStyle w:val="Normal"/>
        <w:jc w:val="both"/>
        <w:rPr>
          <w:b/>
          <w:szCs w:val="20"/>
          <w:lang w:val="en-GB"/>
        </w:rPr>
      </w:pPr>
      <w:r>
        <w:rPr>
          <w:b/>
          <w:szCs w:val="20"/>
          <w:lang w:val="en-GB"/>
        </w:rPr>
      </w:r>
    </w:p>
    <w:p>
      <w:pPr>
        <w:pStyle w:val="Normal"/>
        <w:jc w:val="both"/>
        <w:rPr>
          <w:b/>
          <w:szCs w:val="20"/>
          <w:lang w:val="en-GB"/>
        </w:rPr>
      </w:pPr>
      <w:r>
        <w:rPr>
          <w:b/>
        </w:rPr>
        <w:t>Trading Practice Committee Projects:</w:t>
      </w:r>
    </w:p>
    <w:p>
      <w:pPr>
        <w:pStyle w:val="Normal"/>
        <w:jc w:val="both"/>
        <w:rPr>
          <w:b/>
          <w:szCs w:val="20"/>
          <w:lang w:val="en-GB"/>
        </w:rPr>
      </w:pPr>
      <w:r>
        <w:rPr>
          <w:b/>
          <w:szCs w:val="20"/>
          <w:lang w:val="en-GB"/>
        </w:rPr>
      </w:r>
    </w:p>
    <w:p>
      <w:pPr>
        <w:pStyle w:val="Normal"/>
        <w:jc w:val="both"/>
        <w:rPr>
          <w:b/>
          <w:szCs w:val="20"/>
          <w:u w:val="single"/>
          <w:lang w:val="en-GB"/>
        </w:rPr>
      </w:pPr>
      <w:r>
        <w:rPr>
          <w:b/>
          <w:u w:val="single"/>
        </w:rPr>
        <w:t>North American and European Committees</w:t>
      </w:r>
    </w:p>
    <w:p>
      <w:pPr>
        <w:pStyle w:val="Normal"/>
        <w:numPr>
          <w:ilvl w:val="0"/>
          <w:numId w:val="17"/>
        </w:numPr>
        <w:jc w:val="both"/>
        <w:rPr>
          <w:szCs w:val="20"/>
          <w:lang w:val="en-GB"/>
        </w:rPr>
      </w:pPr>
      <w:r>
        <w:rPr/>
        <w:t>Electronic trading:</w:t>
      </w:r>
    </w:p>
    <w:p>
      <w:pPr>
        <w:pStyle w:val="Normal"/>
        <w:numPr>
          <w:ilvl w:val="0"/>
          <w:numId w:val="8"/>
        </w:numPr>
        <w:jc w:val="both"/>
        <w:rPr>
          <w:szCs w:val="20"/>
          <w:lang w:val="en-GB"/>
        </w:rPr>
      </w:pPr>
      <w:r>
        <w:rPr/>
        <w:t xml:space="preserve">Its impact on market efficiency and margins </w:t>
      </w:r>
    </w:p>
    <w:p>
      <w:pPr>
        <w:pStyle w:val="Normal"/>
        <w:numPr>
          <w:ilvl w:val="0"/>
          <w:numId w:val="8"/>
        </w:numPr>
        <w:jc w:val="both"/>
        <w:rPr>
          <w:szCs w:val="20"/>
          <w:lang w:val="en-GB"/>
        </w:rPr>
      </w:pPr>
      <w:r>
        <w:rPr/>
        <w:t>Broker initiatives, inter-dealer alliances and other consortia</w:t>
      </w:r>
    </w:p>
    <w:p>
      <w:pPr>
        <w:pStyle w:val="Normal"/>
        <w:numPr>
          <w:ilvl w:val="0"/>
          <w:numId w:val="8"/>
        </w:numPr>
        <w:jc w:val="both"/>
        <w:rPr>
          <w:szCs w:val="20"/>
          <w:lang w:val="en-GB"/>
        </w:rPr>
      </w:pPr>
      <w:r>
        <w:rPr/>
        <w:t>The evolving role of the interbanker</w:t>
      </w:r>
    </w:p>
    <w:p>
      <w:pPr>
        <w:pStyle w:val="Normal"/>
        <w:numPr>
          <w:ilvl w:val="0"/>
          <w:numId w:val="8"/>
        </w:numPr>
        <w:jc w:val="both"/>
        <w:rPr>
          <w:szCs w:val="20"/>
          <w:lang w:val="en-GB"/>
        </w:rPr>
      </w:pPr>
      <w:r>
        <w:rPr/>
        <w:t>Brokerage fees and the role of the voice broker</w:t>
      </w:r>
    </w:p>
    <w:p>
      <w:pPr>
        <w:pStyle w:val="Normal"/>
        <w:numPr>
          <w:ilvl w:val="0"/>
          <w:numId w:val="8"/>
        </w:numPr>
        <w:jc w:val="both"/>
        <w:rPr>
          <w:szCs w:val="20"/>
          <w:lang w:val="en-GB"/>
        </w:rPr>
      </w:pPr>
      <w:r>
        <w:rPr/>
        <w:t>Future directions: Cross-product linkages, sectors most suitable for adaptation</w:t>
      </w:r>
    </w:p>
    <w:p>
      <w:pPr>
        <w:pStyle w:val="Normal"/>
        <w:jc w:val="both"/>
        <w:rPr>
          <w:szCs w:val="20"/>
          <w:lang w:val="en-GB"/>
        </w:rPr>
      </w:pPr>
      <w:r>
        <w:rPr>
          <w:szCs w:val="20"/>
          <w:lang w:val="en-GB"/>
        </w:rPr>
      </w:r>
    </w:p>
    <w:p>
      <w:pPr>
        <w:pStyle w:val="Normal"/>
        <w:jc w:val="both"/>
        <w:rPr>
          <w:b/>
        </w:rPr>
      </w:pPr>
      <w:r>
        <w:rPr>
          <w:b/>
        </w:rPr>
        <w:t>Current Activities</w:t>
      </w:r>
    </w:p>
    <w:p>
      <w:pPr>
        <w:pStyle w:val="Normal"/>
        <w:jc w:val="both"/>
        <w:rPr>
          <w:b/>
          <w:szCs w:val="20"/>
          <w:lang w:val="en-GB"/>
        </w:rPr>
      </w:pPr>
      <w:r>
        <w:rPr>
          <w:b/>
          <w:szCs w:val="20"/>
          <w:lang w:val="en-GB"/>
        </w:rPr>
      </w:r>
    </w:p>
    <w:p>
      <w:pPr>
        <w:pStyle w:val="Normal"/>
        <w:numPr>
          <w:ilvl w:val="0"/>
          <w:numId w:val="10"/>
        </w:numPr>
        <w:jc w:val="both"/>
        <w:rPr>
          <w:szCs w:val="20"/>
          <w:lang w:val="en-GB"/>
        </w:rPr>
      </w:pPr>
      <w:r>
        <w:rPr>
          <w:szCs w:val="20"/>
          <w:lang w:val="en-GB"/>
        </w:rPr>
        <w:t>Retirement of certain Treasury bond maturities – investigation into alternative pricing conventions and establishment of a trading practice standard as key underlying benchmarks disappear.</w:t>
      </w:r>
      <w:r>
        <w:rPr>
          <w:b/>
          <w:bCs/>
          <w:szCs w:val="20"/>
          <w:u w:val="single"/>
          <w:lang w:val="en-GB"/>
        </w:rPr>
        <w:t>(Timing: late summer 2001)</w:t>
      </w:r>
    </w:p>
    <w:p>
      <w:pPr>
        <w:pStyle w:val="Normal"/>
        <w:jc w:val="both"/>
        <w:rPr>
          <w:szCs w:val="20"/>
          <w:lang w:val="en-GB"/>
        </w:rPr>
      </w:pPr>
      <w:r>
        <w:rPr>
          <w:szCs w:val="20"/>
          <w:lang w:val="en-GB"/>
        </w:rPr>
      </w:r>
    </w:p>
    <w:p>
      <w:pPr>
        <w:pStyle w:val="Normal"/>
        <w:numPr>
          <w:ilvl w:val="0"/>
          <w:numId w:val="17"/>
        </w:numPr>
        <w:jc w:val="both"/>
        <w:rPr>
          <w:szCs w:val="20"/>
          <w:lang w:val="en-GB"/>
        </w:rPr>
      </w:pPr>
      <w:r>
        <w:rPr/>
        <w:t xml:space="preserve">Monitoring the impact of FAS 133 and other tax and accounting issues on inter-company trades and end-user activity </w:t>
      </w:r>
      <w:r>
        <w:rPr>
          <w:b/>
          <w:bCs/>
        </w:rPr>
        <w:t>(</w:t>
      </w:r>
      <w:r>
        <w:rPr>
          <w:b/>
          <w:bCs/>
          <w:u w:val="single"/>
        </w:rPr>
        <w:t>Timing: ongoing)</w:t>
      </w:r>
    </w:p>
    <w:p>
      <w:pPr>
        <w:pStyle w:val="Normal"/>
        <w:ind w:firstLine="720" w:start="5760" w:end="0"/>
        <w:jc w:val="both"/>
        <w:rPr>
          <w:szCs w:val="20"/>
          <w:lang w:val="en-GB"/>
        </w:rPr>
      </w:pPr>
      <w:r>
        <w:rPr>
          <w:szCs w:val="20"/>
          <w:lang w:val="en-GB"/>
        </w:rPr>
      </w:r>
    </w:p>
    <w:p>
      <w:pPr>
        <w:pStyle w:val="Normal"/>
        <w:jc w:val="both"/>
        <w:rPr>
          <w:b/>
          <w:szCs w:val="20"/>
          <w:u w:val="single"/>
          <w:lang w:val="en-GB"/>
        </w:rPr>
      </w:pPr>
      <w:r>
        <w:rPr>
          <w:b/>
          <w:u w:val="single"/>
        </w:rPr>
        <w:t>European Committee Only</w:t>
      </w:r>
    </w:p>
    <w:p>
      <w:pPr>
        <w:pStyle w:val="Normal"/>
        <w:jc w:val="both"/>
        <w:rPr>
          <w:b/>
          <w:bCs/>
          <w:szCs w:val="20"/>
          <w:lang w:val="en-GB"/>
        </w:rPr>
      </w:pPr>
      <w:r>
        <w:rPr/>
        <w:t xml:space="preserve">Euro committee collaboration on redenomination and reconventioning </w:t>
      </w:r>
      <w:r>
        <w:rPr>
          <w:b/>
          <w:bCs/>
        </w:rPr>
        <w:t>(</w:t>
      </w:r>
      <w:r>
        <w:rPr>
          <w:b/>
          <w:bCs/>
          <w:u w:val="single"/>
        </w:rPr>
        <w:t>Timing: Ongoing</w:t>
      </w:r>
      <w:r>
        <w:rPr>
          <w:b/>
          <w:bCs/>
        </w:rPr>
        <w:t>)</w:t>
      </w:r>
    </w:p>
    <w:p>
      <w:pPr>
        <w:pStyle w:val="Normal"/>
        <w:jc w:val="both"/>
        <w:rPr>
          <w:b/>
          <w:bCs/>
          <w:szCs w:val="20"/>
          <w:lang w:val="en-GB"/>
        </w:rPr>
      </w:pPr>
      <w:r>
        <w:rPr>
          <w:b/>
          <w:bCs/>
          <w:szCs w:val="20"/>
          <w:lang w:val="en-GB"/>
        </w:rPr>
      </w:r>
      <w:r>
        <w:br w:type="page"/>
      </w:r>
    </w:p>
    <w:p>
      <w:pPr>
        <w:pStyle w:val="Normal"/>
        <w:jc w:val="both"/>
        <w:rPr>
          <w:szCs w:val="20"/>
          <w:lang w:val="en-GB"/>
        </w:rPr>
      </w:pPr>
      <w:r>
        <w:rPr>
          <w:szCs w:val="20"/>
          <w:lang w:val="en-GB"/>
        </w:rPr>
      </w:r>
    </w:p>
    <w:p>
      <w:pPr>
        <w:pStyle w:val="Normal"/>
        <w:jc w:val="both"/>
        <w:rPr>
          <w:b/>
          <w:szCs w:val="20"/>
          <w:lang w:val="en-GB"/>
        </w:rPr>
      </w:pPr>
      <w:r>
        <w:rPr>
          <w:b/>
        </w:rPr>
        <w:t>ISDAFIX Projects:</w:t>
      </w:r>
    </w:p>
    <w:p>
      <w:pPr>
        <w:pStyle w:val="Normal"/>
        <w:numPr>
          <w:ilvl w:val="0"/>
          <w:numId w:val="17"/>
        </w:numPr>
        <w:jc w:val="both"/>
        <w:rPr>
          <w:szCs w:val="20"/>
          <w:lang w:val="en-GB"/>
        </w:rPr>
      </w:pPr>
      <w:r>
        <w:rPr>
          <w:szCs w:val="20"/>
          <w:lang w:val="en-GB"/>
        </w:rPr>
        <w:t xml:space="preserve">Improving and refining the process and quality of the rates quoted </w:t>
      </w:r>
      <w:r>
        <w:rPr>
          <w:b/>
          <w:bCs/>
          <w:szCs w:val="20"/>
          <w:u w:val="single"/>
          <w:lang w:val="en-GB"/>
        </w:rPr>
        <w:t>(Timing: Immediate)</w:t>
      </w:r>
    </w:p>
    <w:p>
      <w:pPr>
        <w:pStyle w:val="Normal"/>
        <w:jc w:val="both"/>
        <w:rPr>
          <w:szCs w:val="20"/>
          <w:lang w:val="en-GB"/>
        </w:rPr>
      </w:pPr>
      <w:r>
        <w:rPr>
          <w:szCs w:val="20"/>
          <w:lang w:val="en-GB"/>
        </w:rPr>
      </w:r>
    </w:p>
    <w:p>
      <w:pPr>
        <w:pStyle w:val="Normal"/>
        <w:numPr>
          <w:ilvl w:val="0"/>
          <w:numId w:val="17"/>
        </w:numPr>
        <w:jc w:val="both"/>
        <w:rPr>
          <w:szCs w:val="20"/>
          <w:lang w:val="en-GB"/>
        </w:rPr>
      </w:pPr>
      <w:r>
        <w:rPr/>
        <w:t>Formal panel composition review process (</w:t>
      </w:r>
      <w:r>
        <w:rPr>
          <w:b/>
          <w:u w:val="single"/>
        </w:rPr>
        <w:t>Timing: Immediate)</w:t>
      </w:r>
    </w:p>
    <w:p>
      <w:pPr>
        <w:pStyle w:val="Normal"/>
        <w:jc w:val="both"/>
        <w:rPr>
          <w:szCs w:val="20"/>
          <w:lang w:val="en-GB"/>
        </w:rPr>
      </w:pPr>
      <w:r>
        <w:rPr>
          <w:szCs w:val="20"/>
          <w:lang w:val="en-GB"/>
        </w:rPr>
      </w:r>
    </w:p>
    <w:p>
      <w:pPr>
        <w:pStyle w:val="Normal"/>
        <w:numPr>
          <w:ilvl w:val="0"/>
          <w:numId w:val="17"/>
        </w:numPr>
        <w:jc w:val="both"/>
        <w:rPr>
          <w:szCs w:val="20"/>
          <w:lang w:val="en-GB"/>
        </w:rPr>
      </w:pPr>
      <w:r>
        <w:rPr/>
        <w:t xml:space="preserve">Educating market practitioners on the scope of ISDAFIX and its potential uses, in particular its utility for options traders in closing settlement rates </w:t>
        <w:tab/>
        <w:t>(</w:t>
      </w:r>
      <w:r>
        <w:rPr>
          <w:b/>
          <w:u w:val="single"/>
        </w:rPr>
        <w:t>Timing: Ongoing)</w:t>
      </w:r>
    </w:p>
    <w:p>
      <w:pPr>
        <w:pStyle w:val="Normal"/>
        <w:jc w:val="both"/>
        <w:rPr>
          <w:szCs w:val="20"/>
          <w:lang w:val="en-GB"/>
        </w:rPr>
      </w:pPr>
      <w:r>
        <w:rPr>
          <w:szCs w:val="20"/>
          <w:lang w:val="en-GB"/>
        </w:rPr>
      </w:r>
    </w:p>
    <w:p>
      <w:pPr>
        <w:pStyle w:val="Normal"/>
        <w:numPr>
          <w:ilvl w:val="0"/>
          <w:numId w:val="17"/>
        </w:numPr>
        <w:jc w:val="both"/>
        <w:rPr>
          <w:szCs w:val="20"/>
          <w:lang w:val="en-GB"/>
        </w:rPr>
      </w:pPr>
      <w:r>
        <w:rPr/>
        <w:t>Exploring the use of ISDAFIX as default rate (</w:t>
      </w:r>
      <w:r>
        <w:rPr>
          <w:b/>
          <w:u w:val="single"/>
        </w:rPr>
        <w:t>Timing Fall 2001)</w:t>
      </w:r>
    </w:p>
    <w:p>
      <w:pPr>
        <w:pStyle w:val="Normal"/>
        <w:jc w:val="both"/>
        <w:rPr>
          <w:szCs w:val="20"/>
          <w:lang w:val="en-GB"/>
        </w:rPr>
      </w:pPr>
      <w:r>
        <w:rPr>
          <w:szCs w:val="20"/>
          <w:lang w:val="en-GB"/>
        </w:rPr>
      </w:r>
    </w:p>
    <w:p>
      <w:pPr>
        <w:pStyle w:val="Normal"/>
        <w:numPr>
          <w:ilvl w:val="0"/>
          <w:numId w:val="17"/>
        </w:numPr>
        <w:jc w:val="both"/>
        <w:rPr>
          <w:szCs w:val="20"/>
          <w:lang w:val="en-GB"/>
        </w:rPr>
      </w:pPr>
      <w:r>
        <w:rPr/>
        <w:t>Broader market awareness-raising and education of members on the use of ISDAFIX, building on its inclusion in the Federal Reserve’s H-15 figures, and examination of other publication avenues (</w:t>
      </w:r>
      <w:r>
        <w:rPr>
          <w:b/>
          <w:u w:val="single"/>
        </w:rPr>
        <w:t>Timing: Ongoing)</w:t>
      </w:r>
    </w:p>
    <w:p>
      <w:pPr>
        <w:pStyle w:val="Normal"/>
        <w:jc w:val="both"/>
        <w:rPr>
          <w:szCs w:val="20"/>
          <w:lang w:val="en-GB"/>
        </w:rPr>
      </w:pPr>
      <w:r>
        <w:rPr>
          <w:szCs w:val="20"/>
          <w:lang w:val="en-GB"/>
        </w:rPr>
      </w:r>
    </w:p>
    <w:p>
      <w:pPr>
        <w:pStyle w:val="Normal"/>
        <w:numPr>
          <w:ilvl w:val="0"/>
          <w:numId w:val="17"/>
        </w:numPr>
        <w:jc w:val="both"/>
        <w:rPr>
          <w:szCs w:val="20"/>
          <w:lang w:val="en-GB"/>
        </w:rPr>
      </w:pPr>
      <w:r>
        <w:rPr/>
        <w:t>Expansion of currencies and tenors (</w:t>
      </w:r>
      <w:r>
        <w:rPr>
          <w:b/>
          <w:u w:val="single"/>
        </w:rPr>
        <w:t>Timing: Ongoing)</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upperLetter"/>
      <w:lvlText w:val="%1."/>
      <w:lvlJc w:val="start"/>
      <w:pPr>
        <w:tabs>
          <w:tab w:val="num" w:pos="1440"/>
        </w:tabs>
        <w:ind w:start="1440" w:hanging="360"/>
      </w:pPr>
      <w:rPr>
        <w:b/>
      </w:rPr>
    </w:lvl>
  </w:abstractNum>
  <w:abstractNum w:abstractNumId="3">
    <w:lvl w:ilvl="0">
      <w:start w:val="1"/>
      <w:numFmt w:val="upperRoman"/>
      <w:lvlText w:val="%1."/>
      <w:lvlJc w:val="start"/>
      <w:pPr>
        <w:tabs>
          <w:tab w:val="num" w:pos="1080"/>
        </w:tabs>
        <w:ind w:start="1080" w:hanging="720"/>
      </w:pPr>
      <w:rPr/>
    </w:lvl>
    <w:lvl w:ilvl="1">
      <w:start w:val="1"/>
      <w:numFmt w:val="bullet"/>
      <w:lvlText w:val="●"/>
      <w:lvlJc w:val="start"/>
      <w:pPr>
        <w:tabs>
          <w:tab w:val="num" w:pos="720"/>
        </w:tabs>
        <w:ind w:start="1440" w:hanging="360"/>
      </w:pPr>
      <w:rPr>
        <w:rFonts w:ascii="Times New Roman" w:hAnsi="Times New Roman" w:cs="Times New Roman"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upperRoman"/>
      <w:lvlText w:val="%1."/>
      <w:lvlJc w:val="end"/>
      <w:pPr>
        <w:tabs>
          <w:tab w:val="num" w:pos="720"/>
        </w:tabs>
        <w:ind w:start="720" w:hanging="180"/>
      </w:pPr>
      <w:rPr>
        <w:i w:val="false"/>
        <w:b/>
        <w:rFonts w:ascii="Times New Roman" w:hAnsi="Times New Roman" w:cs="Times New Roman"/>
      </w:rPr>
    </w:lvl>
    <w:lvl w:ilvl="1">
      <w:start w:val="1"/>
      <w:numFmt w:val="upperLetter"/>
      <w:lvlText w:val="%2."/>
      <w:lvlJc w:val="start"/>
      <w:pPr>
        <w:tabs>
          <w:tab w:val="num" w:pos="1440"/>
        </w:tabs>
        <w:ind w:start="1440" w:hanging="360"/>
      </w:pPr>
      <w:rPr>
        <w:i w:val="false"/>
        <w:b/>
      </w:rPr>
    </w:lvl>
    <w:lvl w:ilvl="2">
      <w:start w:val="1"/>
      <w:numFmt w:val="bullet"/>
      <w:lvlText w:val="●"/>
      <w:lvlJc w:val="start"/>
      <w:pPr>
        <w:tabs>
          <w:tab w:val="num" w:pos="720"/>
        </w:tabs>
        <w:ind w:start="2340" w:hanging="360"/>
      </w:pPr>
      <w:rPr>
        <w:rFonts w:ascii="Times New Roman" w:hAnsi="Times New Roman" w:cs="Times New Roman"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8">
    <w:lvl w:ilvl="0">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720"/>
        </w:tabs>
        <w:ind w:start="720" w:hanging="360"/>
      </w:pPr>
      <w:rPr>
        <w:rFonts w:ascii="Wingdings" w:hAnsi="Wingdings" w:cs="Wingdings"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720"/>
        </w:tabs>
        <w:ind w:start="2340" w:hanging="360"/>
      </w:pPr>
      <w:rPr>
        <w:rFonts w:ascii="Times New Roman" w:hAnsi="Times New Roman" w:cs="Times New Roman"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2"/>
      <w:numFmt w:val="upperRoman"/>
      <w:lvlText w:val="%1."/>
      <w:lvlJc w:val="start"/>
      <w:pPr>
        <w:tabs>
          <w:tab w:val="num" w:pos="1080"/>
        </w:tabs>
        <w:ind w:start="1080" w:hanging="720"/>
      </w:pPr>
      <w:rPr/>
    </w:lvl>
    <w:lvl w:ilvl="1">
      <w:start w:val="1"/>
      <w:numFmt w:val="bullet"/>
      <w:lvlText w:val=""/>
      <w:lvlJc w:val="start"/>
      <w:pPr>
        <w:tabs>
          <w:tab w:val="num" w:pos="1440"/>
        </w:tabs>
        <w:ind w:start="1440" w:hanging="360"/>
      </w:pPr>
      <w:rPr>
        <w:rFonts w:ascii="Wingdings" w:hAnsi="Wingdings" w:cs="Wingdings" w:hint="default"/>
      </w:rPr>
    </w:lvl>
    <w:lvl w:ilvl="2">
      <w:start w:val="1"/>
      <w:numFmt w:val="bullet"/>
      <w:lvlText w:val="●"/>
      <w:lvlJc w:val="start"/>
      <w:pPr>
        <w:tabs>
          <w:tab w:val="num" w:pos="2340"/>
        </w:tabs>
        <w:ind w:start="2340" w:hanging="360"/>
      </w:pPr>
      <w:rPr>
        <w:rFonts w:ascii="Times New Roman" w:hAnsi="Times New Roman" w:cs="Times New Roman"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6">
    <w:lvl w:ilvl="0">
      <w:start w:val="2"/>
      <w:numFmt w:val="upperRoman"/>
      <w:lvlText w:val="%1."/>
      <w:lvlJc w:val="start"/>
      <w:pPr>
        <w:tabs>
          <w:tab w:val="num" w:pos="1080"/>
        </w:tabs>
        <w:ind w:start="1080" w:hanging="720"/>
      </w:pPr>
      <w:rPr/>
    </w:lvl>
    <w:lvl w:ilvl="1">
      <w:start w:val="1"/>
      <w:numFmt w:val="bullet"/>
      <w:lvlText w:val=""/>
      <w:lvlJc w:val="start"/>
      <w:pPr>
        <w:tabs>
          <w:tab w:val="num" w:pos="1440"/>
        </w:tabs>
        <w:ind w:start="1440" w:hanging="360"/>
      </w:pPr>
      <w:rPr>
        <w:rFonts w:ascii="Wingdings" w:hAnsi="Wingdings" w:cs="Wingdings" w:hint="default"/>
      </w:rPr>
    </w:lvl>
    <w:lvl w:ilvl="2">
      <w:start w:val="1"/>
      <w:numFmt w:val="lowerLetter"/>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7">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080" w:end="0"/>
      <w:outlineLvl w:val="0"/>
    </w:pPr>
    <w:rPr>
      <w:b/>
      <w:i/>
      <w:iCs/>
      <w:sz w:val="20"/>
    </w:rPr>
  </w:style>
  <w:style w:type="paragraph" w:styleId="Heading2">
    <w:name w:val="heading 2"/>
    <w:basedOn w:val="Normal"/>
    <w:next w:val="Normal"/>
    <w:qFormat/>
    <w:pPr>
      <w:keepNext w:val="true"/>
      <w:numPr>
        <w:ilvl w:val="1"/>
        <w:numId w:val="1"/>
      </w:numPr>
      <w:spacing w:lineRule="auto" w:line="360"/>
      <w:jc w:val="center"/>
      <w:outlineLvl w:val="1"/>
    </w:pPr>
    <w:rPr>
      <w:rFonts w:eastAsia="Arial Unicode MS"/>
      <w:b/>
      <w:szCs w:val="20"/>
      <w:u w:val="single"/>
      <w:lang w:val="en-GB"/>
    </w:rPr>
  </w:style>
  <w:style w:type="paragraph" w:styleId="Heading3">
    <w:name w:val="heading 3"/>
    <w:basedOn w:val="Normal"/>
    <w:next w:val="Normal"/>
    <w:qFormat/>
    <w:pPr>
      <w:keepNext w:val="true"/>
      <w:numPr>
        <w:ilvl w:val="2"/>
        <w:numId w:val="1"/>
      </w:numPr>
      <w:tabs>
        <w:tab w:val="clear" w:pos="720"/>
        <w:tab w:val="left" w:pos="2160" w:leader="none"/>
        <w:tab w:val="left" w:pos="2520" w:leader="none"/>
      </w:tabs>
      <w:outlineLvl w:val="2"/>
    </w:pPr>
    <w:rPr>
      <w:b/>
      <w:sz w:val="20"/>
      <w:szCs w:val="20"/>
      <w:lang w:eastAsia="ja-JP"/>
    </w:rPr>
  </w:style>
  <w:style w:type="paragraph" w:styleId="Heading4">
    <w:name w:val="heading 4"/>
    <w:basedOn w:val="Normal"/>
    <w:next w:val="Normal"/>
    <w:qFormat/>
    <w:pPr>
      <w:keepNext w:val="true"/>
      <w:numPr>
        <w:ilvl w:val="3"/>
        <w:numId w:val="1"/>
      </w:numPr>
      <w:ind w:hanging="0" w:start="0" w:end="992"/>
      <w:outlineLvl w:val="3"/>
    </w:pPr>
    <w:rPr>
      <w:rFonts w:eastAsia="Arial Unicode MS"/>
      <w:b/>
      <w:sz w:val="22"/>
      <w:szCs w:val="20"/>
      <w:lang w:val="en-GB"/>
    </w:rPr>
  </w:style>
  <w:style w:type="paragraph" w:styleId="Heading5">
    <w:name w:val="heading 5"/>
    <w:basedOn w:val="Normal"/>
    <w:next w:val="Normal"/>
    <w:qFormat/>
    <w:pPr>
      <w:keepNext w:val="true"/>
      <w:numPr>
        <w:ilvl w:val="4"/>
        <w:numId w:val="1"/>
      </w:numPr>
      <w:jc w:val="center"/>
      <w:outlineLvl w:val="4"/>
    </w:pPr>
    <w:rPr>
      <w:szCs w:val="20"/>
      <w:lang w:val="en-GB"/>
    </w:rPr>
  </w:style>
  <w:style w:type="paragraph" w:styleId="Heading6">
    <w:name w:val="heading 6"/>
    <w:basedOn w:val="Normal"/>
    <w:next w:val="Normal"/>
    <w:qFormat/>
    <w:pPr>
      <w:keepNext w:val="true"/>
      <w:numPr>
        <w:ilvl w:val="5"/>
        <w:numId w:val="1"/>
      </w:numPr>
      <w:jc w:val="both"/>
      <w:outlineLvl w:val="5"/>
    </w:pPr>
    <w:rPr>
      <w:b/>
      <w:sz w:val="20"/>
      <w:szCs w:val="20"/>
      <w:lang w:val="en-GB"/>
    </w:rPr>
  </w:style>
  <w:style w:type="paragraph" w:styleId="Heading7">
    <w:name w:val="heading 7"/>
    <w:basedOn w:val="Normal"/>
    <w:next w:val="Normal"/>
    <w:qFormat/>
    <w:pPr>
      <w:keepNext w:val="true"/>
      <w:numPr>
        <w:ilvl w:val="6"/>
        <w:numId w:val="1"/>
      </w:numPr>
      <w:pBdr>
        <w:top w:val="single" w:sz="12" w:space="1" w:color="000000"/>
        <w:left w:val="single" w:sz="12" w:space="4" w:color="000000"/>
        <w:bottom w:val="single" w:sz="12" w:space="1" w:color="000000"/>
        <w:right w:val="single" w:sz="12" w:space="4" w:color="000000"/>
      </w:pBdr>
      <w:shd w:fill="CCCCCC" w:val="clear"/>
      <w:jc w:val="center"/>
      <w:outlineLvl w:val="6"/>
    </w:pPr>
    <w:rPr>
      <w:b/>
    </w:rPr>
  </w:style>
  <w:style w:type="paragraph" w:styleId="Heading8">
    <w:name w:val="heading 8"/>
    <w:basedOn w:val="Normal"/>
    <w:next w:val="Normal"/>
    <w:qFormat/>
    <w:pPr>
      <w:keepNext w:val="true"/>
      <w:numPr>
        <w:ilvl w:val="7"/>
        <w:numId w:val="1"/>
      </w:numPr>
      <w:tabs>
        <w:tab w:val="clear" w:pos="720"/>
        <w:tab w:val="left" w:pos="0" w:leader="none"/>
        <w:tab w:val="left" w:pos="630" w:leader="none"/>
        <w:tab w:val="left" w:pos="1800" w:leader="none"/>
      </w:tabs>
      <w:outlineLvl w:val="7"/>
    </w:pPr>
    <w:rPr>
      <w:b/>
      <w:i/>
    </w:rPr>
  </w:style>
  <w:style w:type="paragraph" w:styleId="Heading9">
    <w:name w:val="heading 9"/>
    <w:basedOn w:val="Normal"/>
    <w:next w:val="Normal"/>
    <w:qFormat/>
    <w:pPr>
      <w:keepNext w:val="true"/>
      <w:numPr>
        <w:ilvl w:val="8"/>
        <w:numId w:val="1"/>
      </w:numPr>
      <w:outlineLvl w:val="8"/>
    </w:pPr>
    <w:rPr>
      <w:rFonts w:ascii="Arial" w:hAnsi="Arial" w:cs="Arial"/>
      <w:b/>
      <w:i/>
      <w:sz w:val="20"/>
      <w:szCs w:val="20"/>
      <w:lang w:eastAsia="ja-JP"/>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sz w:val="16"/>
    </w:rPr>
  </w:style>
  <w:style w:type="character" w:styleId="WW8Num3z0">
    <w:name w:val="WW8Num3z0"/>
    <w:qFormat/>
    <w:rPr>
      <w:rFonts w:ascii="Wingdings" w:hAnsi="Wingdings" w:cs="Wingdings"/>
      <w:sz w:val="16"/>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b/>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sz w:val="16"/>
    </w:rPr>
  </w:style>
  <w:style w:type="character" w:styleId="WW8Num8z0">
    <w:name w:val="WW8Num8z0"/>
    <w:qFormat/>
    <w:rPr/>
  </w:style>
  <w:style w:type="character" w:styleId="WW8Num8z1">
    <w:name w:val="WW8Num8z1"/>
    <w:qFormat/>
    <w:rPr>
      <w:rFonts w:ascii="Times New Roman" w:hAnsi="Times New Roman" w:cs="Times New Roman"/>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style>
  <w:style w:type="character" w:styleId="WW8Num14z1">
    <w:name w:val="WW8Num14z1"/>
    <w:qFormat/>
    <w:rPr>
      <w:rFonts w:ascii="Wingdings" w:hAnsi="Wingdings" w:cs="Wingdings"/>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rFonts w:ascii="Wingdings" w:hAnsi="Wingdings" w:cs="Wingdings"/>
      <w:sz w:val="16"/>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Times New Roman" w:hAnsi="Times New Roman" w:cs="Times New Roman"/>
      <w:b/>
      <w:i w:val="false"/>
    </w:rPr>
  </w:style>
  <w:style w:type="character" w:styleId="WW8Num19z1">
    <w:name w:val="WW8Num19z1"/>
    <w:qFormat/>
    <w:rPr>
      <w:b/>
      <w:i w:val="false"/>
    </w:rPr>
  </w:style>
  <w:style w:type="character" w:styleId="WW8Num19z2">
    <w:name w:val="WW8Num19z2"/>
    <w:qFormat/>
    <w:rPr>
      <w:rFonts w:ascii="Times New Roman" w:hAnsi="Times New Roman" w:cs="Times New Roman"/>
    </w:rPr>
  </w:style>
  <w:style w:type="character" w:styleId="WW8Num20z0">
    <w:name w:val="WW8Num20z0"/>
    <w:qFormat/>
    <w:rPr>
      <w:rFonts w:ascii="Symbol" w:hAnsi="Symbol" w:cs="Symbol"/>
    </w:rPr>
  </w:style>
  <w:style w:type="character" w:styleId="WW8Num21z0">
    <w:name w:val="WW8Num21z0"/>
    <w:qFormat/>
    <w:rPr>
      <w:rFonts w:ascii="Wingdings" w:hAnsi="Wingdings" w:cs="Wingdings"/>
      <w:sz w:val="16"/>
    </w:rPr>
  </w:style>
  <w:style w:type="character" w:styleId="WW8Num22z0">
    <w:name w:val="WW8Num22z0"/>
    <w:qFormat/>
    <w:rPr/>
  </w:style>
  <w:style w:type="character" w:styleId="WW8Num22z1">
    <w:name w:val="WW8Num22z1"/>
    <w:qFormat/>
    <w:rPr>
      <w:rFonts w:ascii="Wingdings" w:hAnsi="Wingdings" w:cs="Wingdings"/>
      <w:sz w:val="16"/>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rFonts w:ascii="Courier New" w:hAnsi="Courier New" w:cs="Courier New"/>
    </w:rPr>
  </w:style>
  <w:style w:type="character" w:styleId="WW8Num24z3">
    <w:name w:val="WW8Num24z3"/>
    <w:qFormat/>
    <w:rPr>
      <w:rFonts w:ascii="Symbol" w:hAnsi="Symbol" w:cs="Symbol"/>
    </w:rPr>
  </w:style>
  <w:style w:type="character" w:styleId="WW8Num25z0">
    <w:name w:val="WW8Num25z0"/>
    <w:qFormat/>
    <w:rPr>
      <w:rFonts w:ascii="Wingdings" w:hAnsi="Wingdings" w:cs="Wingdings"/>
    </w:rPr>
  </w:style>
  <w:style w:type="character" w:styleId="WW8Num25z1">
    <w:name w:val="WW8Num25z1"/>
    <w:qFormat/>
    <w:rPr>
      <w:rFonts w:ascii="Courier New" w:hAnsi="Courier New" w:cs="Courier New"/>
    </w:rPr>
  </w:style>
  <w:style w:type="character" w:styleId="WW8Num25z3">
    <w:name w:val="WW8Num25z3"/>
    <w:qFormat/>
    <w:rPr>
      <w:rFonts w:ascii="Symbol" w:hAnsi="Symbol" w:cs="Symbol"/>
    </w:rPr>
  </w:style>
  <w:style w:type="character" w:styleId="WW8Num26z0">
    <w:name w:val="WW8Num26z0"/>
    <w:qFormat/>
    <w:rPr>
      <w:rFonts w:ascii="Wingdings" w:hAnsi="Wingdings" w:cs="Wingdings"/>
    </w:rPr>
  </w:style>
  <w:style w:type="character" w:styleId="WW8Num26z1">
    <w:name w:val="WW8Num26z1"/>
    <w:qFormat/>
    <w:rPr>
      <w:rFonts w:ascii="Courier New" w:hAnsi="Courier New" w:cs="Courier New"/>
    </w:rPr>
  </w:style>
  <w:style w:type="character" w:styleId="WW8Num26z3">
    <w:name w:val="WW8Num26z3"/>
    <w:qFormat/>
    <w:rPr>
      <w:rFonts w:ascii="Symbol" w:hAnsi="Symbol" w:cs="Symbol"/>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sz w:val="16"/>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2">
    <w:name w:val="WW8Num31z2"/>
    <w:qFormat/>
    <w:rPr>
      <w:rFonts w:ascii="Times New Roman" w:hAnsi="Times New Roman" w:cs="Times New Roman"/>
    </w:rPr>
  </w:style>
  <w:style w:type="character" w:styleId="WW8Num31z3">
    <w:name w:val="WW8Num31z3"/>
    <w:qFormat/>
    <w:rPr>
      <w:rFonts w:ascii="Symbol" w:hAnsi="Symbol" w:cs="Symbol"/>
    </w:rPr>
  </w:style>
  <w:style w:type="character" w:styleId="WW8Num32z0">
    <w:name w:val="WW8Num32z0"/>
    <w:qFormat/>
    <w:rPr>
      <w:rFonts w:ascii="Wingdings" w:hAnsi="Wingdings" w:cs="Wingdings"/>
      <w:sz w:val="16"/>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Wingdings" w:hAnsi="Wingdings" w:cs="Wingdings"/>
    </w:rPr>
  </w:style>
  <w:style w:type="character" w:styleId="WW8Num35z1">
    <w:name w:val="WW8Num35z1"/>
    <w:qFormat/>
    <w:rPr>
      <w:rFonts w:ascii="Courier New" w:hAnsi="Courier New" w:cs="Courier New"/>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6z1">
    <w:name w:val="WW8Num36z1"/>
    <w:qFormat/>
    <w:rPr>
      <w:rFonts w:ascii="Courier New" w:hAnsi="Courier New" w:cs="Courier New"/>
    </w:rPr>
  </w:style>
  <w:style w:type="character" w:styleId="WW8Num36z3">
    <w:name w:val="WW8Num36z3"/>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8z2">
    <w:name w:val="WW8Num38z2"/>
    <w:qFormat/>
    <w:rPr>
      <w:rFonts w:ascii="Wingdings" w:hAnsi="Wingdings" w:cs="Wingdings"/>
    </w:rPr>
  </w:style>
  <w:style w:type="character" w:styleId="WW8Num39z0">
    <w:name w:val="WW8Num39z0"/>
    <w:qFormat/>
    <w:rPr/>
  </w:style>
  <w:style w:type="character" w:styleId="WW8Num39z1">
    <w:name w:val="WW8Num39z1"/>
    <w:qFormat/>
    <w:rPr>
      <w:rFonts w:ascii="Wingdings" w:hAnsi="Wingdings" w:cs="Wingdings"/>
    </w:rPr>
  </w:style>
  <w:style w:type="character" w:styleId="WW8Num39z2">
    <w:name w:val="WW8Num39z2"/>
    <w:qFormat/>
    <w:rPr>
      <w:rFonts w:ascii="Times New Roman" w:hAnsi="Times New Roman" w:cs="Times New Roman"/>
    </w:rPr>
  </w:style>
  <w:style w:type="character" w:styleId="WW8Num40z0">
    <w:name w:val="WW8Num40z0"/>
    <w:qFormat/>
    <w:rPr/>
  </w:style>
  <w:style w:type="character" w:styleId="WW8Num40z1">
    <w:name w:val="WW8Num40z1"/>
    <w:qFormat/>
    <w:rPr>
      <w:rFonts w:ascii="Wingdings" w:hAnsi="Wingdings" w:cs="Wingdings"/>
    </w:rPr>
  </w:style>
  <w:style w:type="character" w:styleId="WW8Num41z0">
    <w:name w:val="WW8Num4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szCs w:val="20"/>
      <w:u w:val="single"/>
    </w:rPr>
  </w:style>
  <w:style w:type="paragraph" w:styleId="BodyText">
    <w:name w:val="Body Text"/>
    <w:basedOn w:val="Normal"/>
    <w:pPr>
      <w:jc w:val="center"/>
    </w:pPr>
    <w:rPr>
      <w:sz w:val="20"/>
      <w:szCs w:val="20"/>
      <w:lang w:eastAsia="ja-JP"/>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szCs w:val="20"/>
      <w:lang w:val="en-GB"/>
    </w:rPr>
  </w:style>
  <w:style w:type="paragraph" w:styleId="BlockText">
    <w:name w:val="Block Text"/>
    <w:basedOn w:val="Normal"/>
    <w:qFormat/>
    <w:pPr>
      <w:snapToGrid w:val="false"/>
      <w:ind w:hanging="0" w:start="810" w:end="693"/>
      <w:jc w:val="both"/>
    </w:pPr>
    <w:rPr>
      <w:szCs w:val="20"/>
      <w:lang w:val="en-G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lang w:val="en-GB"/>
    </w:rPr>
  </w:style>
  <w:style w:type="paragraph" w:styleId="PlainText">
    <w:name w:val="Plain Text"/>
    <w:basedOn w:val="Normal"/>
    <w:qFormat/>
    <w:pPr/>
    <w:rPr>
      <w:rFonts w:ascii="Courier New" w:hAnsi="Courier New" w:cs="Courier New"/>
      <w:sz w:val="20"/>
      <w:szCs w:val="20"/>
    </w:rPr>
  </w:style>
  <w:style w:type="paragraph" w:styleId="BodyTextIndent3">
    <w:name w:val="Body Text Indent 3"/>
    <w:basedOn w:val="Normal"/>
    <w:qFormat/>
    <w:pPr>
      <w:ind w:hanging="0" w:start="1080" w:end="0"/>
    </w:pPr>
    <w:rPr>
      <w:sz w:val="20"/>
      <w:szCs w:val="20"/>
      <w:lang w:eastAsia="ja-JP"/>
    </w:rPr>
  </w:style>
  <w:style w:type="paragraph" w:styleId="BodyTextIndent2">
    <w:name w:val="Body Text Indent 2"/>
    <w:basedOn w:val="Normal"/>
    <w:qFormat/>
    <w:pPr>
      <w:tabs>
        <w:tab w:val="clear" w:pos="720"/>
        <w:tab w:val="left" w:pos="1800" w:leader="none"/>
      </w:tabs>
      <w:ind w:hanging="1800" w:start="1800" w:end="0"/>
    </w:pPr>
    <w:rPr>
      <w:b/>
      <w:sz w:val="20"/>
      <w:szCs w:val="20"/>
      <w:lang w:eastAsia="ja-JP"/>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2001-05-10T17:30:00Z</dcterms:created>
  <dc:creator>Valued Sony Customer</dc:creator>
  <dc:description/>
  <dc:language>en-CA</dc:language>
  <cp:lastModifiedBy>CYNTHIA</cp:lastModifiedBy>
  <dcterms:modified xsi:type="dcterms:W3CDTF">2001-05-10T17:43:00Z</dcterms:modified>
  <cp:revision>5</cp:revision>
  <dc:subject/>
  <dc:title>ISDA International Swaps and Derivatives Association, Inc</dc:title>
</cp:coreProperties>
</file>