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September 19, 2000</w:t>
      </w:r>
    </w:p>
    <w:p>
      <w:pPr>
        <w:pStyle w:val="Address"/>
        <w:rPr/>
      </w:pPr>
      <w:r>
        <w:rPr/>
        <w:t>Enron Canada</w:t>
        <w:br/>
      </w:r>
    </w:p>
    <w:p>
      <w:pPr>
        <w:pStyle w:val="AttnLine"/>
        <w:rPr/>
      </w:pPr>
      <w:r>
        <w:rPr/>
        <w:t>Attention:</w:t>
        <w:tab/>
        <w:t>Brian Kerrigan</w:t>
      </w:r>
    </w:p>
    <w:p>
      <w:pPr>
        <w:pStyle w:val="Salutation"/>
        <w:rPr/>
      </w:pPr>
      <w:r>
        <w:rPr/>
        <w:t>Dear Sirs:</w:t>
      </w:r>
    </w:p>
    <w:p>
      <w:pPr>
        <w:pStyle w:val="ReLine"/>
        <w:tabs>
          <w:tab w:val="left" w:pos="720" w:leader="none"/>
        </w:tabs>
        <w:spacing w:before="0" w:after="0"/>
        <w:ind w:hanging="0" w:start="0" w:end="0"/>
        <w:rPr/>
      </w:pPr>
      <w:r>
        <w:rPr/>
        <w:t>RE:</w:t>
        <w:tab/>
        <w:t>Alberta Prepay Structure</w:t>
      </w:r>
    </w:p>
    <w:p>
      <w:pPr>
        <w:pStyle w:val="Normal"/>
        <w:tabs>
          <w:tab w:val="clear" w:pos="720"/>
          <w:tab w:val="left" w:pos="9360" w:leader="none"/>
        </w:tabs>
        <w:rPr>
          <w:u w:val="double"/>
        </w:rPr>
      </w:pPr>
      <w:r>
        <w:rPr>
          <w:u w:val="double"/>
        </w:rPr>
        <w:tab/>
      </w:r>
    </w:p>
    <w:p>
      <w:pPr>
        <w:pStyle w:val="Outline1"/>
        <w:numPr>
          <w:ilvl w:val="0"/>
          <w:numId w:val="2"/>
        </w:numPr>
        <w:ind w:hanging="0" w:start="0"/>
        <w:rPr/>
      </w:pPr>
      <w:r>
        <w:rPr/>
        <w:t>RBC Dominion Securities ("</w:t>
      </w:r>
      <w:r>
        <w:rPr>
          <w:b/>
        </w:rPr>
        <w:t>RBC DS</w:t>
      </w:r>
      <w:r>
        <w:rPr/>
        <w:t>" and/or the “</w:t>
      </w:r>
      <w:r>
        <w:rPr>
          <w:b/>
        </w:rPr>
        <w:t>Arranger</w:t>
      </w:r>
      <w:r>
        <w:rPr/>
        <w:t>") is pleased to advise Enron Corporation of our commitment to structure, arrange, and syndicate a C$300,000,000 financing (the "</w:t>
      </w:r>
      <w:r>
        <w:rPr>
          <w:b/>
        </w:rPr>
        <w:t>Facilities</w:t>
      </w:r>
      <w:r>
        <w:rPr/>
        <w:t>") as part of the captioned financing structure, upon the terms and subject to the conditions set forth or referred to in this commitment letter (the "</w:t>
      </w:r>
      <w:r>
        <w:rPr>
          <w:b/>
        </w:rPr>
        <w:t>Commitment Letter</w:t>
      </w:r>
      <w:r>
        <w:rPr/>
        <w:t>") and in the Term Sheet attached hereto as Exhibit "A" (the "</w:t>
      </w:r>
      <w:r>
        <w:rPr>
          <w:b/>
        </w:rPr>
        <w:t>Term Sheet</w:t>
      </w:r>
      <w:r>
        <w:rPr/>
        <w:t>").  Capitalized words and phrases used herein have the meanings attributed to them in the Term Sheet</w:t>
      </w:r>
    </w:p>
    <w:p>
      <w:pPr>
        <w:pStyle w:val="Outline1"/>
        <w:numPr>
          <w:ilvl w:val="0"/>
          <w:numId w:val="2"/>
        </w:numPr>
        <w:ind w:hanging="0" w:start="0"/>
        <w:rPr/>
      </w:pPr>
      <w:r>
        <w:rPr/>
        <w:t xml:space="preserve">Royal Bank will serve as the Administration Agent and other titles may be awarded by the Arranger. </w:t>
      </w:r>
    </w:p>
    <w:p>
      <w:pPr>
        <w:pStyle w:val="Outline1"/>
        <w:numPr>
          <w:ilvl w:val="0"/>
          <w:numId w:val="2"/>
        </w:numPr>
        <w:ind w:hanging="0" w:start="0"/>
        <w:rPr/>
      </w:pPr>
      <w:r>
        <w:rPr/>
        <w:t xml:space="preserve">Syndication of the financing will be permitted to resident Canadian lenders. </w:t>
      </w:r>
    </w:p>
    <w:p>
      <w:pPr>
        <w:pStyle w:val="BodyText"/>
        <w:rPr/>
      </w:pPr>
      <w:r>
        <w:rPr/>
        <w:t>Enron Corporation will cooperate in:</w:t>
      </w:r>
    </w:p>
    <w:p>
      <w:pPr>
        <w:pStyle w:val="Outline2"/>
        <w:numPr>
          <w:ilvl w:val="1"/>
          <w:numId w:val="2"/>
        </w:numPr>
        <w:ind w:hanging="0" w:start="0"/>
        <w:rPr/>
      </w:pPr>
      <w:r>
        <w:rPr/>
        <w:t xml:space="preserve">the preparation of an Information Memorandum to be made available to prospective Lenders; and, </w:t>
      </w:r>
    </w:p>
    <w:p>
      <w:pPr>
        <w:pStyle w:val="Outline2"/>
        <w:numPr>
          <w:ilvl w:val="1"/>
          <w:numId w:val="2"/>
        </w:numPr>
        <w:ind w:hanging="0" w:start="0"/>
        <w:rPr/>
      </w:pPr>
      <w:r>
        <w:rPr/>
        <w:t>the arrangement of a bank meeting to be held for prospective Lenders.</w:t>
      </w:r>
    </w:p>
    <w:p>
      <w:pPr>
        <w:pStyle w:val="Outline1"/>
        <w:numPr>
          <w:ilvl w:val="0"/>
          <w:numId w:val="2"/>
        </w:numPr>
        <w:ind w:hanging="0" w:start="0"/>
        <w:rPr>
          <w:u w:val="single"/>
        </w:rPr>
      </w:pPr>
      <w:bookmarkStart w:id="0" w:name="_Ref485550726"/>
      <w:r>
        <w:rPr/>
        <w:t>As consideration for the Arranger’s commitment hereunder and the Arranger’s agreements to perform the services described herein, you agree to pay to the Co-Arrangers the non-refundable fees set forth as follows</w:t>
      </w:r>
      <w:r>
        <w:rPr>
          <w:u w:val="single"/>
        </w:rPr>
        <w:t>:</w:t>
      </w:r>
      <w:bookmarkEnd w:id="0"/>
    </w:p>
    <w:p>
      <w:pPr>
        <w:pStyle w:val="Outline2"/>
        <w:numPr>
          <w:ilvl w:val="1"/>
          <w:numId w:val="2"/>
        </w:numPr>
        <w:ind w:hanging="0" w:start="0"/>
        <w:rPr/>
      </w:pPr>
      <w:r>
        <w:rPr>
          <w:u w:val="single"/>
        </w:rPr>
        <w:t>Underwriting and Participation Fee:</w:t>
      </w:r>
      <w:r>
        <w:rPr/>
        <w:t xml:space="preserve">  39.5 basis points on the amount of the financing (C$300,000,000) payable on Closing.  This fee would then, at the sole discretion of the Arranger, be distributed to the Lenders that participate in the syndication referred to depending on the level of individual Lender commitments.</w:t>
      </w:r>
    </w:p>
    <w:p>
      <w:pPr>
        <w:pStyle w:val="Outline2"/>
        <w:numPr>
          <w:ilvl w:val="1"/>
          <w:numId w:val="2"/>
        </w:numPr>
        <w:ind w:hanging="0" w:start="0"/>
        <w:rPr/>
      </w:pPr>
      <w:r>
        <w:rPr>
          <w:u w:val="single"/>
        </w:rPr>
        <w:t>Agency Fee:</w:t>
      </w:r>
      <w:r>
        <w:rPr/>
        <w:t xml:space="preserve">  The Borrower will pay the Administration Agent an annual agency fee of C$25,000, payable in advance on the Closing.  The foregoing Agency Fee covers the processing of payments and drawdowns and distribution of notices, fees and various reporting, correspondence, etc. to the Lenders. </w:t>
      </w:r>
    </w:p>
    <w:p>
      <w:pPr>
        <w:pStyle w:val="Outline1"/>
        <w:numPr>
          <w:ilvl w:val="0"/>
          <w:numId w:val="2"/>
        </w:numPr>
        <w:ind w:hanging="0" w:start="0"/>
        <w:rPr/>
      </w:pPr>
      <w:bookmarkStart w:id="1" w:name="_Ref485550748"/>
      <w:r>
        <w:rPr>
          <w:u w:val="single"/>
        </w:rPr>
        <w:t>Syndication Expenses:</w:t>
      </w:r>
      <w:r>
        <w:rPr/>
        <w:t xml:space="preserve">  All expenses of the syndication of the financing will be for the account of the Borrower, to a maximum of C$20,000.  The Arranger will consult with the Borrower on an ongoing basis regarding any costs that are to be paid by the Borrower.</w:t>
      </w:r>
      <w:bookmarkEnd w:id="1"/>
    </w:p>
    <w:p>
      <w:pPr>
        <w:pStyle w:val="Outline1"/>
        <w:numPr>
          <w:ilvl w:val="0"/>
          <w:numId w:val="2"/>
        </w:numPr>
        <w:ind w:hanging="0" w:start="0"/>
        <w:rPr/>
      </w:pPr>
      <w:r>
        <w:rPr>
          <w:u w:val="single"/>
        </w:rPr>
        <w:t xml:space="preserve">Legal Fees and Expenses: </w:t>
      </w:r>
      <w:r>
        <w:rPr/>
        <w:t xml:space="preserve"> Legal fees and out-of-pocket expenses incurred by the Arranger in connection with the arrangement and syndication of the financing, and the negotiation, preparation and execution of Documentation, subject to a cap of C$75,000.</w:t>
      </w:r>
    </w:p>
    <w:p>
      <w:pPr>
        <w:pStyle w:val="Outline1"/>
        <w:numPr>
          <w:ilvl w:val="0"/>
          <w:numId w:val="2"/>
        </w:numPr>
        <w:ind w:hanging="0" w:start="0"/>
        <w:rPr/>
      </w:pPr>
      <w:r>
        <w:rPr>
          <w:u w:val="single"/>
        </w:rPr>
        <w:t>Special Purpose Vehicle Fees and Expenses:</w:t>
      </w:r>
      <w:r>
        <w:rPr/>
        <w:t xml:space="preserve">  C$27,500 to include set-up, and audit and Government Sales Tax payable in full on the Closing Date.  Additionally, a monthly administration fee of C$1,000. </w:t>
      </w:r>
    </w:p>
    <w:p>
      <w:pPr>
        <w:pStyle w:val="Outline1"/>
        <w:numPr>
          <w:ilvl w:val="0"/>
          <w:numId w:val="2"/>
        </w:numPr>
        <w:ind w:hanging="0" w:start="0"/>
        <w:rPr/>
      </w:pPr>
      <w:r>
        <w:rPr/>
        <w:t xml:space="preserve">If the foregoing correctly sets forth our agreement, please indicate your acceptance of the terms hereof and of the Term Sheet by returning to us executed counterparts hereof, not later than 2:00 pm Calgary time, on _____6, 2000. </w:t>
      </w:r>
    </w:p>
    <w:p>
      <w:pPr>
        <w:pStyle w:val="Outline1"/>
        <w:numPr>
          <w:ilvl w:val="0"/>
          <w:numId w:val="2"/>
        </w:numPr>
        <w:ind w:hanging="0" w:start="0"/>
        <w:rPr/>
      </w:pPr>
      <w:r>
        <w:rPr/>
        <w:t>We are pleased to have been given the opportunity to assist you in connection with this financing.</w:t>
      </w:r>
    </w:p>
    <w:p>
      <w:pPr>
        <w:pStyle w:val="Normal"/>
        <w:rPr/>
      </w:pPr>
      <w:r>
        <w:rPr/>
        <w:t>Yours very truly,</w:t>
      </w:r>
    </w:p>
    <w:tbl>
      <w:tblPr>
        <w:tblW w:w="4805" w:type="dxa"/>
        <w:jc w:val="start"/>
        <w:tblInd w:w="0" w:type="dxa"/>
        <w:tblLayout w:type="fixed"/>
        <w:tblCellMar>
          <w:top w:w="0" w:type="dxa"/>
          <w:start w:w="108" w:type="dxa"/>
          <w:bottom w:w="0" w:type="dxa"/>
          <w:end w:w="108" w:type="dxa"/>
        </w:tblCellMar>
      </w:tblPr>
      <w:tblGrid>
        <w:gridCol w:w="825"/>
        <w:gridCol w:w="3740"/>
        <w:gridCol w:w="1"/>
        <w:gridCol w:w="238"/>
        <w:gridCol w:w="1"/>
      </w:tblGrid>
      <w:tr>
        <w:trPr/>
        <w:tc>
          <w:tcPr>
            <w:tcW w:w="4566" w:type="dxa"/>
            <w:gridSpan w:val="3"/>
            <w:tcBorders/>
          </w:tcPr>
          <w:p>
            <w:pPr>
              <w:pStyle w:val="Normal"/>
              <w:spacing w:before="0" w:after="480"/>
              <w:rPr>
                <w:b/>
              </w:rPr>
            </w:pPr>
            <w:r>
              <w:rPr>
                <w:b/>
              </w:rPr>
              <w:t>ROYAL BANK OF CANADA</w:t>
            </w:r>
          </w:p>
        </w:tc>
        <w:tc>
          <w:tcPr>
            <w:tcW w:w="239" w:type="dxa"/>
            <w:tcBorders/>
          </w:tcPr>
          <w:p>
            <w:pPr>
              <w:pStyle w:val="Normal"/>
              <w:snapToGrid w:val="false"/>
              <w:spacing w:before="0" w:after="480"/>
              <w:rPr>
                <w:b/>
              </w:rPr>
            </w:pPr>
            <w:r>
              <w:rPr>
                <w:b/>
              </w:rPr>
            </w:r>
          </w:p>
        </w:tc>
      </w:tr>
      <w:tr>
        <w:trPr/>
        <w:tc>
          <w:tcPr>
            <w:tcW w:w="825" w:type="dxa"/>
            <w:tcBorders/>
          </w:tcPr>
          <w:p>
            <w:pPr>
              <w:pStyle w:val="Normal"/>
              <w:spacing w:before="0" w:after="0"/>
              <w:rPr/>
            </w:pPr>
            <w:r>
              <w:rPr/>
              <w:t>By:</w:t>
            </w:r>
          </w:p>
        </w:tc>
        <w:tc>
          <w:tcPr>
            <w:tcW w:w="3740" w:type="dxa"/>
            <w:tcBorders>
              <w:bottom w:val="single" w:sz="4" w:space="0" w:color="000000"/>
            </w:tcBorders>
          </w:tcPr>
          <w:p>
            <w:pPr>
              <w:pStyle w:val="Normal"/>
              <w:snapToGrid w:val="false"/>
              <w:spacing w:before="0" w:after="0"/>
              <w:rPr/>
            </w:pPr>
            <w:r>
              <w:rPr/>
            </w:r>
          </w:p>
        </w:tc>
        <w:tc>
          <w:tcPr>
            <w:tcW w:w="239" w:type="dxa"/>
            <w:gridSpan w:val="2"/>
            <w:tcBorders/>
          </w:tcPr>
          <w:p>
            <w:pPr>
              <w:pStyle w:val="Normal"/>
              <w:snapToGrid w:val="false"/>
              <w:spacing w:before="0" w:after="0"/>
              <w:rPr/>
            </w:pPr>
            <w:r>
              <w:rPr/>
            </w:r>
          </w:p>
        </w:tc>
      </w:tr>
      <w:tr>
        <w:trPr/>
        <w:tc>
          <w:tcPr>
            <w:tcW w:w="825" w:type="dxa"/>
            <w:tcBorders/>
          </w:tcPr>
          <w:p>
            <w:pPr>
              <w:pStyle w:val="Normal"/>
              <w:spacing w:before="0" w:after="0"/>
              <w:rPr/>
            </w:pPr>
            <w:r>
              <w:rPr/>
              <w:t>Title:</w:t>
            </w:r>
          </w:p>
        </w:tc>
        <w:tc>
          <w:tcPr>
            <w:tcW w:w="3740" w:type="dxa"/>
            <w:tcBorders>
              <w:top w:val="single" w:sz="4" w:space="0" w:color="000000"/>
            </w:tcBorders>
          </w:tcPr>
          <w:p>
            <w:pPr>
              <w:pStyle w:val="Normal"/>
              <w:snapToGrid w:val="false"/>
              <w:spacing w:before="0" w:after="0"/>
              <w:rPr/>
            </w:pPr>
            <w:r>
              <w:rPr/>
            </w:r>
          </w:p>
        </w:tc>
        <w:tc>
          <w:tcPr>
            <w:tcW w:w="239" w:type="dxa"/>
            <w:gridSpan w:val="2"/>
            <w:tcBorders/>
          </w:tcPr>
          <w:p>
            <w:pPr>
              <w:pStyle w:val="Normal"/>
              <w:snapToGrid w:val="false"/>
              <w:spacing w:before="0" w:after="0"/>
              <w:rPr/>
            </w:pPr>
            <w:r>
              <w:rPr/>
            </w:r>
          </w:p>
        </w:tc>
      </w:tr>
      <w:tr>
        <w:trPr/>
        <w:tc>
          <w:tcPr>
            <w:tcW w:w="825" w:type="dxa"/>
            <w:tcBorders/>
          </w:tcPr>
          <w:p>
            <w:pPr>
              <w:pStyle w:val="Normal"/>
              <w:snapToGrid w:val="false"/>
              <w:spacing w:before="0" w:after="0"/>
              <w:rPr/>
            </w:pPr>
            <w:r>
              <w:rPr/>
            </w:r>
          </w:p>
        </w:tc>
        <w:tc>
          <w:tcPr>
            <w:tcW w:w="3740" w:type="dxa"/>
            <w:tcBorders/>
          </w:tcPr>
          <w:p>
            <w:pPr>
              <w:pStyle w:val="Normal"/>
              <w:snapToGrid w:val="false"/>
              <w:spacing w:before="0" w:after="0"/>
              <w:rPr/>
            </w:pPr>
            <w:r>
              <w:rPr/>
            </w:r>
          </w:p>
        </w:tc>
        <w:tc>
          <w:tcPr>
            <w:tcW w:w="239" w:type="dxa"/>
            <w:gridSpan w:val="2"/>
            <w:tcBorders/>
          </w:tcPr>
          <w:p>
            <w:pPr>
              <w:pStyle w:val="Normal"/>
              <w:snapToGrid w:val="false"/>
              <w:spacing w:before="0" w:after="0"/>
              <w:rPr/>
            </w:pPr>
            <w:r>
              <w:rPr/>
            </w:r>
          </w:p>
        </w:tc>
      </w:tr>
      <w:tr>
        <w:trPr/>
        <w:tc>
          <w:tcPr>
            <w:tcW w:w="825" w:type="dxa"/>
            <w:tcBorders/>
          </w:tcPr>
          <w:p>
            <w:pPr>
              <w:pStyle w:val="Normal"/>
              <w:spacing w:before="0" w:after="0"/>
              <w:rPr/>
            </w:pPr>
            <w:r>
              <w:rPr/>
              <w:t>By:</w:t>
            </w:r>
          </w:p>
        </w:tc>
        <w:tc>
          <w:tcPr>
            <w:tcW w:w="3740" w:type="dxa"/>
            <w:tcBorders>
              <w:bottom w:val="single" w:sz="4" w:space="0" w:color="000000"/>
            </w:tcBorders>
          </w:tcPr>
          <w:p>
            <w:pPr>
              <w:pStyle w:val="Normal"/>
              <w:snapToGrid w:val="false"/>
              <w:spacing w:before="0" w:after="0"/>
              <w:rPr/>
            </w:pPr>
            <w:r>
              <w:rPr/>
            </w:r>
          </w:p>
        </w:tc>
        <w:tc>
          <w:tcPr>
            <w:tcW w:w="239" w:type="dxa"/>
            <w:gridSpan w:val="2"/>
            <w:tcBorders/>
          </w:tcPr>
          <w:p>
            <w:pPr>
              <w:pStyle w:val="Normal"/>
              <w:snapToGrid w:val="false"/>
              <w:spacing w:before="0" w:after="0"/>
              <w:rPr/>
            </w:pPr>
            <w:r>
              <w:rPr/>
            </w:r>
          </w:p>
        </w:tc>
      </w:tr>
      <w:tr>
        <w:trPr/>
        <w:tc>
          <w:tcPr>
            <w:tcW w:w="825" w:type="dxa"/>
            <w:tcBorders/>
          </w:tcPr>
          <w:p>
            <w:pPr>
              <w:pStyle w:val="Normal"/>
              <w:spacing w:before="0" w:after="0"/>
              <w:rPr/>
            </w:pPr>
            <w:r>
              <w:rPr/>
              <w:t>Title:</w:t>
            </w:r>
          </w:p>
        </w:tc>
        <w:tc>
          <w:tcPr>
            <w:tcW w:w="3740" w:type="dxa"/>
            <w:tcBorders>
              <w:top w:val="single" w:sz="4" w:space="0" w:color="000000"/>
            </w:tcBorders>
          </w:tcPr>
          <w:p>
            <w:pPr>
              <w:pStyle w:val="Normal"/>
              <w:snapToGrid w:val="false"/>
              <w:spacing w:before="0" w:after="0"/>
              <w:rPr/>
            </w:pPr>
            <w:r>
              <w:rPr/>
            </w:r>
          </w:p>
        </w:tc>
        <w:tc>
          <w:tcPr>
            <w:tcW w:w="239" w:type="dxa"/>
            <w:gridSpan w:val="2"/>
            <w:tcBorders/>
          </w:tcPr>
          <w:p>
            <w:pPr>
              <w:pStyle w:val="Normal"/>
              <w:snapToGrid w:val="false"/>
              <w:spacing w:before="0" w:after="0"/>
              <w:rPr/>
            </w:pPr>
            <w:r>
              <w:rPr/>
            </w:r>
          </w:p>
        </w:tc>
      </w:tr>
    </w:tbl>
    <w:p>
      <w:pPr>
        <w:pStyle w:val="Normal"/>
        <w:rPr/>
      </w:pPr>
      <w:r>
        <w:rPr/>
      </w:r>
    </w:p>
    <w:p>
      <w:pPr>
        <w:pStyle w:val="Normal"/>
        <w:rPr/>
      </w:pPr>
      <w:r>
        <w:rPr/>
        <w:t>Accepted and Agreed to this ______ day of ____, 2000</w:t>
      </w:r>
    </w:p>
    <w:p>
      <w:pPr>
        <w:pStyle w:val="Normal"/>
        <w:rPr>
          <w:b/>
        </w:rPr>
      </w:pPr>
      <w:r>
        <w:rPr>
          <w:b/>
        </w:rPr>
        <w:t>ENRON CORPORATION</w:t>
      </w:r>
    </w:p>
    <w:p>
      <w:pPr>
        <w:pStyle w:val="Normal"/>
        <w:tabs>
          <w:tab w:val="left" w:pos="720" w:leader="none"/>
        </w:tabs>
        <w:spacing w:before="0" w:after="0"/>
        <w:rPr/>
      </w:pPr>
      <w:r>
        <w:rPr/>
        <w:t>By:</w:t>
        <w:tab/>
        <w:t>____________________________</w:t>
      </w:r>
    </w:p>
    <w:p>
      <w:pPr>
        <w:pStyle w:val="Normal"/>
        <w:rPr/>
      </w:pPr>
      <w:r>
        <w:rPr/>
        <w:t>Title</w:t>
      </w:r>
    </w:p>
    <w:p>
      <w:pPr>
        <w:pStyle w:val="Normal"/>
        <w:spacing w:before="0" w:after="0"/>
        <w:rPr/>
      </w:pPr>
      <w:r>
        <w:rPr/>
        <w:t>By:  ____________________________</w:t>
      </w:r>
    </w:p>
    <w:p>
      <w:pPr>
        <w:pStyle w:val="Normal"/>
        <w:rPr/>
      </w:pPr>
      <w:r>
        <w:rPr/>
        <w:t>Title</w:t>
      </w:r>
    </w:p>
    <w:p>
      <w:pPr>
        <w:pStyle w:val="Normal"/>
        <w:spacing w:before="0" w:after="24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lang w:val="en-CA"/>
      </w:rPr>
    </w:pPr>
    <w:r>
      <w:rPr>
        <w:lang w:val="en-CA"/>
      </w:rPr>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274320</wp:posOffset>
              </wp:positionV>
              <wp:extent cx="1828800" cy="228600"/>
              <wp:effectExtent l="0" t="0" r="0" b="0"/>
              <wp:wrapNone/>
              <wp:docPr id="1" name="Frame2"/>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NGC\153848\3</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NGC\153848\3</w:t>
                    </w:r>
                    <w:r>
                      <w:rPr>
                        <w:sz w:val="12"/>
                        <w:lang w:val="en-US"/>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lang w:val="en-CA"/>
      </w:rPr>
    </w:pPr>
    <w:r>
      <w:rPr>
        <w:lang w:val="en-CA"/>
      </w:rPr>
    </w:r>
    <w:r>
      <mc:AlternateContent>
        <mc:Choice Requires="wps">
          <w:drawing>
            <wp:anchor behindDoc="1" distT="0" distB="0" distL="114935" distR="114935" simplePos="0" locked="0" layoutInCell="0" allowOverlap="1" relativeHeight="3">
              <wp:simplePos x="0" y="0"/>
              <wp:positionH relativeFrom="margin">
                <wp:posOffset>0</wp:posOffset>
              </wp:positionH>
              <wp:positionV relativeFrom="paragraph">
                <wp:posOffset>274320</wp:posOffset>
              </wp:positionV>
              <wp:extent cx="1828800" cy="228600"/>
              <wp:effectExtent l="0" t="0" r="0" b="0"/>
              <wp:wrapNone/>
              <wp:docPr id="2" name="Frame1"/>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NGC\153848\3</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NGC\153848\3</w:t>
                    </w:r>
                    <w:r>
                      <w:rPr>
                        <w:sz w:val="12"/>
                        <w:lang w:val="en-US"/>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40"/>
      <w:jc w:val="center"/>
      <w:rPr/>
    </w:pPr>
    <w:r>
      <w:rPr/>
      <w:t xml:space="preserve">- </w:t>
    </w:r>
    <w:r>
      <w:rPr>
        <w:rStyle w:val="PageNumber"/>
        <w:b w:val="false"/>
      </w:rPr>
      <w:fldChar w:fldCharType="begin"/>
    </w:r>
    <w:r>
      <w:rPr>
        <w:rStyle w:val="PageNumber"/>
        <w:b w:val="false"/>
      </w:rPr>
      <w:instrText xml:space="preserve"> PAGE </w:instrText>
    </w:r>
    <w:r>
      <w:rPr>
        <w:rStyle w:val="PageNumber"/>
        <w:b w:val="false"/>
      </w:rPr>
      <w:fldChar w:fldCharType="separate"/>
    </w:r>
    <w:r>
      <w:rPr>
        <w:rStyle w:val="PageNumber"/>
        <w:b w:val="false"/>
      </w:rPr>
      <w:t>2</w:t>
    </w:r>
    <w:r>
      <w:rPr>
        <w:rStyle w:val="PageNumber"/>
        <w:b w:val="false"/>
      </w:rPr>
      <w:fldChar w:fldCharType="end"/>
    </w:r>
    <w:r>
      <w:rPr>
        <w:rStyle w:val="PageNumber"/>
        <w:b w:val="false"/>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9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0" w:hanging="0"/>
      </w:pPr>
    </w:lvl>
    <w:lvl w:ilvl="1">
      <w:start w:val="1"/>
      <w:numFmt w:val="lowerLetter"/>
      <w:lvlText w:val="(%2)"/>
      <w:lvlJc w:val="start"/>
      <w:pPr>
        <w:tabs>
          <w:tab w:val="num" w:pos="0"/>
        </w:tabs>
        <w:ind w:start="1440" w:hanging="720"/>
      </w:pPr>
    </w:lvl>
    <w:lvl w:ilvl="2">
      <w:start w:val="1"/>
      <w:numFmt w:val="lowerRoman"/>
      <w:lvlText w:val="(%3)"/>
      <w:lvlJc w:val="start"/>
      <w:pPr>
        <w:tabs>
          <w:tab w:val="num" w:pos="0"/>
        </w:tabs>
        <w:ind w:start="2160" w:hanging="720"/>
      </w:pPr>
    </w:lvl>
    <w:lvl w:ilvl="3">
      <w:start w:val="1"/>
      <w:numFmt w:val="upperLetter"/>
      <w:lvlText w:val="(%4)"/>
      <w:lvlJc w:val="start"/>
      <w:pPr>
        <w:tabs>
          <w:tab w:val="num" w:pos="0"/>
        </w:tabs>
        <w:ind w:start="2880" w:hanging="720"/>
      </w:pPr>
    </w:lvl>
    <w:lvl w:ilvl="4">
      <w:start w:val="1"/>
      <w:numFmt w:val="upperRoman"/>
      <w:lvlText w:val="(%5)"/>
      <w:lvlJc w:val="start"/>
      <w:pPr>
        <w:tabs>
          <w:tab w:val="num" w:pos="0"/>
        </w:tabs>
        <w:ind w:start="3600" w:hanging="720"/>
      </w:pPr>
    </w:lvl>
    <w:lvl w:ilvl="5">
      <w:start w:val="1"/>
      <w:numFmt w:val="decimal"/>
      <w:lvlText w:val="(%6)"/>
      <w:lvlJc w:val="start"/>
      <w:pPr>
        <w:tabs>
          <w:tab w:val="num" w:pos="0"/>
        </w:tabs>
        <w:ind w:start="4320" w:hanging="720"/>
      </w:pPr>
    </w:lvl>
    <w:lvl w:ilvl="6">
      <w:start w:val="1"/>
      <w:numFmt w:val="lowerRoman"/>
      <w:lvlText w:val="(%7)"/>
      <w:lvlJc w:val="start"/>
      <w:pPr>
        <w:tabs>
          <w:tab w:val="num" w:pos="0"/>
        </w:tabs>
        <w:ind w:start="5040" w:hanging="720"/>
      </w:pPr>
    </w:lvl>
    <w:lvl w:ilvl="7">
      <w:start w:val="1"/>
      <w:numFmt w:val="upperLetter"/>
      <w:lvlText w:val="(%8)"/>
      <w:lvlJc w:val="start"/>
      <w:pPr>
        <w:tabs>
          <w:tab w:val="num" w:pos="0"/>
        </w:tabs>
        <w:ind w:start="5760" w:hanging="720"/>
      </w:pPr>
    </w:lvl>
    <w:lvl w:ilvl="8">
      <w:start w:val="1"/>
      <w:numFmt w:val="upperRoman"/>
      <w:lvlText w:val="(%9)"/>
      <w:lvlJc w:val="start"/>
      <w:pPr>
        <w:tabs>
          <w:tab w:val="num" w:pos="0"/>
        </w:tabs>
        <w:ind w:start="6480" w:hanging="72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docVars>
    <w:docVar w:name="PaperType" w:val="letterhead"/>
    <w:docVar w:name="zzmpFixedCurrentTOCScheme" w:val="Standard2"/>
    <w:docVar w:name="zzmpFixedCurScheme" w:val="Standard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Book Antiqua" w:hAnsi="Book Antiqua" w:eastAsia="Times New Roman" w:cs="Book Antiqua"/>
      <w:color w:val="auto"/>
      <w:sz w:val="24"/>
      <w:szCs w:val="20"/>
      <w:lang w:val="en-CA" w:eastAsia="zh-CN" w:bidi="hi-IN"/>
    </w:rPr>
  </w:style>
  <w:style w:type="paragraph" w:styleId="Heading1">
    <w:name w:val="heading 1"/>
    <w:basedOn w:val="Normal"/>
    <w:next w:val="Normal"/>
    <w:qFormat/>
    <w:pPr>
      <w:keepNext w:val="true"/>
      <w:numPr>
        <w:ilvl w:val="0"/>
        <w:numId w:val="1"/>
      </w:numPr>
      <w:spacing w:before="240" w:after="60"/>
      <w:jc w:val="start"/>
      <w:outlineLvl w:val="0"/>
    </w:pPr>
    <w:rPr>
      <w:b/>
      <w:sz w:val="28"/>
    </w:rPr>
  </w:style>
  <w:style w:type="paragraph" w:styleId="Heading2">
    <w:name w:val="heading 2"/>
    <w:basedOn w:val="Normal"/>
    <w:next w:val="Normal"/>
    <w:qFormat/>
    <w:pPr>
      <w:keepNext w:val="true"/>
      <w:numPr>
        <w:ilvl w:val="1"/>
        <w:numId w:val="1"/>
      </w:numPr>
      <w:spacing w:before="240" w:after="60"/>
      <w:jc w:val="start"/>
      <w:outlineLvl w:val="1"/>
    </w:pPr>
    <w:rPr>
      <w:b/>
    </w:rPr>
  </w:style>
  <w:style w:type="paragraph" w:styleId="Heading3">
    <w:name w:val="heading 3"/>
    <w:basedOn w:val="Normal"/>
    <w:next w:val="Normal"/>
    <w:qFormat/>
    <w:pPr>
      <w:keepNext w:val="true"/>
      <w:numPr>
        <w:ilvl w:val="2"/>
        <w:numId w:val="1"/>
      </w:numPr>
      <w:spacing w:before="240" w:after="60"/>
      <w:jc w:val="start"/>
      <w:outlineLvl w:val="2"/>
    </w:pPr>
    <w:rPr/>
  </w:style>
  <w:style w:type="paragraph" w:styleId="Heading4">
    <w:name w:val="heading 4"/>
    <w:basedOn w:val="Normal"/>
    <w:next w:val="BodyText"/>
    <w:qFormat/>
    <w:pPr>
      <w:numPr>
        <w:ilvl w:val="3"/>
        <w:numId w:val="1"/>
      </w:numPr>
      <w:outlineLvl w:val="3"/>
    </w:pPr>
    <w:rPr>
      <w:b/>
    </w:rPr>
  </w:style>
  <w:style w:type="paragraph" w:styleId="Heading5">
    <w:name w:val="heading 5"/>
    <w:basedOn w:val="Normal"/>
    <w:next w:val="BodyText"/>
    <w:qFormat/>
    <w:pPr>
      <w:numPr>
        <w:ilvl w:val="4"/>
        <w:numId w:val="1"/>
      </w:numPr>
      <w:outlineLvl w:val="4"/>
    </w:pPr>
    <w:rPr>
      <w:b/>
    </w:rPr>
  </w:style>
  <w:style w:type="paragraph" w:styleId="Heading6">
    <w:name w:val="heading 6"/>
    <w:basedOn w:val="Normal"/>
    <w:next w:val="BodyText"/>
    <w:qFormat/>
    <w:pPr>
      <w:numPr>
        <w:ilvl w:val="5"/>
        <w:numId w:val="1"/>
      </w:numPr>
      <w:outlineLvl w:val="5"/>
    </w:pPr>
    <w:rPr>
      <w:b/>
    </w:rPr>
  </w:style>
  <w:style w:type="paragraph" w:styleId="Heading7">
    <w:name w:val="heading 7"/>
    <w:basedOn w:val="Normal"/>
    <w:next w:val="BodyText"/>
    <w:qFormat/>
    <w:pPr>
      <w:numPr>
        <w:ilvl w:val="6"/>
        <w:numId w:val="1"/>
      </w:numPr>
      <w:outlineLvl w:val="6"/>
    </w:pPr>
    <w:rPr>
      <w:b/>
    </w:rPr>
  </w:style>
  <w:style w:type="paragraph" w:styleId="Heading8">
    <w:name w:val="heading 8"/>
    <w:basedOn w:val="Normal"/>
    <w:next w:val="BodyText"/>
    <w:qFormat/>
    <w:pPr>
      <w:numPr>
        <w:ilvl w:val="7"/>
        <w:numId w:val="1"/>
      </w:numPr>
      <w:outlineLvl w:val="7"/>
    </w:pPr>
    <w:rPr>
      <w:b/>
    </w:rPr>
  </w:style>
  <w:style w:type="paragraph" w:styleId="Heading9">
    <w:name w:val="heading 9"/>
    <w:basedOn w:val="Normal"/>
    <w:next w:val="BodyText"/>
    <w:qFormat/>
    <w:pPr>
      <w:numPr>
        <w:ilvl w:val="8"/>
        <w:numId w:val="1"/>
      </w:numPr>
      <w:outlineLvl w:val="8"/>
    </w:pPr>
    <w:rPr>
      <w:b/>
    </w:rPr>
  </w:style>
  <w:style w:type="character" w:styleId="WW8Num1z0">
    <w:name w:val="WW8Num1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b/>
      <w:caps/>
      <w:sz w:val="24"/>
    </w:rPr>
  </w:style>
  <w:style w:type="character" w:styleId="Prompt">
    <w:name w:val="Prompt"/>
    <w:basedOn w:val="DefaultParagraphFont"/>
    <w:qFormat/>
    <w:rPr>
      <w:rFonts w:ascii="Book Antiqua" w:hAnsi="Book Antiqua" w:cs="Book Antiqua"/>
      <w:color w:val="0000FF"/>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60"/>
      <w:jc w:val="start"/>
      <w:outlineLvl w:val="0"/>
    </w:pPr>
    <w:rPr>
      <w:b/>
      <w:kern w:val="2"/>
      <w:sz w:val="28"/>
    </w:rPr>
  </w:style>
  <w:style w:type="paragraph" w:styleId="BodyText">
    <w:name w:val="Body Text"/>
    <w:basedOn w:val="Normal"/>
    <w:pPr>
      <w:ind w:firstLine="720" w:start="0" w:end="0"/>
    </w:pPr>
    <w:rPr/>
  </w:style>
  <w:style w:type="paragraph" w:styleId="List">
    <w:name w:val="List"/>
    <w:basedOn w:val="BodyText"/>
    <w:pPr/>
    <w:rPr>
      <w:rFonts w:cs="NotoSans NF"/>
    </w:rPr>
  </w:style>
  <w:style w:type="paragraph" w:styleId="Caption">
    <w:name w:val="caption"/>
    <w:basedOn w:val="BodyText"/>
    <w:next w:val="BodyText"/>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spacing w:before="120" w:after="280"/>
      <w:jc w:val="center"/>
    </w:pPr>
    <w:rPr>
      <w:sz w:val="18"/>
    </w:rPr>
  </w:style>
  <w:style w:type="paragraph" w:styleId="Footer">
    <w:name w:val="footer"/>
    <w:basedOn w:val="Normal"/>
    <w:pPr>
      <w:jc w:val="start"/>
    </w:pPr>
    <w:rPr>
      <w:sz w:val="18"/>
    </w:rPr>
  </w:style>
  <w:style w:type="paragraph" w:styleId="BlockText">
    <w:name w:val="Block Text"/>
    <w:basedOn w:val="BodyText"/>
    <w:qFormat/>
    <w:pPr>
      <w:ind w:firstLine="720" w:start="1440" w:end="1440"/>
    </w:pPr>
    <w:rPr/>
  </w:style>
  <w:style w:type="paragraph" w:styleId="BodyText2">
    <w:name w:val="Body Text 2"/>
    <w:basedOn w:val="BodyText"/>
    <w:qFormat/>
    <w:pPr>
      <w:spacing w:lineRule="auto" w:line="480" w:before="0" w:after="480"/>
    </w:pPr>
    <w:rPr/>
  </w:style>
  <w:style w:type="paragraph" w:styleId="BodyText3">
    <w:name w:val="Body Text 3"/>
    <w:basedOn w:val="BodyText"/>
    <w:qFormat/>
    <w:pPr>
      <w:spacing w:before="0" w:after="160"/>
    </w:pPr>
    <w:rPr>
      <w:sz w:val="16"/>
    </w:rPr>
  </w:style>
  <w:style w:type="paragraph" w:styleId="BodyTextIndent">
    <w:name w:val="Body Text Indent"/>
    <w:basedOn w:val="BodyText"/>
    <w:pPr>
      <w:ind w:firstLine="720" w:start="720" w:end="0"/>
    </w:pPr>
    <w:rPr/>
  </w:style>
  <w:style w:type="paragraph" w:styleId="BodyTextFirstIndent2">
    <w:name w:val="Body Text First Indent 2"/>
    <w:basedOn w:val="BodyText"/>
    <w:qFormat/>
    <w:pPr>
      <w:ind w:firstLine="1440" w:start="0" w:end="0"/>
    </w:pPr>
    <w:rPr/>
  </w:style>
  <w:style w:type="paragraph" w:styleId="BodyTextFirstIndent">
    <w:name w:val="Body Text First Indent"/>
    <w:basedOn w:val="BodyText"/>
    <w:qFormat/>
    <w:pPr>
      <w:ind w:firstLine="720" w:start="0" w:end="0"/>
    </w:pPr>
    <w:rPr/>
  </w:style>
  <w:style w:type="paragraph" w:styleId="BodyTextIndent2">
    <w:name w:val="Body Text Indent 2"/>
    <w:basedOn w:val="BodyText"/>
    <w:qFormat/>
    <w:pPr>
      <w:ind w:firstLine="720" w:start="1440" w:end="0"/>
    </w:pPr>
    <w:rPr/>
  </w:style>
  <w:style w:type="paragraph" w:styleId="BodyTextIndent3">
    <w:name w:val="Body Text Indent 3"/>
    <w:basedOn w:val="BodyText"/>
    <w:qFormat/>
    <w:pPr>
      <w:spacing w:lineRule="auto" w:line="480" w:before="0" w:after="480"/>
      <w:ind w:firstLine="720" w:start="720" w:end="0"/>
    </w:pPr>
    <w:rPr/>
  </w:style>
  <w:style w:type="paragraph" w:styleId="Closing">
    <w:name w:val="Closing"/>
    <w:basedOn w:val="Normal"/>
    <w:next w:val="cclist"/>
    <w:qFormat/>
    <w:pPr>
      <w:keepNext w:val="true"/>
      <w:keepLines/>
      <w:ind w:hanging="0" w:start="4680" w:end="0"/>
      <w:jc w:val="start"/>
    </w:pPr>
    <w:rPr>
      <w:lang w:val="en-CA"/>
    </w:rPr>
  </w:style>
  <w:style w:type="paragraph" w:styleId="CommentText">
    <w:name w:val="Comment Text"/>
    <w:basedOn w:val="BodyText"/>
    <w:qFormat/>
    <w:pPr/>
    <w:rPr>
      <w:sz w:val="20"/>
    </w:rPr>
  </w:style>
  <w:style w:type="paragraph" w:styleId="Date">
    <w:name w:val="Date"/>
    <w:basedOn w:val="Normal"/>
    <w:next w:val="Normal"/>
    <w:qFormat/>
    <w:pPr>
      <w:keepNext w:val="true"/>
      <w:keepLines/>
      <w:spacing w:before="0" w:after="0"/>
      <w:ind w:hanging="0" w:start="5760" w:end="0"/>
      <w:jc w:val="start"/>
    </w:pPr>
    <w:rPr/>
  </w:style>
  <w:style w:type="paragraph" w:styleId="NormalIndent">
    <w:name w:val="Normal Indent"/>
    <w:basedOn w:val="Normal"/>
    <w:qFormat/>
    <w:pPr>
      <w:ind w:hanging="0" w:start="720" w:end="0"/>
    </w:pPr>
    <w:rPr/>
  </w:style>
  <w:style w:type="paragraph" w:styleId="FootnoteText">
    <w:name w:val="footnote text"/>
    <w:basedOn w:val="Normal"/>
    <w:pPr>
      <w:widowControl w:val="false"/>
      <w:spacing w:before="0" w:after="0"/>
    </w:pPr>
    <w:rPr>
      <w:sz w:val="18"/>
    </w:rPr>
  </w:style>
  <w:style w:type="paragraph" w:styleId="Signature">
    <w:name w:val="Signature"/>
    <w:basedOn w:val="Normal"/>
    <w:pPr>
      <w:ind w:hanging="0" w:start="4320" w:end="0"/>
    </w:pPr>
    <w:rPr/>
  </w:style>
  <w:style w:type="paragraph" w:styleId="Comment">
    <w:name w:val="Comment"/>
    <w:basedOn w:val="Normal"/>
    <w:next w:val="Normal"/>
    <w:qFormat/>
    <w:pPr>
      <w:jc w:val="start"/>
    </w:pPr>
    <w:rPr>
      <w:vanish/>
      <w:color w:val="FF00FF"/>
    </w:rPr>
  </w:style>
  <w:style w:type="paragraph" w:styleId="Plain">
    <w:name w:val="Plain"/>
    <w:basedOn w:val="Normal"/>
    <w:qFormat/>
    <w:pPr>
      <w:spacing w:before="0" w:after="0"/>
      <w:jc w:val="start"/>
    </w:pPr>
    <w:rPr/>
  </w:style>
  <w:style w:type="paragraph" w:styleId="ReLine">
    <w:name w:val="Re: Line"/>
    <w:basedOn w:val="Normal"/>
    <w:next w:val="Normal"/>
    <w:qFormat/>
    <w:pPr>
      <w:ind w:hanging="720" w:start="720" w:end="1440"/>
      <w:jc w:val="start"/>
    </w:pPr>
    <w:rPr/>
  </w:style>
  <w:style w:type="paragraph" w:styleId="Outline1">
    <w:name w:val="Outline1"/>
    <w:basedOn w:val="Normal"/>
    <w:qFormat/>
    <w:pPr>
      <w:numPr>
        <w:ilvl w:val="0"/>
        <w:numId w:val="2"/>
      </w:numPr>
      <w:tabs>
        <w:tab w:val="left" w:pos="720" w:leader="none"/>
      </w:tabs>
      <w:outlineLvl w:val="0"/>
    </w:pPr>
    <w:rPr/>
  </w:style>
  <w:style w:type="paragraph" w:styleId="LawyersComments">
    <w:name w:val="Lawyers Comments"/>
    <w:basedOn w:val="Normal"/>
    <w:qFormat/>
    <w:pPr>
      <w:spacing w:before="0" w:after="120"/>
      <w:ind w:hanging="0" w:start="720" w:end="720"/>
    </w:pPr>
    <w:rPr>
      <w:i/>
      <w:vanish/>
      <w:color w:val="800000"/>
      <w:sz w:val="20"/>
    </w:rPr>
  </w:style>
  <w:style w:type="paragraph" w:styleId="Definitions">
    <w:name w:val="Definitions"/>
    <w:basedOn w:val="Normal"/>
    <w:qFormat/>
    <w:pPr>
      <w:ind w:hanging="0" w:start="720" w:end="0"/>
    </w:pPr>
    <w:rPr/>
  </w:style>
  <w:style w:type="paragraph" w:styleId="Outline2">
    <w:name w:val="Outline2"/>
    <w:basedOn w:val="Normal"/>
    <w:qFormat/>
    <w:pPr>
      <w:numPr>
        <w:ilvl w:val="0"/>
        <w:numId w:val="2"/>
      </w:numPr>
      <w:outlineLvl w:val="1"/>
    </w:pPr>
    <w:rPr/>
  </w:style>
  <w:style w:type="paragraph" w:styleId="Outline3">
    <w:name w:val="Outline3"/>
    <w:basedOn w:val="Normal"/>
    <w:qFormat/>
    <w:pPr>
      <w:numPr>
        <w:ilvl w:val="0"/>
        <w:numId w:val="2"/>
      </w:numPr>
      <w:outlineLvl w:val="2"/>
    </w:pPr>
    <w:rPr/>
  </w:style>
  <w:style w:type="paragraph" w:styleId="Outline4">
    <w:name w:val="Outline4"/>
    <w:basedOn w:val="Normal"/>
    <w:qFormat/>
    <w:pPr>
      <w:numPr>
        <w:ilvl w:val="0"/>
        <w:numId w:val="2"/>
      </w:numPr>
      <w:outlineLvl w:val="3"/>
    </w:pPr>
    <w:rPr/>
  </w:style>
  <w:style w:type="paragraph" w:styleId="Outline5">
    <w:name w:val="Outline5"/>
    <w:basedOn w:val="Normal"/>
    <w:qFormat/>
    <w:pPr>
      <w:numPr>
        <w:ilvl w:val="0"/>
        <w:numId w:val="2"/>
      </w:numPr>
      <w:outlineLvl w:val="4"/>
    </w:pPr>
    <w:rPr/>
  </w:style>
  <w:style w:type="paragraph" w:styleId="Outline6">
    <w:name w:val="Outline6"/>
    <w:basedOn w:val="Normal"/>
    <w:qFormat/>
    <w:pPr>
      <w:numPr>
        <w:ilvl w:val="0"/>
        <w:numId w:val="2"/>
      </w:numPr>
      <w:outlineLvl w:val="5"/>
    </w:pPr>
    <w:rPr/>
  </w:style>
  <w:style w:type="paragraph" w:styleId="Lnum1">
    <w:name w:val="Lnum1"/>
    <w:basedOn w:val="Normal"/>
    <w:qFormat/>
    <w:pPr>
      <w:numPr>
        <w:ilvl w:val="0"/>
        <w:numId w:val="2"/>
      </w:numPr>
      <w:jc w:val="start"/>
    </w:pPr>
    <w:rPr/>
  </w:style>
  <w:style w:type="paragraph" w:styleId="Lnum2">
    <w:name w:val="Lnum2"/>
    <w:basedOn w:val="Normal"/>
    <w:qFormat/>
    <w:pPr>
      <w:numPr>
        <w:ilvl w:val="0"/>
        <w:numId w:val="2"/>
      </w:numPr>
      <w:jc w:val="start"/>
    </w:pPr>
    <w:rPr/>
  </w:style>
  <w:style w:type="paragraph" w:styleId="Lnum3">
    <w:name w:val="Lnum3"/>
    <w:basedOn w:val="Normal"/>
    <w:qFormat/>
    <w:pPr>
      <w:numPr>
        <w:ilvl w:val="0"/>
        <w:numId w:val="2"/>
      </w:numPr>
      <w:jc w:val="start"/>
    </w:pPr>
    <w:rPr/>
  </w:style>
  <w:style w:type="paragraph" w:styleId="Subtitle">
    <w:name w:val="Subtitle"/>
    <w:basedOn w:val="Normal"/>
    <w:next w:val="BodyText"/>
    <w:qFormat/>
    <w:pPr>
      <w:keepNext w:val="true"/>
      <w:spacing w:before="0" w:after="60"/>
      <w:jc w:val="start"/>
      <w:outlineLvl w:val="1"/>
    </w:pPr>
    <w:rPr>
      <w:b/>
    </w:rPr>
  </w:style>
  <w:style w:type="paragraph" w:styleId="Address">
    <w:name w:val="Address"/>
    <w:basedOn w:val="Normal"/>
    <w:next w:val="Salutation"/>
    <w:qFormat/>
    <w:pPr>
      <w:keepNext w:val="true"/>
      <w:keepLines/>
      <w:spacing w:before="240" w:after="240"/>
      <w:ind w:hanging="0" w:start="0" w:end="3240"/>
      <w:jc w:val="start"/>
    </w:pPr>
    <w:rPr>
      <w:lang w:val="en-CA"/>
    </w:rPr>
  </w:style>
  <w:style w:type="paragraph" w:styleId="Salutation">
    <w:name w:val="Salutation"/>
    <w:basedOn w:val="Normal"/>
    <w:next w:val="ReLine"/>
    <w:qFormat/>
    <w:pPr>
      <w:jc w:val="start"/>
    </w:pPr>
    <w:rPr/>
  </w:style>
  <w:style w:type="paragraph" w:styleId="AttnLine">
    <w:name w:val="AttnLine"/>
    <w:basedOn w:val="Normal"/>
    <w:next w:val="Salutation"/>
    <w:qFormat/>
    <w:pPr>
      <w:keepNext w:val="true"/>
      <w:keepLines/>
      <w:jc w:val="start"/>
    </w:pPr>
    <w:rPr>
      <w:lang w:val="en-CA"/>
    </w:rPr>
  </w:style>
  <w:style w:type="paragraph" w:styleId="cclist">
    <w:name w:val="cclist"/>
    <w:basedOn w:val="Normal"/>
    <w:qFormat/>
    <w:pPr>
      <w:keepNext w:val="true"/>
      <w:spacing w:before="0" w:after="0"/>
      <w:ind w:hanging="720" w:start="720" w:end="0"/>
      <w:jc w:val="start"/>
    </w:pPr>
    <w:rPr/>
  </w:style>
  <w:style w:type="paragraph" w:styleId="bcclist">
    <w:name w:val="bcclist"/>
    <w:basedOn w:val="cclist"/>
    <w:next w:val="BodyText"/>
    <w:qFormat/>
    <w:pPr/>
    <w:rPr>
      <w:vanish/>
    </w:rPr>
  </w:style>
  <w:style w:type="paragraph" w:styleId="ClosingLeftMargin">
    <w:name w:val="Closing Left Margin"/>
    <w:basedOn w:val="Closing"/>
    <w:qFormat/>
    <w:pPr>
      <w:ind w:hanging="0" w:start="0" w:end="0"/>
    </w:pPr>
    <w:rPr/>
  </w:style>
  <w:style w:type="paragraph" w:styleId="DirectLine">
    <w:name w:val="Direct Line"/>
    <w:basedOn w:val="Normal"/>
    <w:next w:val="Normal"/>
    <w:qFormat/>
    <w:pPr>
      <w:tabs>
        <w:tab w:val="clear" w:pos="720"/>
        <w:tab w:val="left" w:pos="187" w:leader="none"/>
      </w:tabs>
      <w:spacing w:before="0" w:after="0"/>
      <w:jc w:val="start"/>
    </w:pPr>
    <w:rPr>
      <w:sz w:val="20"/>
      <w:lang w:val="en-CA"/>
    </w:rPr>
  </w:style>
  <w:style w:type="paragraph" w:styleId="email">
    <w:name w:val="email"/>
    <w:next w:val="Normal"/>
    <w:qFormat/>
    <w:pPr>
      <w:widowControl/>
      <w:tabs>
        <w:tab w:val="clear" w:pos="720"/>
        <w:tab w:val="left" w:pos="187" w:leader="none"/>
      </w:tabs>
      <w:bidi w:val="0"/>
      <w:spacing w:before="0" w:after="240"/>
    </w:pPr>
    <w:rPr>
      <w:rFonts w:ascii="Book Antiqua" w:hAnsi="Book Antiqua" w:eastAsia="Times New Roman" w:cs="Book Antiqua"/>
      <w:color w:val="auto"/>
      <w:sz w:val="20"/>
      <w:szCs w:val="20"/>
      <w:lang w:val="en-CA" w:eastAsia="zh-CN" w:bidi="hi-IN"/>
    </w:rPr>
  </w:style>
  <w:style w:type="paragraph" w:styleId="EnvelopeAddress">
    <w:name w:val="envelope address"/>
    <w:basedOn w:val="Normal"/>
    <w:pPr>
      <w:spacing w:before="0" w:after="0"/>
      <w:ind w:hanging="0" w:start="2880" w:end="0"/>
      <w:jc w:val="start"/>
    </w:pPr>
    <w:rPr/>
  </w:style>
  <w:style w:type="paragraph" w:styleId="Handling">
    <w:name w:val="Handling"/>
    <w:basedOn w:val="Normal"/>
    <w:qFormat/>
    <w:pPr>
      <w:keepNext w:val="true"/>
      <w:keepLines/>
      <w:spacing w:before="0" w:after="0"/>
      <w:jc w:val="start"/>
    </w:pPr>
    <w:rPr>
      <w:b/>
      <w:caps/>
    </w:rPr>
  </w:style>
  <w:style w:type="paragraph" w:styleId="InfoBlock">
    <w:name w:val="InfoBlock"/>
    <w:basedOn w:val="Normal"/>
    <w:qFormat/>
    <w:pPr>
      <w:widowControl w:val="false"/>
      <w:spacing w:before="0" w:after="0"/>
      <w:jc w:val="center"/>
    </w:pPr>
    <w:rPr>
      <w:b/>
      <w:smallCaps/>
      <w:sz w:val="14"/>
      <w:lang w:val="en-CA"/>
    </w:rPr>
  </w:style>
  <w:style w:type="paragraph" w:styleId="Initials">
    <w:name w:val="Initials"/>
    <w:basedOn w:val="Normal"/>
    <w:next w:val="cclist"/>
    <w:qFormat/>
    <w:pPr>
      <w:keepNext w:val="true"/>
      <w:widowControl w:val="false"/>
      <w:spacing w:before="0" w:after="0"/>
      <w:jc w:val="start"/>
    </w:pPr>
    <w:rPr>
      <w:lang w:val="en-CA"/>
    </w:rPr>
  </w:style>
  <w:style w:type="paragraph" w:styleId="Quote">
    <w:name w:val="Quote"/>
    <w:basedOn w:val="Normal"/>
    <w:qFormat/>
    <w:pPr>
      <w:ind w:hanging="0" w:start="1440" w:end="1440"/>
    </w:pPr>
    <w:rPr/>
  </w:style>
  <w:style w:type="paragraph" w:styleId="PlainText">
    <w:name w:val="Plain Text"/>
    <w:basedOn w:val="Normal"/>
    <w:qFormat/>
    <w:pPr/>
    <w:rPr>
      <w:rFonts w:ascii="Courier New" w:hAnsi="Courier New" w:cs="Courier New"/>
      <w:sz w:val="20"/>
    </w:rPr>
  </w:style>
  <w:style w:type="paragraph" w:styleId="Line1Header">
    <w:name w:val="Line1Header"/>
    <w:basedOn w:val="Header"/>
    <w:next w:val="Header"/>
    <w:qFormat/>
    <w:pPr>
      <w:spacing w:before="1560" w:after="0"/>
    </w:pPr>
    <w:rPr/>
  </w:style>
  <w:style w:type="paragraph" w:styleId="EnvelopeReturn">
    <w:name w:val="envelope return"/>
    <w:basedOn w:val="DirectLine"/>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2000-09-19T15:56:00Z</dcterms:created>
  <dc:creator>Naomi Camden</dc:creator>
  <dc:description/>
  <dc:language>en-CA</dc:language>
  <cp:lastModifiedBy>FLEMINBL</cp:lastModifiedBy>
  <cp:lastPrinted>2000-09-19T14:03:00Z</cp:lastPrinted>
  <dcterms:modified xsi:type="dcterms:W3CDTF">2000-09-19T15:56:00Z</dcterms:modified>
  <cp:revision>2</cp:revision>
  <dc:subject/>
  <dc:title>(TD Syn Toronto’s proposed changes to TD Syn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30315521.3</vt:lpwstr>
  </property>
  <property fmtid="{D5CDD505-2E9C-101B-9397-08002B2CF9AE}" pid="3" name="SEDocID">
    <vt:lpwstr>NGC\153848\3</vt:lpwstr>
  </property>
</Properties>
</file>