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Commissioner Terry Harvill</w:t>
      </w:r>
    </w:p>
    <w:p>
      <w:pPr>
        <w:pStyle w:val="Normal"/>
        <w:rPr/>
      </w:pPr>
      <w:r>
        <w:rPr/>
        <w:t>Illinois Commerce Commission</w:t>
      </w:r>
    </w:p>
    <w:p>
      <w:pPr>
        <w:pStyle w:val="Normal"/>
        <w:rPr/>
      </w:pPr>
      <w:r>
        <w:rPr/>
        <w:t>(Address)</w:t>
      </w:r>
    </w:p>
    <w:p>
      <w:pPr>
        <w:pStyle w:val="Normal"/>
        <w:rPr/>
      </w:pPr>
      <w:r>
        <w:rPr/>
      </w:r>
    </w:p>
    <w:p>
      <w:pPr>
        <w:pStyle w:val="Normal"/>
        <w:rPr/>
      </w:pPr>
      <w:r>
        <w:rPr/>
        <w:t>Dear Commissioner Harvill:</w:t>
      </w:r>
    </w:p>
    <w:p>
      <w:pPr>
        <w:pStyle w:val="Normal"/>
        <w:rPr/>
      </w:pPr>
      <w:r>
        <w:rPr/>
      </w:r>
    </w:p>
    <w:p>
      <w:pPr>
        <w:pStyle w:val="Normal"/>
        <w:rPr/>
      </w:pPr>
      <w:r>
        <w:rPr/>
        <w:t>Enron appreciates the opportunity to provide comments on ComEd’s April 2</w:t>
      </w:r>
      <w:r>
        <w:rPr>
          <w:vertAlign w:val="superscript"/>
        </w:rPr>
        <w:t>nd</w:t>
      </w:r>
      <w:r>
        <w:rPr/>
        <w:t xml:space="preserve"> letter to the Commission.  The letter essentially discussed two proposals: one to lift the PPO for customers whose CTC drops to zero; and, the second to create a default service rate at the end of the transition period based on an hourly market price.  Enron believes that ComEd’s proposal is overall, a step in the right direction and that continued dialogue on these matters may yield significant positive results; however, implementation at this time is premature.</w:t>
      </w:r>
    </w:p>
    <w:p>
      <w:pPr>
        <w:pStyle w:val="Normal"/>
        <w:rPr/>
      </w:pPr>
      <w:r>
        <w:rPr/>
      </w:r>
    </w:p>
    <w:p>
      <w:pPr>
        <w:pStyle w:val="Normal"/>
        <w:rPr/>
      </w:pPr>
      <w:r>
        <w:rPr/>
        <w:t>With respect to the first part of the proposal regarding lifting the PPO for customers whose CTC is zero, no such action should be taken until there is a functioning wholesale market in which marketers have the capability to physically delivery power to their customers.  The failure to fully address wholesale market concerns will yield negative results.  First, if only ComEd and a very few suppliers can arrange physical delivery to the retail customer, the progress towards creating a competitive market will be reversed.  Further, while some marketers may be able to deliver power to some customers, the issue is the ability of a marketer to delivery significant volumes of power over a sustained period of time at a competitive price.  Too many barriers in the current Alliance framework, such as the failure to properly address imbalance risk, impede such an outcome, which is necessary to competition.</w:t>
      </w:r>
    </w:p>
    <w:p>
      <w:pPr>
        <w:pStyle w:val="Normal"/>
        <w:rPr/>
      </w:pPr>
      <w:r>
        <w:rPr/>
      </w:r>
    </w:p>
    <w:p>
      <w:pPr>
        <w:pStyle w:val="Normal"/>
        <w:rPr/>
      </w:pPr>
      <w:r>
        <w:rPr/>
        <w:t>Without a group of marketers from which to choose, the customer who is being removed from the PPO will default to the bundled rate.  For some customers, this will result in a rate increase.  Under other scenarios, marketers who have placed their customers on the PPO could lose money because of contract obligations to serve.  Such scenarios do not create the kind of environment inducive to competition.  The simple point is that if the PPO is removed, there must be an alternative available for those customers and without fixing the physical delivery issues, there are no such alternatives except the incumbent.</w:t>
      </w:r>
    </w:p>
    <w:p>
      <w:pPr>
        <w:pStyle w:val="Normal"/>
        <w:rPr/>
      </w:pPr>
      <w:r>
        <w:rPr/>
      </w:r>
    </w:p>
    <w:p>
      <w:pPr>
        <w:pStyle w:val="Normal"/>
        <w:rPr/>
      </w:pPr>
      <w:r>
        <w:rPr/>
        <w:t xml:space="preserve">Should the ICC permit the removal of the PPO option once the CTC falls to zero, the reinstatement of the CTC should not be permitted.  To do so, would create chaos and uncertainty in the marketplace since the customer would not know what it would be assessed from month to month.  Moreover, the imposition of a CTC on an irratic basis makes it extremely difficult for a customer to comparison shop.  ComEd should not have the ability to </w:t>
      </w:r>
      <w:r>
        <w:rPr>
          <w:i/>
          <w:iCs/>
        </w:rPr>
        <w:t xml:space="preserve">carte blanche </w:t>
      </w:r>
      <w:r>
        <w:rPr/>
        <w:t>opt in and out of a CTC fee.  However, if the CTC is reinstated for any number of months, so should the PPO be reinstated.  As long as a CTC is charged, the PPO is required to be offered.</w:t>
      </w:r>
    </w:p>
    <w:p>
      <w:pPr>
        <w:pStyle w:val="Normal"/>
        <w:rPr/>
      </w:pPr>
      <w:r>
        <w:rPr/>
      </w:r>
    </w:p>
    <w:p>
      <w:pPr>
        <w:pStyle w:val="Normal"/>
        <w:rPr/>
      </w:pPr>
      <w:r>
        <w:rPr/>
        <w:t>Once the PPO is lifted, the customer should be permitted to “park” at a reasonable default rate for a few months while it weighs its alternatives.  The customer should not be penalized by terms requiring minimum stays or rates that are punitive in its proportions.</w:t>
      </w:r>
    </w:p>
    <w:p>
      <w:pPr>
        <w:pStyle w:val="Normal"/>
        <w:rPr/>
      </w:pPr>
      <w:r>
        <w:rPr/>
        <w:t xml:space="preserve">As to the default rate proposal for the end of the transition period, Enron supports using an hourly market price based on a trading hub.  These rates should be available on a come and go basis since they are based on actual market prices procured by the default service provider.  Moreover, if the incumbent utility is the default service provider, the default rate must be greater than the wholesale cost plus a premium to cover the incumbent’s risk.  Should that be the case, marketers will not be able to compete, because marketers face the same wholesale costs and have the same risks.  If all a marketer can do is match the utility’s price, there will be no competition since there is no incentive for the customers to switch.  Instead, Enron would propose that the incumbent charge a higher rate in order to create headroom in the market.  The differential between the market price plus risk factor and the higher default rate can be credited back to customers as a discount off their distribution rate.  Alternatively, the Commission could use the differential to assist low-income customers in paying arrearages or funding residential weatherization programs.  </w:t>
      </w:r>
    </w:p>
    <w:p>
      <w:pPr>
        <w:pStyle w:val="Normal"/>
        <w:rPr/>
      </w:pPr>
      <w:r>
        <w:rPr/>
      </w:r>
    </w:p>
    <w:p>
      <w:pPr>
        <w:pStyle w:val="Normal"/>
        <w:rPr/>
      </w:pPr>
      <w:r>
        <w:rPr/>
        <w:t>If the CTC remains in effect at the end of the transition period, then it needs to be fixed so that customers can calculate and plan for that cost when they are making decisions regarding their choice of supplier.</w:t>
      </w:r>
    </w:p>
    <w:p>
      <w:pPr>
        <w:pStyle w:val="Normal"/>
        <w:rPr/>
      </w:pPr>
      <w:r>
        <w:rPr/>
      </w:r>
    </w:p>
    <w:p>
      <w:pPr>
        <w:pStyle w:val="Normal"/>
        <w:rPr/>
      </w:pPr>
      <w:r>
        <w:rPr/>
        <w:t>Enron believes that the comments outlined above will help stimulate a competitive market.  We appreciate the Commission’s careful attention to this issue and the opportunity to express our views.  Should any further detail or information be required, we would be delighted to assist.</w:t>
      </w:r>
    </w:p>
    <w:p>
      <w:pPr>
        <w:pStyle w:val="Normal"/>
        <w:rPr/>
      </w:pPr>
      <w:r>
        <w:rPr/>
      </w:r>
    </w:p>
    <w:p>
      <w:pPr>
        <w:pStyle w:val="Normal"/>
        <w:rPr/>
      </w:pPr>
      <w:r>
        <w:rPr/>
        <w:t>Sincerely,</w:t>
      </w:r>
    </w:p>
    <w:p>
      <w:pPr>
        <w:pStyle w:val="Normal"/>
        <w:rPr/>
      </w:pPr>
      <w:r>
        <w:rPr/>
      </w:r>
    </w:p>
    <w:p>
      <w:pPr>
        <w:pStyle w:val="Normal"/>
        <w:rPr/>
      </w:pPr>
      <w:r>
        <w:rPr/>
        <w:t>Janine Migden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2001-10-28T19:05:00Z</dcterms:created>
  <dc:creator>jmigden</dc:creator>
  <dc:description/>
  <dc:language>en-CA</dc:language>
  <cp:lastModifiedBy>jmigden</cp:lastModifiedBy>
  <dcterms:modified xsi:type="dcterms:W3CDTF">2001-10-29T19:09:00Z</dcterms:modified>
  <cp:revision>2</cp:revision>
  <dc:subject/>
  <dc:title>Commissioner Terry Harvill</dc:title>
</cp:coreProperties>
</file>