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0" w:type="dxa"/>
        <w:jc w:val="start"/>
        <w:tblInd w:w="-1185" w:type="dxa"/>
        <w:tblLayout w:type="fixed"/>
        <w:tblCellMar>
          <w:top w:w="0" w:type="dxa"/>
          <w:start w:w="75" w:type="dxa"/>
          <w:bottom w:w="0" w:type="dxa"/>
          <w:end w:w="75" w:type="dxa"/>
        </w:tblCellMar>
      </w:tblPr>
      <w:tblGrid>
        <w:gridCol w:w="990"/>
        <w:gridCol w:w="180"/>
        <w:gridCol w:w="6030"/>
      </w:tblGrid>
      <w:tr>
        <w:trPr>
          <w:trHeight w:val="600" w:hRule="atLeast"/>
        </w:trPr>
        <w:tc>
          <w:tcPr>
            <w:tcW w:w="990" w:type="dxa"/>
            <w:tcBorders/>
          </w:tcPr>
          <w:p>
            <w:pPr>
              <w:pStyle w:val="Header"/>
              <w:tabs>
                <w:tab w:val="clear" w:pos="4153"/>
                <w:tab w:val="clear" w:pos="8306"/>
                <w:tab w:val="left" w:pos="1588" w:leader="none"/>
                <w:tab w:val="left" w:pos="8165" w:leader="none"/>
              </w:tabs>
              <w:spacing w:before="80" w:after="0"/>
              <w:jc w:val="end"/>
              <w:rPr>
                <w:rFonts w:ascii="Arial" w:hAnsi="Arial" w:cs="Arial"/>
                <w:color w:val="000000"/>
                <w:sz w:val="16"/>
                <w:lang w:val="en-GB"/>
              </w:rPr>
            </w:pPr>
            <w:r>
              <w:rPr>
                <w:rFonts w:cs="Arial" w:ascii="Arial" w:hAnsi="Arial"/>
                <w:color w:val="000000"/>
                <w:sz w:val="16"/>
                <w:lang w:val="en-GB"/>
              </w:rPr>
              <w:t>To</w:t>
            </w:r>
          </w:p>
        </w:tc>
        <w:tc>
          <w:tcPr>
            <w:tcW w:w="180" w:type="dxa"/>
            <w:tcBorders/>
          </w:tcPr>
          <w:p>
            <w:pPr>
              <w:pStyle w:val="Header"/>
              <w:tabs>
                <w:tab w:val="clear" w:pos="4153"/>
                <w:tab w:val="clear" w:pos="8306"/>
                <w:tab w:val="left" w:pos="1588" w:leader="none"/>
                <w:tab w:val="left" w:pos="8165" w:leader="none"/>
              </w:tabs>
              <w:snapToGrid w:val="false"/>
              <w:spacing w:before="80" w:after="0"/>
              <w:rPr>
                <w:rFonts w:ascii="CitigateFrutigerLight;Courier New" w:hAnsi="CitigateFrutigerLight;Courier New" w:cs="CitigateFrutigerLight;Courier New"/>
                <w:color w:val="000000"/>
                <w:sz w:val="16"/>
                <w:lang w:val="en-GB"/>
              </w:rPr>
            </w:pPr>
            <w:r>
              <w:rPr>
                <w:rFonts w:cs="CitigateFrutigerLight;Courier New" w:ascii="CitigateFrutigerLight;Courier New" w:hAnsi="CitigateFrutigerLight;Courier New"/>
                <w:color w:val="000000"/>
                <w:sz w:val="16"/>
                <w:lang w:val="en-GB"/>
              </w:rPr>
            </w:r>
          </w:p>
        </w:tc>
        <w:tc>
          <w:tcPr>
            <w:tcW w:w="6030" w:type="dxa"/>
            <w:tcBorders/>
          </w:tcPr>
          <w:p>
            <w:pPr>
              <w:pStyle w:val="Header"/>
              <w:tabs>
                <w:tab w:val="clear" w:pos="4153"/>
                <w:tab w:val="clear" w:pos="8306"/>
                <w:tab w:val="left" w:pos="1588" w:leader="none"/>
                <w:tab w:val="left" w:pos="8165" w:leader="none"/>
              </w:tabs>
              <w:spacing w:before="80" w:after="0"/>
              <w:rPr>
                <w:sz w:val="23"/>
                <w:lang w:val="en-GB"/>
              </w:rPr>
            </w:pPr>
            <w:bookmarkStart w:id="0" w:name="bkTo"/>
            <w:bookmarkEnd w:id="0"/>
            <w:r>
              <w:rPr>
                <w:sz w:val="23"/>
                <w:lang w:val="en-GB"/>
              </w:rPr>
              <w:t>Peter Styles</w:t>
            </w:r>
          </w:p>
        </w:tc>
      </w:tr>
      <w:tr>
        <w:trPr>
          <w:trHeight w:val="600" w:hRule="atLeast"/>
        </w:trPr>
        <w:tc>
          <w:tcPr>
            <w:tcW w:w="990" w:type="dxa"/>
            <w:tcBorders/>
          </w:tcPr>
          <w:p>
            <w:pPr>
              <w:pStyle w:val="Header"/>
              <w:tabs>
                <w:tab w:val="clear" w:pos="4153"/>
                <w:tab w:val="clear" w:pos="8306"/>
                <w:tab w:val="left" w:pos="1588" w:leader="none"/>
                <w:tab w:val="left" w:pos="8165" w:leader="none"/>
              </w:tabs>
              <w:spacing w:before="80" w:after="0"/>
              <w:jc w:val="end"/>
              <w:rPr>
                <w:rFonts w:ascii="Arial" w:hAnsi="Arial" w:cs="Arial"/>
                <w:sz w:val="16"/>
                <w:lang w:val="en-GB"/>
              </w:rPr>
            </w:pPr>
            <w:r>
              <w:rPr>
                <w:rFonts w:cs="Arial" w:ascii="Arial" w:hAnsi="Arial"/>
                <w:sz w:val="16"/>
                <w:lang w:val="en-GB"/>
              </w:rPr>
              <w:t>cc</w:t>
            </w:r>
          </w:p>
        </w:tc>
        <w:tc>
          <w:tcPr>
            <w:tcW w:w="180" w:type="dxa"/>
            <w:tcBorders/>
          </w:tcPr>
          <w:p>
            <w:pPr>
              <w:pStyle w:val="Header"/>
              <w:tabs>
                <w:tab w:val="clear" w:pos="4153"/>
                <w:tab w:val="clear" w:pos="8306"/>
                <w:tab w:val="left" w:pos="1588" w:leader="none"/>
                <w:tab w:val="left" w:pos="8165" w:leader="none"/>
              </w:tabs>
              <w:snapToGrid w:val="false"/>
              <w:spacing w:before="80" w:after="0"/>
              <w:rPr>
                <w:rFonts w:ascii="CitigateFrutigerLight;Courier New" w:hAnsi="CitigateFrutigerLight;Courier New" w:cs="CitigateFrutigerLight;Courier New"/>
                <w:sz w:val="16"/>
                <w:lang w:val="en-GB"/>
              </w:rPr>
            </w:pPr>
            <w:r>
              <w:rPr>
                <w:rFonts w:cs="CitigateFrutigerLight;Courier New" w:ascii="CitigateFrutigerLight;Courier New" w:hAnsi="CitigateFrutigerLight;Courier New"/>
                <w:sz w:val="16"/>
                <w:lang w:val="en-GB"/>
              </w:rPr>
            </w:r>
          </w:p>
        </w:tc>
        <w:tc>
          <w:tcPr>
            <w:tcW w:w="6030" w:type="dxa"/>
            <w:tcBorders/>
          </w:tcPr>
          <w:p>
            <w:pPr>
              <w:pStyle w:val="Header"/>
              <w:tabs>
                <w:tab w:val="clear" w:pos="4153"/>
                <w:tab w:val="clear" w:pos="8306"/>
                <w:tab w:val="left" w:pos="1588" w:leader="none"/>
                <w:tab w:val="left" w:pos="8165" w:leader="none"/>
              </w:tabs>
              <w:spacing w:before="80" w:after="0"/>
              <w:rPr>
                <w:sz w:val="23"/>
                <w:lang w:val="en-GB"/>
              </w:rPr>
            </w:pPr>
            <w:bookmarkStart w:id="1" w:name="bkCC"/>
            <w:bookmarkEnd w:id="1"/>
            <w:r>
              <w:rPr>
                <w:sz w:val="23"/>
                <w:lang w:val="en-GB"/>
              </w:rPr>
              <w:t>Nailia Dindarova, Thierry Lebeaux, Amaia Betelu</w:t>
            </w:r>
          </w:p>
        </w:tc>
      </w:tr>
      <w:tr>
        <w:trPr>
          <w:trHeight w:val="600" w:hRule="atLeast"/>
        </w:trPr>
        <w:tc>
          <w:tcPr>
            <w:tcW w:w="990" w:type="dxa"/>
            <w:tcBorders/>
          </w:tcPr>
          <w:p>
            <w:pPr>
              <w:pStyle w:val="Header"/>
              <w:tabs>
                <w:tab w:val="clear" w:pos="4153"/>
                <w:tab w:val="clear" w:pos="8306"/>
                <w:tab w:val="left" w:pos="1588" w:leader="none"/>
                <w:tab w:val="left" w:pos="8165" w:leader="none"/>
              </w:tabs>
              <w:spacing w:before="80" w:after="0"/>
              <w:jc w:val="end"/>
              <w:rPr>
                <w:rFonts w:ascii="Arial" w:hAnsi="Arial" w:cs="Arial"/>
                <w:sz w:val="16"/>
                <w:lang w:val="en-GB"/>
              </w:rPr>
            </w:pPr>
            <w:r>
              <w:rPr>
                <w:rFonts w:cs="Arial" w:ascii="Arial" w:hAnsi="Arial"/>
                <w:sz w:val="16"/>
                <w:lang w:val="en-GB"/>
              </w:rPr>
              <w:t>From</w:t>
            </w:r>
          </w:p>
        </w:tc>
        <w:tc>
          <w:tcPr>
            <w:tcW w:w="180" w:type="dxa"/>
            <w:tcBorders/>
          </w:tcPr>
          <w:p>
            <w:pPr>
              <w:pStyle w:val="Header"/>
              <w:tabs>
                <w:tab w:val="clear" w:pos="4153"/>
                <w:tab w:val="clear" w:pos="8306"/>
                <w:tab w:val="left" w:pos="1588" w:leader="none"/>
                <w:tab w:val="left" w:pos="8165" w:leader="none"/>
              </w:tabs>
              <w:snapToGrid w:val="false"/>
              <w:spacing w:before="80" w:after="0"/>
              <w:rPr>
                <w:rFonts w:ascii="CitigateFrutigerLight;Courier New" w:hAnsi="CitigateFrutigerLight;Courier New" w:cs="CitigateFrutigerLight;Courier New"/>
                <w:sz w:val="16"/>
                <w:lang w:val="en-GB"/>
              </w:rPr>
            </w:pPr>
            <w:r>
              <w:rPr>
                <w:rFonts w:cs="CitigateFrutigerLight;Courier New" w:ascii="CitigateFrutigerLight;Courier New" w:hAnsi="CitigateFrutigerLight;Courier New"/>
                <w:sz w:val="16"/>
                <w:lang w:val="en-GB"/>
              </w:rPr>
            </w:r>
          </w:p>
        </w:tc>
        <w:tc>
          <w:tcPr>
            <w:tcW w:w="6030" w:type="dxa"/>
            <w:tcBorders/>
          </w:tcPr>
          <w:p>
            <w:pPr>
              <w:pStyle w:val="Header"/>
              <w:tabs>
                <w:tab w:val="clear" w:pos="4153"/>
                <w:tab w:val="clear" w:pos="8306"/>
                <w:tab w:val="left" w:pos="1588" w:leader="none"/>
                <w:tab w:val="left" w:pos="8165" w:leader="none"/>
              </w:tabs>
              <w:spacing w:before="80" w:after="0"/>
              <w:rPr>
                <w:sz w:val="23"/>
                <w:lang w:val="en-GB"/>
              </w:rPr>
            </w:pPr>
            <w:bookmarkStart w:id="2" w:name="bkFrom"/>
            <w:bookmarkEnd w:id="2"/>
            <w:r>
              <w:rPr>
                <w:sz w:val="23"/>
                <w:lang w:val="en-GB"/>
              </w:rPr>
              <w:t>Paul Riley</w:t>
            </w:r>
          </w:p>
        </w:tc>
      </w:tr>
      <w:tr>
        <w:trPr>
          <w:trHeight w:val="600" w:hRule="atLeast"/>
        </w:trPr>
        <w:tc>
          <w:tcPr>
            <w:tcW w:w="990" w:type="dxa"/>
            <w:tcBorders/>
          </w:tcPr>
          <w:p>
            <w:pPr>
              <w:pStyle w:val="Header"/>
              <w:tabs>
                <w:tab w:val="clear" w:pos="4153"/>
                <w:tab w:val="clear" w:pos="8306"/>
                <w:tab w:val="left" w:pos="1588" w:leader="none"/>
                <w:tab w:val="left" w:pos="8165" w:leader="none"/>
              </w:tabs>
              <w:spacing w:before="80" w:after="0"/>
              <w:jc w:val="end"/>
              <w:rPr>
                <w:rFonts w:ascii="Arial" w:hAnsi="Arial" w:cs="Arial"/>
                <w:sz w:val="16"/>
                <w:lang w:val="en-GB"/>
              </w:rPr>
            </w:pPr>
            <w:r>
              <w:rPr>
                <w:rFonts w:cs="Arial" w:ascii="Arial" w:hAnsi="Arial"/>
                <w:sz w:val="16"/>
                <w:lang w:val="en-GB"/>
              </w:rPr>
              <w:t>Date</w:t>
            </w:r>
          </w:p>
        </w:tc>
        <w:tc>
          <w:tcPr>
            <w:tcW w:w="180" w:type="dxa"/>
            <w:tcBorders/>
          </w:tcPr>
          <w:p>
            <w:pPr>
              <w:pStyle w:val="Header"/>
              <w:tabs>
                <w:tab w:val="clear" w:pos="4153"/>
                <w:tab w:val="clear" w:pos="8306"/>
                <w:tab w:val="left" w:pos="1588" w:leader="none"/>
                <w:tab w:val="left" w:pos="8165" w:leader="none"/>
              </w:tabs>
              <w:snapToGrid w:val="false"/>
              <w:spacing w:before="80" w:after="0"/>
              <w:rPr>
                <w:rFonts w:ascii="CitigateFrutigerLight;Courier New" w:hAnsi="CitigateFrutigerLight;Courier New" w:cs="CitigateFrutigerLight;Courier New"/>
                <w:sz w:val="16"/>
                <w:lang w:val="en-GB"/>
              </w:rPr>
            </w:pPr>
            <w:r>
              <w:rPr>
                <w:rFonts w:cs="CitigateFrutigerLight;Courier New" w:ascii="CitigateFrutigerLight;Courier New" w:hAnsi="CitigateFrutigerLight;Courier New"/>
                <w:sz w:val="16"/>
                <w:lang w:val="en-GB"/>
              </w:rPr>
            </w:r>
          </w:p>
        </w:tc>
        <w:tc>
          <w:tcPr>
            <w:tcW w:w="6030" w:type="dxa"/>
            <w:tcBorders/>
          </w:tcPr>
          <w:p>
            <w:pPr>
              <w:pStyle w:val="Header"/>
              <w:tabs>
                <w:tab w:val="clear" w:pos="4153"/>
                <w:tab w:val="clear" w:pos="8306"/>
                <w:tab w:val="left" w:pos="1588" w:leader="none"/>
                <w:tab w:val="left" w:pos="8165" w:leader="none"/>
              </w:tabs>
              <w:spacing w:before="80" w:after="0"/>
              <w:rPr>
                <w:sz w:val="23"/>
                <w:lang w:val="en-GB"/>
              </w:rPr>
            </w:pPr>
            <w:bookmarkStart w:id="3" w:name="bkDate"/>
            <w:bookmarkEnd w:id="3"/>
            <w:r>
              <w:rPr>
                <w:sz w:val="23"/>
                <w:lang w:val="en-GB"/>
              </w:rPr>
              <w:t>21 June 2001</w:t>
            </w:r>
          </w:p>
        </w:tc>
      </w:tr>
    </w:tbl>
    <w:p>
      <w:pPr>
        <w:pStyle w:val="Header"/>
        <w:tabs>
          <w:tab w:val="clear" w:pos="4153"/>
          <w:tab w:val="clear" w:pos="8306"/>
          <w:tab w:val="left" w:pos="8165" w:leader="none"/>
        </w:tabs>
        <w:rPr>
          <w:sz w:val="23"/>
          <w:lang w:val="en-GB"/>
        </w:rPr>
      </w:pPr>
      <w:r>
        <w:rPr>
          <w:sz w:val="23"/>
          <w:lang w:val="en-GB"/>
        </w:rPr>
      </w:r>
    </w:p>
    <w:p>
      <w:pPr>
        <w:pStyle w:val="Normal"/>
        <w:rPr>
          <w:rFonts w:ascii="Arial" w:hAnsi="Arial" w:cs="Arial"/>
          <w:sz w:val="23"/>
          <w:lang w:val="en-GB" w:eastAsia="en-US"/>
        </w:rPr>
      </w:pPr>
      <w:r>
        <w:rPr>
          <w:rFonts w:cs="Arial" w:ascii="Arial" w:hAnsi="Arial"/>
          <w:sz w:val="23"/>
          <w:lang w:val="en-GB" w:eastAsia="en-US"/>
        </w:rPr>
      </w:r>
      <w:bookmarkStart w:id="4" w:name="bkEnd"/>
      <w:bookmarkStart w:id="5" w:name="bkEnd"/>
      <w:bookmarkEnd w:id="5"/>
    </w:p>
    <w:p>
      <w:pPr>
        <w:pStyle w:val="Heading1"/>
        <w:ind w:hanging="0" w:start="0"/>
        <w:rPr>
          <w:rFonts w:ascii="Times New Roman" w:hAnsi="Times New Roman" w:cs="Times New Roman"/>
          <w:lang w:eastAsia="en-US"/>
        </w:rPr>
      </w:pPr>
      <w:r>
        <w:rPr>
          <w:rFonts w:cs="Times New Roman" w:ascii="Times New Roman" w:hAnsi="Times New Roman"/>
          <w:lang w:eastAsia="en-US"/>
        </w:rPr>
        <w:t>Asymmetric opening of Community energy  markets</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The Commission is embarking upon a detailed debate on restrictions to intra-Community investment, in response to the reactions of certain Member States to distortions of competition in the energy market.</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 xml:space="preserve">First of all, the Commission recalls that free movement of capital and freedom of establishment are fundamental freedoms of the Treaty which are directly applicable. </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Following this debate, the following conclusions are drawn:</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380" w:end="0"/>
        <w:rPr>
          <w:rFonts w:ascii="Arial" w:hAnsi="Arial" w:cs="Arial"/>
          <w:lang w:eastAsia="en-US"/>
        </w:rPr>
      </w:pPr>
      <w:r>
        <w:rPr>
          <w:rFonts w:cs="Arial" w:ascii="Arial" w:hAnsi="Arial"/>
          <w:lang w:eastAsia="en-US"/>
        </w:rPr>
        <w:t>The Communication from M.Bolkestein is approved;</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380" w:end="0"/>
        <w:rPr>
          <w:rFonts w:ascii="Arial" w:hAnsi="Arial" w:cs="Arial"/>
          <w:lang w:eastAsia="en-US"/>
        </w:rPr>
      </w:pPr>
      <w:r>
        <w:rPr>
          <w:rFonts w:cs="Arial" w:ascii="Arial" w:hAnsi="Arial"/>
          <w:lang w:eastAsia="en-US"/>
        </w:rPr>
        <w:t xml:space="preserve">In most Member States, progress in the opening up of energy markets has been more rapid than foreseen in the Directives in force, although certain obstacles still stand in the way of effective liberalisation. The result is potential distortion of competition between businesses. </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380" w:end="0"/>
        <w:rPr>
          <w:rFonts w:ascii="Arial" w:hAnsi="Arial" w:cs="Arial"/>
          <w:lang w:eastAsia="en-US"/>
        </w:rPr>
      </w:pPr>
      <w:r>
        <w:rPr>
          <w:rFonts w:cs="Arial" w:ascii="Arial" w:hAnsi="Arial"/>
          <w:lang w:eastAsia="en-US"/>
        </w:rPr>
        <w:t>The Commission believes this situation calls for:</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760" w:end="0"/>
        <w:rPr>
          <w:rFonts w:ascii="Arial" w:hAnsi="Arial" w:cs="Arial"/>
          <w:lang w:eastAsia="en-US"/>
        </w:rPr>
      </w:pPr>
      <w:r>
        <w:rPr>
          <w:rFonts w:cs="Arial" w:ascii="Arial" w:hAnsi="Arial"/>
          <w:lang w:eastAsia="en-US"/>
        </w:rPr>
        <w:t>strict application of competition and state aid rules, including in the field of nuclear energy;</w:t>
      </w:r>
    </w:p>
    <w:p>
      <w:pPr>
        <w:pStyle w:val="Normal"/>
        <w:ind w:start="380" w:end="0"/>
        <w:rPr>
          <w:rFonts w:ascii="Arial" w:hAnsi="Arial" w:cs="Arial"/>
          <w:lang w:eastAsia="en-US"/>
        </w:rPr>
      </w:pPr>
      <w:r>
        <w:rPr>
          <w:rFonts w:cs="Arial" w:ascii="Arial" w:hAnsi="Arial"/>
          <w:lang w:eastAsia="en-US"/>
        </w:rPr>
      </w:r>
    </w:p>
    <w:p>
      <w:pPr>
        <w:pStyle w:val="Normal"/>
        <w:numPr>
          <w:ilvl w:val="0"/>
          <w:numId w:val="2"/>
        </w:numPr>
        <w:ind w:hanging="380" w:start="760" w:end="0"/>
        <w:rPr>
          <w:rFonts w:ascii="Arial" w:hAnsi="Arial" w:cs="Arial"/>
          <w:lang w:eastAsia="en-US"/>
        </w:rPr>
      </w:pPr>
      <w:r>
        <w:rPr>
          <w:rFonts w:cs="Arial" w:ascii="Arial" w:hAnsi="Arial"/>
          <w:lang w:eastAsia="en-US"/>
        </w:rPr>
        <w:t>the swifter adoption by the Council and Parliament of the 2nd liberalisation package;</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760" w:end="0"/>
        <w:rPr>
          <w:rFonts w:ascii="Arial" w:hAnsi="Arial" w:cs="Arial"/>
          <w:lang w:eastAsia="en-US"/>
        </w:rPr>
      </w:pPr>
      <w:r>
        <w:rPr>
          <w:rFonts w:cs="Arial" w:ascii="Arial" w:hAnsi="Arial"/>
          <w:lang w:eastAsia="en-US"/>
        </w:rPr>
        <w:t>should adoption of the package be delayed, the possible application of Article 86, in particular paragraph 3 thereof, in order to address Directives or Decisions to Member States with a view to eliminating potential distortions of competition, while preserving the obligations of services of general economic interest;</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760" w:end="0"/>
        <w:rPr>
          <w:rFonts w:ascii="Arial" w:hAnsi="Arial" w:cs="Arial"/>
          <w:lang w:eastAsia="en-US"/>
        </w:rPr>
      </w:pPr>
      <w:r>
        <w:rPr>
          <w:rFonts w:cs="Arial" w:ascii="Arial" w:hAnsi="Arial"/>
          <w:lang w:eastAsia="en-US"/>
        </w:rPr>
        <w:t xml:space="preserve">and finally, a swift solution to the problems of tariffs in intra-Community exchanges and the development of infrastructures which obstruct the effective opening up of markets     </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380" w:end="0"/>
        <w:rPr>
          <w:rFonts w:ascii="Arial" w:hAnsi="Arial" w:cs="Arial"/>
          <w:lang w:eastAsia="en-US"/>
        </w:rPr>
      </w:pPr>
      <w:r>
        <w:rPr>
          <w:rFonts w:cs="Arial" w:ascii="Arial" w:hAnsi="Arial"/>
          <w:lang w:eastAsia="en-US"/>
        </w:rPr>
        <w:t>Liberalisation does not entail any obligation for privatisation. While liberalisation is moving forward at the initiative of the Commission, notably via the route of harmonisation, Member States remain free to privatise their enterprises or not. Once this choice is made, however, the rules of the Treaty remain applicable.</w:t>
      </w:r>
    </w:p>
    <w:p>
      <w:pPr>
        <w:pStyle w:val="Normal"/>
        <w:rPr>
          <w:rFonts w:ascii="Arial" w:hAnsi="Arial" w:eastAsia="Arial" w:cs="Arial"/>
          <w:lang w:eastAsia="en-US"/>
        </w:rPr>
      </w:pPr>
      <w:r>
        <w:rPr>
          <w:rFonts w:eastAsia="Arial" w:cs="Arial" w:ascii="Arial" w:hAnsi="Arial"/>
          <w:lang w:eastAsia="en-US"/>
        </w:rPr>
        <w:t xml:space="preserve"> </w:t>
      </w:r>
    </w:p>
    <w:p>
      <w:pPr>
        <w:pStyle w:val="Normal"/>
        <w:numPr>
          <w:ilvl w:val="0"/>
          <w:numId w:val="2"/>
        </w:numPr>
        <w:ind w:hanging="380" w:start="380" w:end="0"/>
        <w:rPr>
          <w:rFonts w:ascii="Arial" w:hAnsi="Arial" w:cs="Arial"/>
          <w:lang w:eastAsia="en-US"/>
        </w:rPr>
      </w:pPr>
      <w:r>
        <w:rPr>
          <w:rFonts w:cs="Arial" w:ascii="Arial" w:hAnsi="Arial"/>
          <w:lang w:eastAsia="en-US"/>
        </w:rPr>
        <w:t>The principle of neutrality enshrined in the Treaty implies, in particular, that private and public enterprises are subject to the same rules notably competition rules and enjoy the same rights, notably the free movement of capital and freedom of establishment.</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380" w:end="0"/>
        <w:rPr>
          <w:rFonts w:ascii="Arial" w:hAnsi="Arial" w:cs="Arial"/>
          <w:lang w:eastAsia="en-US"/>
        </w:rPr>
      </w:pPr>
      <w:r>
        <w:rPr>
          <w:rFonts w:cs="Arial" w:ascii="Arial" w:hAnsi="Arial"/>
          <w:lang w:eastAsia="en-US"/>
        </w:rPr>
        <w:t>The application of the principle of reciprocity and retaliation measures are alien to the Treaty and to the principles of the internal market in particular.</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380" w:end="0"/>
        <w:rPr>
          <w:rFonts w:ascii="Arial" w:hAnsi="Arial" w:cs="Arial"/>
          <w:lang w:eastAsia="en-US"/>
        </w:rPr>
      </w:pPr>
      <w:r>
        <w:rPr>
          <w:rFonts w:cs="Arial" w:ascii="Arial" w:hAnsi="Arial"/>
          <w:lang w:eastAsia="en-US"/>
        </w:rPr>
        <w:t>In principle, the Treaty also rules out discriminatory measures except in cases where application is limited and the measures respect the principle of proportionality. The jurisprudence of the Court also permits derogations "for overriding reasons of general interest" provided the measures taken are non-discriminatory and proportionate.</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380" w:end="0"/>
        <w:rPr>
          <w:rFonts w:ascii="Arial" w:hAnsi="Arial" w:cs="Arial"/>
          <w:lang w:eastAsia="en-US"/>
        </w:rPr>
      </w:pPr>
      <w:r>
        <w:rPr>
          <w:rFonts w:cs="Arial" w:ascii="Arial" w:hAnsi="Arial"/>
          <w:lang w:eastAsia="en-US"/>
        </w:rPr>
        <w:t>These principles were recalled in the 1997 Communication on restrictions to direct investment. The Commission will continue to draw on its 1997 Communication to examine obstacles, notably in the form of special rights, which Member States place in the way of free movement of capital and freedom of establishment, pending the decisions of the ECJ in the cases currently before it in this area.</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380" w:end="0"/>
        <w:rPr>
          <w:rFonts w:ascii="Arial" w:hAnsi="Arial" w:cs="Arial"/>
          <w:lang w:eastAsia="en-US"/>
        </w:rPr>
      </w:pPr>
      <w:r>
        <w:rPr>
          <w:rFonts w:cs="Arial" w:ascii="Arial" w:hAnsi="Arial"/>
          <w:lang w:eastAsia="en-US"/>
        </w:rPr>
        <w:t>The Commission reaffirms the position it took during the very first phase of the privatisation of "Rome Airports" (at a time when the State still held control of society) considering in particular that temporary time limits on the participation of public enterprises under precise, objective, non-discriminatory and pre-agreed conditions are consistent with the Treaty.</w:t>
      </w:r>
    </w:p>
    <w:p>
      <w:pPr>
        <w:pStyle w:val="Normal"/>
        <w:rPr>
          <w:rFonts w:ascii="Arial" w:hAnsi="Arial" w:cs="Arial"/>
          <w:lang w:eastAsia="en-US"/>
        </w:rPr>
      </w:pPr>
      <w:r>
        <w:rPr>
          <w:rFonts w:cs="Arial" w:ascii="Arial" w:hAnsi="Arial"/>
          <w:lang w:eastAsia="en-US"/>
        </w:rPr>
      </w:r>
    </w:p>
    <w:p>
      <w:pPr>
        <w:pStyle w:val="Normal"/>
        <w:numPr>
          <w:ilvl w:val="0"/>
          <w:numId w:val="2"/>
        </w:numPr>
        <w:ind w:hanging="380" w:start="380" w:end="0"/>
        <w:rPr>
          <w:rFonts w:ascii="Arial" w:hAnsi="Arial" w:cs="Arial"/>
          <w:lang w:eastAsia="en-US"/>
        </w:rPr>
      </w:pPr>
      <w:r>
        <w:rPr>
          <w:rFonts w:cs="Arial" w:ascii="Arial" w:hAnsi="Arial"/>
          <w:lang w:eastAsia="en-US"/>
        </w:rPr>
        <w:t xml:space="preserve">The Commission will launch a dialogue with Parliament in response to its April 2001 resolution requesting a proposal for a Directive on restrictions to intra-Community investment, since the directly applicable provisions of the Treaty do not require any implementing measures. </w:t>
      </w:r>
    </w:p>
    <w:p>
      <w:pPr>
        <w:pStyle w:val="Normal"/>
        <w:rPr>
          <w:rFonts w:ascii="Arial" w:hAnsi="Arial" w:cs="Arial"/>
          <w:lang w:eastAsia="en-US"/>
        </w:rPr>
      </w:pPr>
      <w:r>
        <w:rPr>
          <w:rFonts w:cs="Arial" w:ascii="Arial" w:hAnsi="Arial"/>
          <w:lang w:eastAsia="en-US"/>
        </w:rPr>
      </w:r>
    </w:p>
    <w:p>
      <w:pPr>
        <w:pStyle w:val="Header"/>
        <w:tabs>
          <w:tab w:val="clear" w:pos="4153"/>
          <w:tab w:val="clear" w:pos="8306"/>
          <w:tab w:val="left" w:pos="8165" w:leader="none"/>
        </w:tabs>
        <w:rPr>
          <w:rFonts w:ascii="Arial" w:hAnsi="Arial" w:cs="Arial"/>
          <w:sz w:val="23"/>
          <w:lang w:val="en-GB" w:eastAsia="en-US"/>
        </w:rPr>
      </w:pPr>
      <w:r>
        <w:rPr>
          <w:rFonts w:cs="Arial" w:ascii="Arial" w:hAnsi="Arial"/>
          <w:sz w:val="23"/>
          <w:lang w:val="en-GB" w:eastAsia="en-US"/>
        </w:rPr>
      </w:r>
    </w:p>
    <w:sectPr>
      <w:headerReference w:type="default" r:id="rId2"/>
      <w:headerReference w:type="first" r:id="rId3"/>
      <w:footerReference w:type="default" r:id="rId4"/>
      <w:footerReference w:type="first" r:id="rId5"/>
      <w:type w:val="nextPage"/>
      <w:pgSz w:w="11906" w:h="16838"/>
      <w:pgMar w:left="1714" w:right="850" w:gutter="0" w:header="850" w:top="906" w:footer="850" w:bottom="9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itigateFrutigerLight">
    <w:altName w:val="Courier New"/>
    <w:charset w:val="00" w:characterSet="windows-1252"/>
    <w:family w:val="auto"/>
    <w:pitch w:val="variable"/>
  </w:font>
  <w:font w:name="InceptaLogos1">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20" w:start="1580" w:end="0"/>
      <w:rPr>
        <w:rFonts w:ascii="CitigateFrutigerLight;Courier New" w:hAnsi="CitigateFrutigerLight;Courier New" w:cs="CitigateFrutigerLight;Courier New"/>
        <w:sz w:val="16"/>
      </w:rPr>
    </w:pPr>
    <w:r>
      <w:rPr>
        <w:rFonts w:cs="CitigateFrutigerLight;Courier New" w:ascii="CitigateFrutigerLight;Courier New" w:hAnsi="CitigateFrutigerLight;Courier New"/>
        <w:sz w:val="16"/>
      </w:rPr>
    </w:r>
  </w:p>
  <w:p>
    <w:pPr>
      <w:pStyle w:val="Footer"/>
      <w:ind w:hanging="20" w:start="1580" w:end="0"/>
      <w:rPr>
        <w:rFonts w:ascii="CitigateFrutigerLight;Courier New" w:hAnsi="CitigateFrutigerLight;Courier New" w:cs="CitigateFrutigerLight;Courier New"/>
        <w:sz w:val="16"/>
      </w:rPr>
    </w:pPr>
    <w:r>
      <w:rPr>
        <w:rFonts w:cs="CitigateFrutigerLight;Courier New" w:ascii="CitigateFrutigerLight;Courier New" w:hAnsi="CitigateFrutigerLight;Courier New"/>
        <w:sz w:val="16"/>
      </w:rPr>
    </w:r>
  </w:p>
  <w:p>
    <w:pPr>
      <w:pStyle w:val="Footer"/>
      <w:ind w:hanging="20" w:start="1580" w:end="0"/>
      <w:rPr>
        <w:rFonts w:ascii="CitigateFrutigerLight;Courier New" w:hAnsi="CitigateFrutigerLight;Courier New" w:cs="CitigateFrutigerLight;Courier New"/>
        <w:sz w:val="16"/>
      </w:rPr>
    </w:pPr>
    <w:r>
      <w:rPr>
        <w:rFonts w:cs="CitigateFrutigerLight;Courier New" w:ascii="CitigateFrutigerLight;Courier New" w:hAnsi="CitigateFrutigerLight;Courier New"/>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left" w:pos="1588" w:leader="none"/>
        <w:tab w:val="left" w:pos="8165" w:leader="none"/>
      </w:tabs>
      <w:jc w:val="end"/>
      <w:rPr>
        <w:rFonts w:ascii="InceptaLogos1" w:hAnsi="InceptaLogos1" w:cs="InceptaLogos1"/>
        <w:color w:val="000080"/>
        <w:sz w:val="72"/>
        <w:lang w:val="en-GB"/>
      </w:rPr>
    </w:pPr>
    <w:r>
      <w:rPr>
        <w:rFonts w:cs="InceptaLogos1" w:ascii="InceptaLogos1" w:hAnsi="InceptaLogos1"/>
        <w:color w:val="000080"/>
        <w:sz w:val="72"/>
        <w:lang w:val="en-GB"/>
      </w:rPr>
      <w:t>2</w:t>
    </w:r>
    <w:r>
      <w:rPr>
        <w:rFonts w:cs="InceptaLogos1" w:ascii="InceptaLogos1" w:hAnsi="InceptaLogos1"/>
        <w:color w:val="800000"/>
        <w:sz w:val="72"/>
        <w:lang w:val="en-GB"/>
      </w:rPr>
      <w:t>CF</w:t>
    </w:r>
  </w:p>
  <w:p>
    <w:pPr>
      <w:pStyle w:val="Header"/>
      <w:rPr>
        <w:rFonts w:ascii="InceptaLogos1" w:hAnsi="InceptaLogos1" w:cs="InceptaLogos1"/>
        <w:color w:val="000080"/>
        <w:sz w:val="72"/>
        <w:lang w:val="en-GB"/>
      </w:rPr>
    </w:pPr>
    <w:r>
      <w:rPr>
        <w:rFonts w:cs="InceptaLogos1" w:ascii="InceptaLogos1" w:hAnsi="InceptaLogos1"/>
        <w:color w:val="000080"/>
        <w:sz w:val="72"/>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588" w:leader="none"/>
        <w:tab w:val="left" w:pos="6984" w:leader="none"/>
        <w:tab w:val="left" w:pos="8165" w:leader="none"/>
      </w:tabs>
      <w:spacing w:lineRule="exact" w:line="280" w:before="40" w:after="40"/>
      <w:ind w:start="288" w:end="0"/>
      <w:rPr/>
    </w:pPr>
    <w:r>
      <w:rPr>
        <w:rFonts w:cs="Arial" w:ascii="Arial" w:hAnsi="Arial"/>
        <w:sz w:val="36"/>
        <w:lang w:val="en-GB"/>
      </w:rPr>
      <w:t>Memo</w:t>
      <w:tab/>
      <w:tab/>
    </w:r>
    <w:r>
      <w:rPr>
        <w:rFonts w:cs="Arial" w:ascii="Arial" w:hAnsi="Arial"/>
        <w:sz w:val="16"/>
      </w:rPr>
      <w:t>Avenue de Cortenbergh 66</w:t>
    </w:r>
  </w:p>
  <w:p>
    <w:pPr>
      <w:pStyle w:val="Normal"/>
      <w:tabs>
        <w:tab w:val="clear" w:pos="720"/>
        <w:tab w:val="left" w:pos="1588" w:leader="none"/>
        <w:tab w:val="left" w:pos="6984" w:leader="none"/>
        <w:tab w:val="left" w:pos="8165" w:leader="none"/>
      </w:tabs>
      <w:spacing w:lineRule="exact" w:line="280"/>
      <w:rPr>
        <w:rFonts w:ascii="Arial" w:hAnsi="Arial" w:cs="Arial"/>
        <w:sz w:val="16"/>
      </w:rPr>
    </w:pPr>
    <w:r>
      <w:rPr>
        <w:rFonts w:cs="Arial" w:ascii="Arial" w:hAnsi="Arial"/>
        <w:sz w:val="16"/>
      </w:rPr>
      <w:tab/>
      <w:tab/>
      <w:t>B-1040 Brussels</w:t>
    </w:r>
  </w:p>
  <w:p>
    <w:pPr>
      <w:pStyle w:val="Normal"/>
      <w:tabs>
        <w:tab w:val="clear" w:pos="720"/>
        <w:tab w:val="left" w:pos="1588" w:leader="none"/>
        <w:tab w:val="left" w:pos="6984" w:leader="none"/>
        <w:tab w:val="left" w:pos="8165" w:leader="none"/>
      </w:tabs>
      <w:spacing w:lineRule="exact" w:line="280"/>
      <w:rPr>
        <w:rFonts w:ascii="Arial" w:hAnsi="Arial" w:cs="Arial"/>
        <w:sz w:val="16"/>
      </w:rPr>
    </w:pPr>
    <w:r>
      <w:rPr>
        <w:rFonts w:cs="Arial" w:ascii="Arial" w:hAnsi="Arial"/>
        <w:sz w:val="16"/>
      </w:rPr>
      <w:tab/>
      <w:tab/>
      <w:t>Belgium</w:t>
    </w:r>
  </w:p>
  <w:p>
    <w:pPr>
      <w:pStyle w:val="Normal"/>
      <w:tabs>
        <w:tab w:val="clear" w:pos="720"/>
        <w:tab w:val="left" w:pos="1588" w:leader="none"/>
        <w:tab w:val="left" w:pos="6984" w:leader="none"/>
        <w:tab w:val="left" w:pos="8165" w:leader="none"/>
      </w:tabs>
      <w:spacing w:lineRule="exact" w:line="280"/>
      <w:rPr>
        <w:rFonts w:ascii="Arial" w:hAnsi="Arial" w:cs="Arial"/>
        <w:sz w:val="16"/>
      </w:rPr>
    </w:pPr>
    <w:r>
      <w:rPr>
        <w:rFonts w:cs="Arial" w:ascii="Arial" w:hAnsi="Arial"/>
        <w:sz w:val="16"/>
      </w:rPr>
      <w:tab/>
      <w:tab/>
      <w:t>Tel  +322 736 8135</w:t>
    </w:r>
  </w:p>
  <w:p>
    <w:pPr>
      <w:pStyle w:val="Normal"/>
      <w:tabs>
        <w:tab w:val="clear" w:pos="720"/>
        <w:tab w:val="left" w:pos="1588" w:leader="none"/>
        <w:tab w:val="left" w:pos="6984" w:leader="none"/>
        <w:tab w:val="left" w:pos="7020" w:leader="none"/>
        <w:tab w:val="left" w:pos="8165" w:leader="none"/>
      </w:tabs>
      <w:spacing w:lineRule="exact" w:line="280"/>
      <w:rPr>
        <w:rFonts w:ascii="Arial" w:hAnsi="Arial" w:cs="Arial"/>
        <w:sz w:val="16"/>
        <w:lang w:val="en-GB"/>
      </w:rPr>
    </w:pPr>
    <w:r>
      <w:rPr>
        <w:rFonts w:cs="Arial" w:ascii="Arial" w:hAnsi="Arial"/>
        <w:sz w:val="16"/>
      </w:rPr>
      <w:tab/>
      <w:tab/>
      <w:t>Fax +322 736 8847</w:t>
    </w:r>
  </w:p>
  <w:p>
    <w:pPr>
      <w:pStyle w:val="Normal"/>
      <w:tabs>
        <w:tab w:val="clear" w:pos="720"/>
        <w:tab w:val="left" w:pos="1588" w:leader="none"/>
        <w:tab w:val="left" w:pos="8165" w:leader="none"/>
      </w:tabs>
      <w:rPr>
        <w:rFonts w:ascii="Arial" w:hAnsi="Arial" w:cs="Arial"/>
        <w:sz w:val="16"/>
        <w:lang w:val="en-GB"/>
      </w:rPr>
    </w:pPr>
    <w:r>
      <w:rPr>
        <w:rFonts w:cs="Arial" w:ascii="Arial" w:hAnsi="Arial"/>
        <w:sz w:val="16"/>
        <w:lang w:val="en-GB"/>
      </w:rPr>
    </w:r>
  </w:p>
  <w:p>
    <w:pPr>
      <w:pStyle w:val="Normal"/>
      <w:tabs>
        <w:tab w:val="clear" w:pos="720"/>
        <w:tab w:val="left" w:pos="1588" w:leader="none"/>
        <w:tab w:val="left" w:pos="8165" w:leader="none"/>
      </w:tabs>
      <w:rPr>
        <w:rFonts w:ascii="Arial" w:hAnsi="Arial" w:cs="Arial"/>
        <w:sz w:val="16"/>
        <w:lang w:val="en-GB"/>
      </w:rPr>
    </w:pPr>
    <w:r>
      <w:rPr>
        <w:rFonts w:cs="Arial" w:ascii="Arial" w:hAnsi="Arial"/>
        <w:sz w:val="16"/>
        <w:lang w:val="en-GB"/>
      </w:rPr>
    </w:r>
  </w:p>
  <w:p>
    <w:pPr>
      <w:pStyle w:val="Normal"/>
      <w:tabs>
        <w:tab w:val="clear" w:pos="720"/>
        <w:tab w:val="left" w:pos="1588" w:leader="none"/>
        <w:tab w:val="left" w:pos="8165" w:leader="none"/>
      </w:tabs>
      <w:rPr>
        <w:rFonts w:ascii="Arial" w:hAnsi="Arial" w:cs="Arial"/>
        <w:sz w:val="16"/>
        <w:lang w:val="en-GB"/>
      </w:rPr>
    </w:pPr>
    <w:r>
      <w:rPr>
        <w:rFonts w:cs="Arial" w:ascii="Arial" w:hAnsi="Arial"/>
        <w:sz w:val="16"/>
        <w:lang w:val="en-GB"/>
      </w:rPr>
      <w:tab/>
      <w:tab/>
    </w:r>
  </w:p>
  <w:p>
    <w:pPr>
      <w:pStyle w:val="Header"/>
      <w:tabs>
        <w:tab w:val="center" w:pos="4153" w:leader="none"/>
        <w:tab w:val="left" w:pos="8165" w:leader="none"/>
        <w:tab w:val="right" w:pos="8306" w:leader="none"/>
      </w:tabs>
      <w:rPr>
        <w:rFonts w:ascii="Arial" w:hAnsi="Arial" w:cs="Arial"/>
        <w:sz w:val="16"/>
        <w:lang w:val="en-CA"/>
      </w:rPr>
    </w:pPr>
    <w:r>
      <w:rPr>
        <w:rFonts w:cs="Arial" w:ascii="Arial" w:hAnsi="Arial"/>
        <w:sz w:val="16"/>
        <w:lang w:val="en-CA"/>
      </w:rPr>
    </w:r>
    <w:r>
      <mc:AlternateContent>
        <mc:Choice Requires="wps">
          <w:drawing>
            <wp:anchor behindDoc="1" distT="0" distB="0" distL="114935" distR="114935" simplePos="0" locked="0" layoutInCell="1" allowOverlap="1" relativeHeight="2">
              <wp:simplePos x="0" y="0"/>
              <wp:positionH relativeFrom="column">
                <wp:posOffset>4215130</wp:posOffset>
              </wp:positionH>
              <wp:positionV relativeFrom="paragraph">
                <wp:posOffset>346075</wp:posOffset>
              </wp:positionV>
              <wp:extent cx="2011680" cy="784860"/>
              <wp:effectExtent l="0" t="0" r="0" b="0"/>
              <wp:wrapNone/>
              <wp:docPr id="1" name="Frame1"/>
              <a:graphic xmlns:a="http://schemas.openxmlformats.org/drawingml/2006/main">
                <a:graphicData uri="http://schemas.microsoft.com/office/word/2010/wordprocessingShape">
                  <wps:wsp>
                    <wps:cNvSpPr txBox="1"/>
                    <wps:spPr>
                      <a:xfrm>
                        <a:off x="0" y="0"/>
                        <a:ext cx="2011680" cy="784860"/>
                      </a:xfrm>
                      <a:prstGeom prst="rect"/>
                      <a:solidFill>
                        <a:srgbClr val="FFFFFF"/>
                      </a:solidFill>
                    </wps:spPr>
                    <wps:txbx>
                      <w:txbxContent>
                        <w:p>
                          <w:pPr>
                            <w:pStyle w:val="Normal"/>
                            <w:rPr/>
                          </w:pPr>
                          <w:r>
                            <w:rPr>
                              <w:rFonts w:cs="InceptaLogos1" w:ascii="InceptaLogos1" w:hAnsi="InceptaLogos1"/>
                              <w:color w:val="000080"/>
                              <w:sz w:val="122"/>
                              <w:lang w:val="en-GB"/>
                            </w:rPr>
                            <w:t>2</w:t>
                          </w:r>
                          <w:r>
                            <w:rPr>
                              <w:rFonts w:cs="InceptaLogos1" w:ascii="InceptaLogos1" w:hAnsi="InceptaLogos1"/>
                              <w:color w:val="800000"/>
                              <w:sz w:val="122"/>
                              <w:lang w:val="en-GB"/>
                            </w:rPr>
                            <w:t>CF</w:t>
                          </w:r>
                        </w:p>
                      </w:txbxContent>
                    </wps:txbx>
                    <wps:bodyPr anchor="t" lIns="92075" tIns="46355" rIns="92075" bIns="46355">
                      <a:noAutofit/>
                    </wps:bodyPr>
                  </wps:wsp>
                </a:graphicData>
              </a:graphic>
            </wp:anchor>
          </w:drawing>
        </mc:Choice>
        <mc:Fallback>
          <w:pict>
            <v:rect fillcolor="#FFFFFF" style="position:absolute;rotation:-0;width:158.4pt;height:61.8pt;mso-wrap-distance-left:9.05pt;mso-wrap-distance-right:9.05pt;mso-wrap-distance-top:0pt;mso-wrap-distance-bottom:0pt;margin-top:27.25pt;mso-position-vertical-relative:text;margin-left:331.9pt;mso-position-horizontal-relative:text">
              <v:textbox inset="0.100694444444444in,0.0506944444444444in,0.100694444444444in,0.0506944444444444in">
                <w:txbxContent>
                  <w:p>
                    <w:pPr>
                      <w:pStyle w:val="Normal"/>
                      <w:rPr/>
                    </w:pPr>
                    <w:r>
                      <w:rPr>
                        <w:rFonts w:cs="InceptaLogos1" w:ascii="InceptaLogos1" w:hAnsi="InceptaLogos1"/>
                        <w:color w:val="000080"/>
                        <w:sz w:val="122"/>
                        <w:lang w:val="en-GB"/>
                      </w:rPr>
                      <w:t>2</w:t>
                    </w:r>
                    <w:r>
                      <w:rPr>
                        <w:rFonts w:cs="InceptaLogos1" w:ascii="InceptaLogos1" w:hAnsi="InceptaLogos1"/>
                        <w:color w:val="800000"/>
                        <w:sz w:val="122"/>
                        <w:lang w:val="en-GB"/>
                      </w:rPr>
                      <w:t>CF</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2001-06-21T11:14:00Z</dcterms:created>
  <dc:creator>Amaia Betelu Bazo</dc:creator>
  <dc:description/>
  <dc:language>en-CA</dc:language>
  <cp:lastModifiedBy>Amaia Betelu Bazo</cp:lastModifiedBy>
  <cp:lastPrinted>1999-08-11T16:47:00Z</cp:lastPrinted>
  <dcterms:modified xsi:type="dcterms:W3CDTF">2001-06-21T11:27:00Z</dcterms:modified>
  <cp:revision>3</cp:revision>
  <dc:subject/>
  <dc:title>To</dc:title>
</cp:coreProperties>
</file>