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i w:val="false"/>
          <w:i w:val="false"/>
          <w:color w:val="auto"/>
          <w:sz w:val="32"/>
        </w:rPr>
      </w:pPr>
      <w:r>
        <w:rPr>
          <w:i w:val="false"/>
          <w:color w:val="auto"/>
          <w:sz w:val="32"/>
        </w:rPr>
        <w:t>Commission Agenda 9/7/00</w:t>
      </w:r>
    </w:p>
    <w:p>
      <w:pPr>
        <w:pStyle w:val="Heading"/>
        <w:rPr>
          <w:i w:val="false"/>
          <w:i w:val="false"/>
          <w:color w:val="auto"/>
          <w:sz w:val="32"/>
        </w:rPr>
      </w:pPr>
      <w:r>
        <w:rPr>
          <w:i w:val="false"/>
          <w:color w:val="auto"/>
          <w:sz w:val="32"/>
        </w:rPr>
      </w:r>
    </w:p>
    <w:p>
      <w:pPr>
        <w:pStyle w:val="Heading8"/>
        <w:ind w:hanging="0" w:start="0"/>
        <w:rPr/>
      </w:pPr>
      <w:r>
        <w:rPr/>
        <w:t>CA-19</w:t>
        <w:tab/>
      </w:r>
    </w:p>
    <w:p>
      <w:pPr>
        <w:pStyle w:val="Normal"/>
        <w:ind w:start="720" w:end="0"/>
        <w:rPr/>
      </w:pPr>
      <w:r>
        <w:rPr>
          <w:b/>
        </w:rPr>
        <w:t>A96-12-009 - Pacific Gas and Electric Company (PG&amp;E).</w:t>
      </w:r>
      <w:r>
        <w:rPr/>
        <w:br/>
        <w:t>This decision concludes record lacks support to penalize PG&amp;E for delay in implementing weekly calculation of the Power Exchange price attributable to computer information system upgrade problems.  Ratemaking adjustments ordered in PG&amp;E’s 1999 general rate case appropriately protect ratepayers from unreasonable computer information system costs.</w:t>
      </w:r>
      <w:r>
        <w:rPr>
          <w:sz w:val="24"/>
        </w:rPr>
        <w:br/>
      </w:r>
      <w:r>
        <w:rPr>
          <w:b/>
          <w:sz w:val="24"/>
        </w:rPr>
        <w:tab/>
      </w:r>
    </w:p>
    <w:p>
      <w:pPr>
        <w:pStyle w:val="FootnoteText"/>
        <w:rPr>
          <w:b/>
        </w:rPr>
      </w:pPr>
      <w:r>
        <w:rPr>
          <w:b/>
        </w:rPr>
        <w:t>CA-43</w:t>
        <w:tab/>
      </w:r>
    </w:p>
    <w:p>
      <w:pPr>
        <w:pStyle w:val="BodyTextIndent"/>
        <w:rPr/>
      </w:pPr>
      <w:r>
        <w:rPr>
          <w:b/>
        </w:rPr>
        <w:t>Res G-3290 - Southern California Edison Company.</w:t>
      </w:r>
      <w:r>
        <w:rPr/>
        <w:br/>
        <w:t>This resolution approves an increase in Gas Cost Adjustment Billing Factors to compensate for an increase in cost of gas.</w:t>
        <w:br/>
      </w:r>
    </w:p>
    <w:p>
      <w:pPr>
        <w:pStyle w:val="Normal"/>
        <w:rPr>
          <w:b/>
        </w:rPr>
      </w:pPr>
      <w:r>
        <w:rPr>
          <w:b/>
        </w:rPr>
        <w:t>H-9</w:t>
        <w:tab/>
      </w:r>
    </w:p>
    <w:p>
      <w:pPr>
        <w:pStyle w:val="BodyTextIndent"/>
        <w:rPr/>
      </w:pPr>
      <w:r>
        <w:rPr>
          <w:b/>
        </w:rPr>
        <w:t>99-04-022 - Order Instituting Investigation into the operations and practices of the Southern California Gas Company (SoCalGas), concerning the accuracy of information supplied to the Commission in connection with its Montebello Gas Storage Facility</w:t>
      </w:r>
      <w:r>
        <w:rPr/>
        <w:t>.</w:t>
        <w:br/>
        <w:t>This decision conditionally approves the settlement reached between SoCalGas and the Commission’s Consumer Services Division.  First, the $3,495,000 voluntary monetary contribution SoCalGas is to make for the benefit of certain organizations should instead be paid to the General Fund of the State of California.  Second, SoCalGas should expand the scope of its ethics course to address a utility’s ethical obligations in exercising the power of eminent domain.</w:t>
        <w:tab/>
      </w:r>
    </w:p>
    <w:p>
      <w:pPr>
        <w:pStyle w:val="BodyTextIndent"/>
        <w:ind w:start="0" w:end="0"/>
        <w:rPr>
          <w:b/>
        </w:rPr>
      </w:pPr>
      <w:r>
        <w:rPr>
          <w:b/>
        </w:rPr>
      </w:r>
    </w:p>
    <w:p>
      <w:pPr>
        <w:pStyle w:val="BodyTextIndent"/>
        <w:ind w:start="0" w:end="0"/>
        <w:rPr>
          <w:b/>
          <w:i/>
          <w:i/>
        </w:rPr>
      </w:pPr>
      <w:r>
        <w:rPr>
          <w:b/>
        </w:rPr>
        <w:t>1</w:t>
      </w:r>
    </w:p>
    <w:p>
      <w:pPr>
        <w:pStyle w:val="Normal"/>
        <w:ind w:firstLine="720" w:end="0"/>
        <w:rPr/>
      </w:pPr>
      <w:r>
        <w:rPr>
          <w:b/>
        </w:rPr>
        <w:t>A99-08-022</w:t>
      </w:r>
      <w:r>
        <w:rPr/>
        <w:t xml:space="preserve"> - </w:t>
      </w:r>
      <w:r>
        <w:rPr>
          <w:b/>
        </w:rPr>
        <w:t>Southern California Edison Company</w:t>
      </w:r>
      <w:r>
        <w:rPr/>
        <w:t>.</w:t>
      </w:r>
    </w:p>
    <w:p>
      <w:pPr>
        <w:pStyle w:val="BodyTextIndent"/>
        <w:rPr/>
      </w:pPr>
      <w:r>
        <w:rPr/>
        <w:t>This decision adopts a uniform PX credit adder of .007 cents/kwh for all three utilities to be credited in addition to the credit for the commodity rate paid by direct access customers.  This decision finds that it is unreasonable to exempt wholesale customers from paying their fair share of Reliability Must-Run costs.  Revenue Adjustment Procedure applications shall be filed annually.  The next PX credit adjustment application shall be filed in 2003, if necessary.  These proceedings are closed.</w:t>
      </w:r>
    </w:p>
    <w:p>
      <w:pPr>
        <w:pStyle w:val="Normal"/>
        <w:rPr>
          <w:sz w:val="24"/>
        </w:rPr>
      </w:pPr>
      <w:r>
        <w:rPr>
          <w:b/>
          <w:sz w:val="24"/>
        </w:rPr>
        <w:tab/>
      </w:r>
    </w:p>
    <w:p>
      <w:pPr>
        <w:pStyle w:val="Normal"/>
        <w:ind w:hanging="720" w:start="720" w:end="0"/>
        <w:rPr/>
      </w:pPr>
      <w:r>
        <w:rPr>
          <w:b/>
        </w:rPr>
        <w:t>1a</w:t>
        <w:tab/>
        <w:t>ALTERNATE ORDER TO ITEM 1.</w:t>
      </w:r>
      <w:r>
        <w:rPr/>
        <w:t xml:space="preserve">  This alternate order is the same as the Proposed Decision, except that it adopts a PX procurement credit of 34 cents per kwh. </w:t>
        <w:br/>
      </w:r>
    </w:p>
    <w:p>
      <w:pPr>
        <w:pStyle w:val="Normal"/>
        <w:rPr>
          <w:b/>
        </w:rPr>
      </w:pPr>
      <w:r>
        <w:rPr>
          <w:b/>
        </w:rPr>
        <w:t xml:space="preserve">9  </w:t>
      </w:r>
    </w:p>
    <w:p>
      <w:pPr>
        <w:pStyle w:val="BodyTextIndent"/>
        <w:rPr>
          <w:sz w:val="24"/>
        </w:rPr>
      </w:pPr>
      <w:r>
        <w:rPr/>
        <w:t>I00-08-002 - Order Instituting Investigation into the functioning of the wholesale electric market and associated impact on retail rates.</w:t>
        <w:br/>
        <w:t xml:space="preserve">This decision provides an expanded rate stabilization plan for ratepayers of San Diego Gas &amp; Electric Company, retroactive to June 1, 2000.  This plan applies to residential, small commercial, and street lighting customers, including those customers defined as “general acute care hospitals” and customers defined as public or private schools for pupils serving grades </w:t>
        <w:br/>
        <w:t>K-12, and all accounts on Rate Schedule AL-TOU.  This decision also establishes a voluntary program for large commercial, agricultural, and industrial customers.  The accounting procedure for tracking these costs and revenues is clarified.</w:t>
        <w:br/>
      </w:r>
    </w:p>
    <w:p>
      <w:pPr>
        <w:pStyle w:val="Normal"/>
        <w:rPr>
          <w:b/>
        </w:rPr>
      </w:pPr>
      <w:r>
        <w:rPr>
          <w:b/>
        </w:rPr>
        <w:t>E-1</w:t>
        <w:tab/>
        <w:t>Res E-3694 - Pacific Gas and Electric Company (PG&amp;E).</w:t>
      </w:r>
    </w:p>
    <w:p>
      <w:pPr>
        <w:pStyle w:val="BodyTextIndent"/>
        <w:rPr/>
      </w:pPr>
      <w:r>
        <w:rPr/>
        <w:t>This resolution approves with modifications PG&amp;E’s request for Generation Asset Balancing Account, required entry to be recorded in the Transition Cost Balancing Account, and revisions to some Preliminary Statements as a result of D00-02-048 and D00-06-004.</w:t>
        <w:br/>
      </w:r>
      <w:r>
        <w:rPr>
          <w:b/>
        </w:rPr>
        <w:tab/>
      </w:r>
    </w:p>
    <w:p>
      <w:pPr>
        <w:pStyle w:val="Normal"/>
        <w:rPr>
          <w:b/>
        </w:rPr>
      </w:pPr>
      <w:r>
        <w:rPr>
          <w:b/>
        </w:rPr>
        <w:t>E-2</w:t>
        <w:tab/>
        <w:t>Res E-3685 - Pacific Gas and Electric Company (PG&amp;E).</w:t>
      </w:r>
    </w:p>
    <w:p>
      <w:pPr>
        <w:pStyle w:val="BodyTextIndent"/>
        <w:rPr/>
      </w:pPr>
      <w:r>
        <w:rPr/>
        <w:t xml:space="preserve">This resolution approves with conditions PG&amp;E’s request to offer third party meter reading services on a nontariffed basis.  </w:t>
        <w:br/>
      </w:r>
      <w:r>
        <w:rPr>
          <w:b/>
        </w:rPr>
        <w:tab/>
      </w:r>
    </w:p>
    <w:p>
      <w:pPr>
        <w:pStyle w:val="Normal"/>
        <w:rPr/>
      </w:pPr>
      <w:r>
        <w:rPr>
          <w:b/>
        </w:rPr>
        <w:t>E-3</w:t>
        <w:tab/>
        <w:t>Res E-3621</w:t>
      </w:r>
      <w:r>
        <w:rPr/>
        <w:t xml:space="preserve"> - </w:t>
      </w:r>
      <w:r>
        <w:rPr>
          <w:b/>
        </w:rPr>
        <w:t>Southern California Edison Company (SCE)</w:t>
      </w:r>
      <w:r>
        <w:rPr/>
        <w:t>.</w:t>
      </w:r>
    </w:p>
    <w:p>
      <w:pPr>
        <w:pStyle w:val="BodyTextIndent"/>
        <w:rPr/>
      </w:pPr>
      <w:r>
        <w:rPr/>
        <w:t>This resolution approves as modified SCE’s request to revise its Tariff Rule 18, to add language which allows SCE to provide master-metering for certain non-residential installations when individual utility metering is impractical.</w:t>
        <w:br/>
      </w:r>
      <w:r>
        <w:rPr>
          <w:b/>
        </w:rPr>
        <w:tab/>
      </w:r>
    </w:p>
    <w:p>
      <w:pPr>
        <w:pStyle w:val="Normal"/>
        <w:rPr/>
      </w:pPr>
      <w:r>
        <w:rPr>
          <w:b/>
        </w:rPr>
        <w:t>E-4</w:t>
        <w:tab/>
        <w:t>Res E-3690</w:t>
      </w:r>
      <w:r>
        <w:rPr/>
        <w:t xml:space="preserve"> - </w:t>
      </w:r>
      <w:r>
        <w:rPr>
          <w:b/>
        </w:rPr>
        <w:t>Southern California Edison Company (SCE)</w:t>
      </w:r>
      <w:r>
        <w:rPr/>
        <w:t>.</w:t>
        <w:tab/>
      </w:r>
    </w:p>
    <w:p>
      <w:pPr>
        <w:pStyle w:val="BodyTextIndent"/>
        <w:rPr/>
      </w:pPr>
      <w:r>
        <w:rPr/>
        <w:t>Emergency modification to SCE’s Voluntary Power Reduction Credit Program to assist in the shortage of generating capacity in the State of California.</w:t>
        <w:br/>
      </w:r>
    </w:p>
    <w:p>
      <w:pPr>
        <w:pStyle w:val="Normal"/>
        <w:ind w:hanging="720" w:start="720" w:end="0"/>
        <w:rPr/>
      </w:pPr>
      <w:r>
        <w:rPr>
          <w:b/>
        </w:rPr>
        <w:t>E-7</w:t>
        <w:tab/>
        <w:t>Res E-3700 - Pacific Gas and Electric Company (PG&amp;E).</w:t>
        <w:br/>
      </w:r>
      <w:r>
        <w:rPr/>
        <w:t>This resolution approves in part PG&amp;E’s request to modify its Price Responsive Load Program (E-BID Program).</w:t>
        <w:br/>
      </w:r>
      <w:r>
        <w:rPr>
          <w:b/>
        </w:rPr>
        <w:tab/>
      </w:r>
    </w:p>
    <w:p>
      <w:pPr>
        <w:pStyle w:val="Normal"/>
        <w:ind w:hanging="720" w:start="720" w:end="0"/>
        <w:rPr/>
      </w:pPr>
      <w:r>
        <w:rPr>
          <w:b/>
        </w:rPr>
        <w:t>E-8</w:t>
        <w:tab/>
        <w:t>Res E-3701 - Pacific Gas and Electric Company (PG&amp;E).</w:t>
        <w:br/>
      </w:r>
      <w:r>
        <w:rPr/>
        <w:t>This resolution approves with modifications PG&amp;E’s request to file new electric tariff schedule OBMC-Optional Binding Mandatory Curtailment Plan in compliance with D91548 and D82-06-021.</w:t>
      </w:r>
    </w:p>
    <w:sectPr>
      <w:headerReference w:type="default" r:id="rId2"/>
      <w:type w:val="nextPage"/>
      <w:pgSz w:w="12240" w:h="15840"/>
      <w:pgMar w:left="1728" w:right="1728"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b/>
      <w:i/>
      <w:sz w:val="28"/>
    </w:rPr>
  </w:style>
  <w:style w:type="paragraph" w:styleId="Heading5">
    <w:name w:val="heading 5"/>
    <w:basedOn w:val="Normal"/>
    <w:next w:val="Normal"/>
    <w:qFormat/>
    <w:pPr>
      <w:keepNext w:val="true"/>
      <w:numPr>
        <w:ilvl w:val="4"/>
        <w:numId w:val="1"/>
      </w:numPr>
      <w:outlineLvl w:val="4"/>
    </w:pPr>
    <w:rPr>
      <w:b/>
      <w:sz w:val="24"/>
    </w:rPr>
  </w:style>
  <w:style w:type="paragraph" w:styleId="Heading6">
    <w:name w:val="heading 6"/>
    <w:basedOn w:val="Normal"/>
    <w:next w:val="Normal"/>
    <w:qFormat/>
    <w:pPr>
      <w:keepNext w:val="true"/>
      <w:numPr>
        <w:ilvl w:val="5"/>
        <w:numId w:val="1"/>
      </w:numPr>
      <w:outlineLvl w:val="5"/>
    </w:pPr>
    <w:rPr>
      <w:rFonts w:ascii="Arial" w:hAnsi="Arial" w:cs="Arial"/>
      <w:color w:val="FF0000"/>
      <w:sz w:val="52"/>
    </w:rPr>
  </w:style>
  <w:style w:type="paragraph" w:styleId="Heading7">
    <w:name w:val="heading 7"/>
    <w:basedOn w:val="Normal"/>
    <w:next w:val="Normal"/>
    <w:qFormat/>
    <w:pPr>
      <w:keepNext w:val="true"/>
      <w:numPr>
        <w:ilvl w:val="6"/>
        <w:numId w:val="1"/>
      </w:numPr>
      <w:outlineLvl w:val="6"/>
    </w:pPr>
    <w:rPr>
      <w:rFonts w:ascii="Arial" w:hAnsi="Arial" w:cs="Arial"/>
      <w:b/>
      <w:color w:val="FF0000"/>
      <w:sz w:val="44"/>
    </w:rPr>
  </w:style>
  <w:style w:type="paragraph" w:styleId="Heading8">
    <w:name w:val="heading 8"/>
    <w:basedOn w:val="Normal"/>
    <w:next w:val="Normal"/>
    <w:qFormat/>
    <w:pPr>
      <w:keepNext w:val="true"/>
      <w:numPr>
        <w:ilvl w:val="7"/>
        <w:numId w:val="1"/>
      </w:numPr>
      <w:outlineLvl w:val="7"/>
    </w:pPr>
    <w:rPr>
      <w:b/>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i/>
      <w:color w:val="FF0000"/>
      <w:sz w:val="52"/>
    </w:rPr>
  </w:style>
  <w:style w:type="paragraph" w:styleId="BodyText">
    <w:name w:val="Body Text"/>
    <w:basedOn w:val="Normal"/>
    <w:pPr>
      <w:jc w:val="center"/>
    </w:pPr>
    <w:rPr>
      <w:rFonts w:ascii="Arial" w:hAnsi="Arial" w:cs="Arial"/>
      <w:b/>
      <w:color w:val="FF0000"/>
      <w:sz w:val="48"/>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AgendaRevision">
    <w:name w:val="Agenda Revision"/>
    <w:basedOn w:val="Normal"/>
    <w:qFormat/>
    <w:pPr/>
    <w:rPr>
      <w:sz w:val="24"/>
      <w:u w:val="single"/>
    </w:rPr>
  </w:style>
  <w:style w:type="paragraph" w:styleId="HTMLBreak">
    <w:name w:val="HTML Break"/>
    <w:basedOn w:val="Normal"/>
    <w:qFormat/>
    <w:pPr>
      <w:jc w:val="center"/>
    </w:pPr>
    <w:rPr>
      <w:b/>
      <w:sz w:val="28"/>
    </w:rPr>
  </w:style>
  <w:style w:type="paragraph" w:styleId="Result">
    <w:name w:val="Result"/>
    <w:basedOn w:val="Normal"/>
    <w:qFormat/>
    <w:pPr/>
    <w:rPr>
      <w:b/>
      <w:color w:val="0000FF"/>
      <w:sz w:val="24"/>
    </w:rPr>
  </w:style>
  <w:style w:type="paragraph" w:styleId="BodyText2">
    <w:name w:val="Body Text 2"/>
    <w:basedOn w:val="Normal"/>
    <w:qFormat/>
    <w:pPr>
      <w:ind w:hanging="0" w:start="0" w:end="-36"/>
    </w:pPr>
    <w:rPr>
      <w:b/>
      <w:i/>
      <w:sz w:val="24"/>
    </w:rPr>
  </w:style>
  <w:style w:type="paragraph" w:styleId="ListContinue">
    <w:name w:val="List Continue"/>
    <w:basedOn w:val="Normal"/>
    <w:qFormat/>
    <w:pPr>
      <w:spacing w:before="0" w:after="120"/>
      <w:ind w:hanging="0" w:start="360" w:end="0"/>
    </w:pPr>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2000-08-31T20:01:00Z</dcterms:created>
  <dc:creator>DSL</dc:creator>
  <dc:description/>
  <dc:language>en-CA</dc:language>
  <cp:lastModifiedBy>Bruno Gaillard</cp:lastModifiedBy>
  <cp:lastPrinted>2000-08-28T12:23:00Z</cp:lastPrinted>
  <dcterms:modified xsi:type="dcterms:W3CDTF">2000-08-31T20:19:00Z</dcterms:modified>
  <cp:revision>3</cp:revision>
  <dc:subject/>
  <dc:title>AGENDA FORMAT - PROCESS</dc:title>
</cp:coreProperties>
</file>