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Date"/>
        <w:rPr/>
      </w:pPr>
      <w:r>
        <w:rPr/>
        <w:t>July 31, 2001</w:t>
      </w:r>
    </w:p>
    <w:tbl>
      <w:tblPr>
        <w:tblW w:w="8640" w:type="dxa"/>
        <w:jc w:val="start"/>
        <w:tblInd w:w="0" w:type="dxa"/>
        <w:tblLayout w:type="fixed"/>
        <w:tblCellMar>
          <w:top w:w="0" w:type="dxa"/>
          <w:start w:w="0" w:type="dxa"/>
          <w:bottom w:w="0" w:type="dxa"/>
          <w:end w:w="0" w:type="dxa"/>
        </w:tblCellMar>
      </w:tblPr>
      <w:tblGrid>
        <w:gridCol w:w="2290"/>
        <w:gridCol w:w="187"/>
        <w:gridCol w:w="6163"/>
      </w:tblGrid>
      <w:tr>
        <w:trPr>
          <w:trHeight w:val="403" w:hRule="atLeast"/>
        </w:trPr>
        <w:tc>
          <w:tcPr>
            <w:tcW w:w="2290" w:type="dxa"/>
            <w:tcBorders/>
          </w:tcPr>
          <w:p>
            <w:pPr>
              <w:pStyle w:val="LeftColumn"/>
              <w:rPr/>
            </w:pPr>
            <w:r>
              <w:rPr/>
              <w:t>MEMORANDUM TO:</w:t>
            </w:r>
          </w:p>
        </w:tc>
        <w:tc>
          <w:tcPr>
            <w:tcW w:w="187" w:type="dxa"/>
            <w:tcBorders/>
          </w:tcPr>
          <w:p>
            <w:pPr>
              <w:pStyle w:val="Normal"/>
              <w:snapToGrid w:val="false"/>
              <w:rPr/>
            </w:pPr>
            <w:r>
              <w:rPr/>
            </w:r>
          </w:p>
        </w:tc>
        <w:tc>
          <w:tcPr>
            <w:tcW w:w="6163" w:type="dxa"/>
            <w:tcBorders/>
          </w:tcPr>
          <w:p>
            <w:pPr>
              <w:pStyle w:val="To"/>
              <w:spacing w:before="0" w:after="240"/>
              <w:rPr/>
            </w:pPr>
            <w:r>
              <w:rPr/>
              <w:t xml:space="preserve">Mr. Raisler </w:t>
            </w:r>
          </w:p>
        </w:tc>
      </w:tr>
      <w:tr>
        <w:trPr>
          <w:trHeight w:val="403" w:hRule="atLeast"/>
        </w:trPr>
        <w:tc>
          <w:tcPr>
            <w:tcW w:w="2290" w:type="dxa"/>
            <w:tcBorders/>
          </w:tcPr>
          <w:p>
            <w:pPr>
              <w:pStyle w:val="LeftColumn"/>
              <w:rPr/>
            </w:pPr>
            <w:r>
              <w:rPr/>
              <w:t>FROM:</w:t>
            </w:r>
          </w:p>
        </w:tc>
        <w:tc>
          <w:tcPr>
            <w:tcW w:w="187" w:type="dxa"/>
            <w:tcBorders/>
          </w:tcPr>
          <w:p>
            <w:pPr>
              <w:pStyle w:val="Normal"/>
              <w:snapToGrid w:val="false"/>
              <w:rPr/>
            </w:pPr>
            <w:r>
              <w:rPr/>
            </w:r>
          </w:p>
        </w:tc>
        <w:tc>
          <w:tcPr>
            <w:tcW w:w="6163" w:type="dxa"/>
            <w:tcBorders/>
          </w:tcPr>
          <w:p>
            <w:pPr>
              <w:pStyle w:val="From"/>
              <w:rPr/>
            </w:pPr>
            <w:r>
              <w:rPr/>
              <w:t>Mr. Bial</w:t>
            </w:r>
          </w:p>
        </w:tc>
      </w:tr>
      <w:tr>
        <w:trPr>
          <w:trHeight w:val="240" w:hRule="atLeast"/>
        </w:trPr>
        <w:tc>
          <w:tcPr>
            <w:tcW w:w="2290" w:type="dxa"/>
            <w:tcBorders/>
          </w:tcPr>
          <w:p>
            <w:pPr>
              <w:pStyle w:val="LeftColumn"/>
              <w:rPr/>
            </w:pPr>
            <w:r>
              <w:rPr/>
              <w:t>RE:</w:t>
            </w:r>
          </w:p>
        </w:tc>
        <w:tc>
          <w:tcPr>
            <w:tcW w:w="187" w:type="dxa"/>
            <w:tcBorders/>
          </w:tcPr>
          <w:p>
            <w:pPr>
              <w:pStyle w:val="Normal"/>
              <w:snapToGrid w:val="false"/>
              <w:rPr>
                <w:u w:val="single"/>
              </w:rPr>
            </w:pPr>
            <w:r>
              <w:rPr>
                <w:u w:val="single"/>
              </w:rPr>
            </w:r>
          </w:p>
        </w:tc>
        <w:tc>
          <w:tcPr>
            <w:tcW w:w="6163" w:type="dxa"/>
            <w:tcBorders/>
          </w:tcPr>
          <w:p>
            <w:pPr>
              <w:pStyle w:val="Subject"/>
              <w:rPr>
                <w:u w:val="single"/>
              </w:rPr>
            </w:pPr>
            <w:r>
              <w:rPr>
                <w:u w:val="single"/>
              </w:rPr>
              <w:t>Retail Swaps: Existing "Commercial" Definitions</w:t>
            </w:r>
          </w:p>
        </w:tc>
      </w:tr>
    </w:tbl>
    <w:p>
      <w:pPr>
        <w:pStyle w:val="Normal"/>
        <w:rPr/>
      </w:pPr>
      <w:r>
        <w:rPr/>
      </w:r>
    </w:p>
    <w:p>
      <w:pPr>
        <w:pStyle w:val="BodyText"/>
        <w:jc w:val="both"/>
        <w:rPr/>
      </w:pPr>
      <w:r>
        <w:rPr/>
        <w:t>In considering the categories of activities that we may suggest to the regulators are required in order to be eligible to conduct retail swaps, it is useful to examine the various definitions of “commercial” that the Commodity Futures Trading Commission (“CFTC”) has employed in the past.  The three most prevalent definition are considered below.</w:t>
      </w:r>
    </w:p>
    <w:p>
      <w:pPr>
        <w:pStyle w:val="BodyText"/>
        <w:ind w:hanging="0" w:end="0"/>
        <w:rPr/>
      </w:pPr>
      <w:r>
        <w:rPr>
          <w:u w:val="single"/>
        </w:rPr>
        <w:t>Trade Option Exemption: “Commercial Users”</w:t>
      </w:r>
      <w:r>
        <w:rPr>
          <w:rStyle w:val="FootnoteCharacters"/>
          <w:rStyle w:val="FootnoteReference"/>
          <w:u w:val="single"/>
        </w:rPr>
        <w:footnoteReference w:id="2"/>
      </w:r>
    </w:p>
    <w:p>
      <w:pPr>
        <w:pStyle w:val="BodyText"/>
        <w:ind w:hanging="0" w:end="0"/>
        <w:jc w:val="both"/>
        <w:rPr/>
      </w:pPr>
      <w:r>
        <w:rPr/>
        <w:tab/>
        <w:t>In order for the “trade option exemption” (which has been in effect since the 1970s) to apply, a person offering a commodity option must:</w:t>
      </w:r>
    </w:p>
    <w:p>
      <w:pPr>
        <w:pStyle w:val="BodyText"/>
        <w:numPr>
          <w:ilvl w:val="0"/>
          <w:numId w:val="12"/>
        </w:numPr>
        <w:spacing w:lineRule="auto" w:line="240"/>
        <w:jc w:val="both"/>
        <w:rPr/>
      </w:pPr>
      <w:r>
        <w:rPr/>
        <w:t>Have a reasonable basis to believe that the option is offered to a producer, processor, or commercial user of, or a merchant handling, the commodity which is the subject of the option transaction or the products or by-products of the transaction</w:t>
      </w:r>
    </w:p>
    <w:p>
      <w:pPr>
        <w:pStyle w:val="BodyText"/>
        <w:spacing w:lineRule="auto" w:line="240"/>
        <w:rPr/>
      </w:pPr>
      <w:r>
        <w:rPr/>
      </w:r>
    </w:p>
    <w:p>
      <w:pPr>
        <w:pStyle w:val="BodyText"/>
        <w:numPr>
          <w:ilvl w:val="0"/>
          <w:numId w:val="12"/>
        </w:numPr>
        <w:spacing w:lineRule="auto" w:line="240"/>
        <w:jc w:val="both"/>
        <w:rPr/>
      </w:pPr>
      <w:r>
        <w:rPr/>
        <w:t>Such producer, processor, commercial user, or merchant is offered or enters into the commodity option transaction solely for purposes related to its business</w:t>
      </w:r>
    </w:p>
    <w:p>
      <w:pPr>
        <w:pStyle w:val="BodyText"/>
        <w:spacing w:lineRule="auto" w:line="240"/>
        <w:rPr/>
      </w:pPr>
      <w:r>
        <w:rPr/>
      </w:r>
    </w:p>
    <w:p>
      <w:pPr>
        <w:pStyle w:val="BodyText"/>
        <w:ind w:hanging="0" w:end="0"/>
        <w:jc w:val="both"/>
        <w:rPr/>
      </w:pPr>
      <w:r>
        <w:rPr/>
        <w:tab/>
        <w:t>It is the character (i.e., commercial or non-commercial) of the offeree of an option that determines the availability of the trade option exemption, rather than the status as purchaser or seller of the option.</w:t>
      </w:r>
      <w:r>
        <w:rPr>
          <w:rStyle w:val="FootnoteCharacters"/>
          <w:rStyle w:val="FootnoteReference"/>
        </w:rPr>
        <w:footnoteReference w:id="3"/>
      </w:r>
    </w:p>
    <w:p>
      <w:pPr>
        <w:pStyle w:val="BodyText"/>
        <w:ind w:hanging="0" w:end="0"/>
        <w:rPr/>
      </w:pPr>
      <w:r>
        <w:rPr>
          <w:u w:val="single"/>
        </w:rPr>
        <w:t>Energy Exemption: “Commercial Participants”</w:t>
      </w:r>
      <w:r>
        <w:rPr>
          <w:rStyle w:val="FootnoteCharacters"/>
          <w:rStyle w:val="FootnoteReference"/>
          <w:u w:val="single"/>
        </w:rPr>
        <w:footnoteReference w:id="4"/>
      </w:r>
    </w:p>
    <w:p>
      <w:pPr>
        <w:pStyle w:val="BodyText"/>
        <w:ind w:hanging="0" w:end="0"/>
        <w:jc w:val="both"/>
        <w:rPr/>
      </w:pPr>
      <w:r>
        <w:rPr/>
        <w:tab/>
        <w:t>In order to qualify for the “energy exemption”, which was adopted by the CFTC in 1993, an entity must be a “commercial participant,” which, in connection with its business activities:</w:t>
      </w:r>
    </w:p>
    <w:p>
      <w:pPr>
        <w:pStyle w:val="BodyText"/>
        <w:numPr>
          <w:ilvl w:val="0"/>
          <w:numId w:val="14"/>
        </w:numPr>
        <w:spacing w:lineRule="auto" w:line="240"/>
        <w:jc w:val="both"/>
        <w:rPr/>
      </w:pPr>
      <w:r>
        <w:rPr/>
        <w:t>Incurs risks, in addition to price risk, related to the underlying physical commodity</w:t>
      </w:r>
    </w:p>
    <w:p>
      <w:pPr>
        <w:pStyle w:val="BodyText"/>
        <w:numPr>
          <w:ilvl w:val="0"/>
          <w:numId w:val="14"/>
        </w:numPr>
        <w:spacing w:lineRule="auto" w:line="240"/>
        <w:jc w:val="both"/>
        <w:rPr/>
      </w:pPr>
      <w:r>
        <w:rPr/>
        <w:t>Has a demonstrable ability, directly or by contract, to make or take delivery under the terms of the transaction</w:t>
      </w:r>
    </w:p>
    <w:p>
      <w:pPr>
        <w:pStyle w:val="BodyText"/>
        <w:numPr>
          <w:ilvl w:val="0"/>
          <w:numId w:val="14"/>
        </w:numPr>
        <w:spacing w:lineRule="auto" w:line="240"/>
        <w:jc w:val="both"/>
        <w:rPr/>
      </w:pPr>
      <w:r>
        <w:rPr/>
        <w:t>Is not prohibited by law or regulation from entering into such transactions</w:t>
      </w:r>
    </w:p>
    <w:p>
      <w:pPr>
        <w:pStyle w:val="BodyText"/>
        <w:numPr>
          <w:ilvl w:val="0"/>
          <w:numId w:val="14"/>
        </w:numPr>
        <w:spacing w:lineRule="auto" w:line="240"/>
        <w:jc w:val="both"/>
        <w:rPr/>
      </w:pPr>
      <w:r>
        <w:rPr/>
        <w:t>Is not formed solely for the specific purpose of constituting an eligible entity to enter into the exempt transaction</w:t>
      </w:r>
    </w:p>
    <w:p>
      <w:pPr>
        <w:pStyle w:val="BodyText"/>
        <w:spacing w:lineRule="auto" w:line="240"/>
        <w:rPr/>
      </w:pPr>
      <w:r>
        <w:rPr/>
      </w:r>
    </w:p>
    <w:p>
      <w:pPr>
        <w:pStyle w:val="BodyText"/>
        <w:ind w:hanging="0" w:end="0"/>
        <w:rPr/>
      </w:pPr>
      <w:r>
        <w:rPr/>
        <w:t>An eligible entity must also qualify as one of the following:</w:t>
      </w:r>
    </w:p>
    <w:p>
      <w:pPr>
        <w:pStyle w:val="BodyText"/>
        <w:numPr>
          <w:ilvl w:val="0"/>
          <w:numId w:val="16"/>
        </w:numPr>
        <w:spacing w:lineRule="auto" w:line="240"/>
        <w:rPr/>
      </w:pPr>
      <w:r>
        <w:rPr/>
        <w:t>A bank or trust company</w:t>
      </w:r>
    </w:p>
    <w:p>
      <w:pPr>
        <w:pStyle w:val="BodyText"/>
        <w:numPr>
          <w:ilvl w:val="0"/>
          <w:numId w:val="16"/>
        </w:numPr>
        <w:spacing w:lineRule="auto" w:line="240"/>
        <w:jc w:val="both"/>
        <w:rPr/>
      </w:pPr>
      <w:r>
        <w:rPr/>
        <w:t>A corporation, partnership, proprietorship, organization, trust, or other business entity meeting financial threshold tests</w:t>
      </w:r>
      <w:r>
        <w:rPr>
          <w:rStyle w:val="FootnoteCharacters"/>
          <w:rStyle w:val="FootnoteReference"/>
        </w:rPr>
        <w:footnoteReference w:id="5"/>
      </w:r>
    </w:p>
    <w:p>
      <w:pPr>
        <w:pStyle w:val="BodyText"/>
        <w:numPr>
          <w:ilvl w:val="0"/>
          <w:numId w:val="16"/>
        </w:numPr>
        <w:spacing w:lineRule="auto" w:line="240"/>
        <w:rPr/>
      </w:pPr>
      <w:r>
        <w:rPr/>
        <w:t>An SEC-regulated broker-dealer</w:t>
      </w:r>
    </w:p>
    <w:p>
      <w:pPr>
        <w:pStyle w:val="BodyText"/>
        <w:numPr>
          <w:ilvl w:val="0"/>
          <w:numId w:val="16"/>
        </w:numPr>
        <w:spacing w:lineRule="auto" w:line="240"/>
        <w:rPr/>
      </w:pPr>
      <w:r>
        <w:rPr/>
        <w:t>A CFTC-regulated FCM</w:t>
      </w:r>
    </w:p>
    <w:p>
      <w:pPr>
        <w:pStyle w:val="BodyText"/>
        <w:spacing w:lineRule="auto" w:line="240"/>
        <w:rPr/>
      </w:pPr>
      <w:r>
        <w:rPr/>
      </w:r>
    </w:p>
    <w:p>
      <w:pPr>
        <w:pStyle w:val="BodyText"/>
        <w:ind w:hanging="0" w:end="0"/>
        <w:jc w:val="both"/>
        <w:rPr/>
      </w:pPr>
      <w:r>
        <w:rPr/>
        <w:tab/>
        <w:t>The CFTC proposed the energy exemption order in response to an application for exemptive relief by a group of entities that included producers, processors and merchandisers of crude oil or natural gas.</w:t>
      </w:r>
    </w:p>
    <w:p>
      <w:pPr>
        <w:pStyle w:val="BodyText"/>
        <w:ind w:hanging="0" w:end="0"/>
        <w:rPr>
          <w:u w:val="single"/>
        </w:rPr>
      </w:pPr>
      <w:r>
        <w:rPr>
          <w:u w:val="single"/>
        </w:rPr>
        <w:t>Commodity Futures Modernization Act: “Eligible Commercial Entity”</w:t>
      </w:r>
    </w:p>
    <w:p>
      <w:pPr>
        <w:pStyle w:val="BodyText"/>
        <w:ind w:hanging="0" w:end="0"/>
        <w:jc w:val="both"/>
        <w:rPr/>
      </w:pPr>
      <w:r>
        <w:rPr/>
        <w:tab/>
        <w:t>In order to qualify as an “eligible commercial entity”, under the CFMA enacted in late 2000, an entity must first fall within one of the following definitions of an “eligible contract participant”:</w:t>
      </w:r>
    </w:p>
    <w:p>
      <w:pPr>
        <w:pStyle w:val="BodyText"/>
        <w:numPr>
          <w:ilvl w:val="0"/>
          <w:numId w:val="13"/>
        </w:numPr>
        <w:spacing w:lineRule="auto" w:line="240"/>
        <w:rPr/>
      </w:pPr>
      <w:r>
        <w:rPr/>
        <w:t>Financial institution</w:t>
      </w:r>
    </w:p>
    <w:p>
      <w:pPr>
        <w:pStyle w:val="BodyText"/>
        <w:numPr>
          <w:ilvl w:val="0"/>
          <w:numId w:val="13"/>
        </w:numPr>
        <w:spacing w:lineRule="auto" w:line="240"/>
        <w:rPr/>
      </w:pPr>
      <w:r>
        <w:rPr/>
        <w:t>Insurance company</w:t>
      </w:r>
    </w:p>
    <w:p>
      <w:pPr>
        <w:pStyle w:val="BodyText"/>
        <w:spacing w:lineRule="auto" w:line="240"/>
        <w:rPr/>
      </w:pPr>
      <w:r>
        <w:rPr/>
      </w:r>
    </w:p>
    <w:p>
      <w:pPr>
        <w:pStyle w:val="BodyText"/>
        <w:spacing w:lineRule="auto" w:line="240"/>
        <w:rPr/>
      </w:pPr>
      <w:r>
        <w:rPr/>
      </w:r>
    </w:p>
    <w:p>
      <w:pPr>
        <w:pStyle w:val="BodyText"/>
        <w:numPr>
          <w:ilvl w:val="0"/>
          <w:numId w:val="13"/>
        </w:numPr>
        <w:spacing w:lineRule="auto" w:line="240"/>
        <w:jc w:val="both"/>
        <w:rPr/>
      </w:pPr>
      <w:r>
        <w:rPr/>
        <w:t>Corporation, partnership, proprietorship, organization, trust, or other entity with total assets exceeding $10,000,000 or which has a net worth exceeding $1,000,000 and enters the agreement or transaction for risk management purposes</w:t>
      </w:r>
    </w:p>
    <w:p>
      <w:pPr>
        <w:pStyle w:val="BodyText"/>
        <w:numPr>
          <w:ilvl w:val="0"/>
          <w:numId w:val="13"/>
        </w:numPr>
        <w:spacing w:lineRule="auto" w:line="240"/>
        <w:rPr/>
      </w:pPr>
      <w:r>
        <w:rPr/>
        <w:t>Governmental entity</w:t>
      </w:r>
    </w:p>
    <w:p>
      <w:pPr>
        <w:pStyle w:val="BodyText"/>
        <w:numPr>
          <w:ilvl w:val="0"/>
          <w:numId w:val="13"/>
        </w:numPr>
        <w:spacing w:lineRule="auto" w:line="240"/>
        <w:rPr/>
      </w:pPr>
      <w:r>
        <w:rPr/>
        <w:t xml:space="preserve">SEC-regulated broker-dealer </w:t>
      </w:r>
    </w:p>
    <w:p>
      <w:pPr>
        <w:pStyle w:val="BodyText"/>
        <w:numPr>
          <w:ilvl w:val="0"/>
          <w:numId w:val="13"/>
        </w:numPr>
        <w:spacing w:lineRule="auto" w:line="240"/>
        <w:rPr/>
      </w:pPr>
      <w:r>
        <w:rPr/>
        <w:t>CFTC-regulated FCM</w:t>
      </w:r>
    </w:p>
    <w:p>
      <w:pPr>
        <w:pStyle w:val="BodyText"/>
        <w:spacing w:lineRule="auto" w:line="240"/>
        <w:rPr/>
      </w:pPr>
      <w:r>
        <w:rPr/>
      </w:r>
    </w:p>
    <w:p>
      <w:pPr>
        <w:pStyle w:val="BodyText"/>
        <w:ind w:hanging="0" w:end="0"/>
        <w:jc w:val="both"/>
        <w:rPr/>
      </w:pPr>
      <w:r>
        <w:rPr/>
        <w:tab/>
        <w:t>In addition to being one of the eligible contract participants listed above, the entity must also, in connection with its business:</w:t>
      </w:r>
      <w:r>
        <w:rPr>
          <w:rStyle w:val="FootnoteCharacters"/>
          <w:rStyle w:val="FootnoteReference"/>
        </w:rPr>
        <w:footnoteReference w:id="6"/>
      </w:r>
    </w:p>
    <w:p>
      <w:pPr>
        <w:pStyle w:val="BodyText"/>
        <w:numPr>
          <w:ilvl w:val="0"/>
          <w:numId w:val="15"/>
        </w:numPr>
        <w:spacing w:lineRule="auto" w:line="240"/>
        <w:rPr/>
      </w:pPr>
      <w:r>
        <w:rPr/>
        <w:t>Be able to make or take delivery of the underlying commodity;</w:t>
      </w:r>
    </w:p>
    <w:p>
      <w:pPr>
        <w:pStyle w:val="BodyText"/>
        <w:numPr>
          <w:ilvl w:val="0"/>
          <w:numId w:val="15"/>
        </w:numPr>
        <w:spacing w:lineRule="auto" w:line="240"/>
        <w:rPr/>
      </w:pPr>
      <w:r>
        <w:rPr/>
        <w:t>Incur risks related to the commodity; or</w:t>
      </w:r>
    </w:p>
    <w:p>
      <w:pPr>
        <w:pStyle w:val="BodyText"/>
        <w:numPr>
          <w:ilvl w:val="0"/>
          <w:numId w:val="15"/>
        </w:numPr>
        <w:spacing w:lineRule="auto" w:line="240"/>
        <w:jc w:val="both"/>
        <w:rPr/>
      </w:pPr>
      <w:r>
        <w:rPr/>
        <w:t>Is a dealer providing risk management services to the entities listed above</w:t>
      </w:r>
    </w:p>
    <w:p>
      <w:pPr>
        <w:pStyle w:val="BodyText"/>
        <w:spacing w:lineRule="auto" w:line="240"/>
        <w:ind w:hanging="0" w:end="0"/>
        <w:rPr/>
      </w:pPr>
      <w:r>
        <w:rPr/>
      </w:r>
    </w:p>
    <w:p>
      <w:pPr>
        <w:pStyle w:val="BodyText"/>
        <w:spacing w:lineRule="auto" w:line="240"/>
        <w:ind w:hanging="0" w:end="0"/>
        <w:rPr/>
      </w:pPr>
      <w:r>
        <w:rPr/>
      </w:r>
    </w:p>
    <w:p>
      <w:pPr>
        <w:pStyle w:val="Initials"/>
        <w:rPr/>
      </w:pPr>
      <w:r>
        <w:rPr/>
        <w:t>J.J.B.</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915" w:footer="965" w:bottom="102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mdITC Bk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09.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p>
    <w:pPr>
      <w:pStyle w:val="SCDocID"/>
      <w:rPr/>
    </w:pPr>
    <w:r>
      <w:rPr/>
      <w:softHyphen/>
      <w:t>NY12534:78049.2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SCDocID"/>
      <w:rPr/>
    </w:pPr>
    <w:r>
      <w:rPr/>
      <w:softHyphen/>
      <w:t>NY12534:78049.2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0"/>
        </w:rPr>
        <w:t xml:space="preserve"> </w:t>
      </w:r>
      <w:r>
        <w:rPr>
          <w:sz w:val="20"/>
        </w:rPr>
        <w:tab/>
        <w:t>Part 32: Regulation of Commodity Option Transactions, 17 CFR 32.4.</w:t>
      </w:r>
    </w:p>
  </w:footnote>
  <w:footnote w:id="3">
    <w:p>
      <w:pPr>
        <w:pStyle w:val="FootnoteText"/>
        <w:rPr/>
      </w:pPr>
      <w:r>
        <w:rPr>
          <w:rStyle w:val="FootnoteCharacters"/>
        </w:rPr>
        <w:footnoteRef/>
      </w:r>
      <w:r>
        <w:rPr>
          <w:sz w:val="20"/>
        </w:rPr>
        <w:t xml:space="preserve"> </w:t>
      </w:r>
      <w:r>
        <w:rPr>
          <w:sz w:val="20"/>
        </w:rPr>
        <w:tab/>
        <w:t>“Swaps Exemption,” 58 Fed. Reg. 5587 (Jan. 22, 1993).</w:t>
      </w:r>
    </w:p>
  </w:footnote>
  <w:footnote w:id="4">
    <w:p>
      <w:pPr>
        <w:pStyle w:val="FootnoteText"/>
        <w:jc w:val="both"/>
        <w:rPr/>
      </w:pPr>
      <w:r>
        <w:rPr>
          <w:rStyle w:val="FootnoteCharacters"/>
        </w:rPr>
        <w:footnoteRef/>
      </w:r>
      <w:r>
        <w:rPr>
          <w:sz w:val="20"/>
        </w:rPr>
        <w:t xml:space="preserve"> </w:t>
      </w:r>
      <w:r>
        <w:rPr>
          <w:sz w:val="20"/>
        </w:rPr>
        <w:tab/>
        <w:t>“Exemption for Certain Contracts Involving Energy Products,” [1992-1994 Transfer Binder] Comm. Fut. L. Rep. (CCH) ¶25,633 (April 20, 1993).</w:t>
      </w:r>
    </w:p>
  </w:footnote>
  <w:footnote w:id="5">
    <w:p>
      <w:pPr>
        <w:pStyle w:val="FootnoteText"/>
        <w:rPr/>
      </w:pPr>
      <w:r>
        <w:rPr>
          <w:rStyle w:val="FootnoteCharacters"/>
        </w:rPr>
        <w:footnoteRef/>
      </w:r>
      <w:r>
        <w:rPr>
          <w:sz w:val="20"/>
        </w:rPr>
        <w:t xml:space="preserve"> </w:t>
      </w:r>
      <w:r>
        <w:rPr>
          <w:sz w:val="20"/>
        </w:rPr>
        <w:tab/>
        <w:t xml:space="preserve">$5,000,000 in total assets or $1,000,000 net worth. </w:t>
      </w:r>
      <w:r>
        <w:rPr>
          <w:i/>
          <w:iCs/>
          <w:sz w:val="20"/>
        </w:rPr>
        <w:t>Id.</w:t>
      </w:r>
      <w:r>
        <w:rPr>
          <w:sz w:val="20"/>
        </w:rPr>
        <w:t xml:space="preserve"> at 40,025.</w:t>
      </w:r>
    </w:p>
  </w:footnote>
  <w:footnote w:id="6">
    <w:p>
      <w:pPr>
        <w:pStyle w:val="FootnoteText"/>
        <w:jc w:val="both"/>
        <w:rPr/>
      </w:pPr>
      <w:r>
        <w:rPr>
          <w:rStyle w:val="FootnoteCharacters"/>
        </w:rPr>
        <w:footnoteRef/>
      </w:r>
      <w:r>
        <w:rPr>
          <w:sz w:val="20"/>
        </w:rPr>
        <w:t xml:space="preserve"> </w:t>
      </w:r>
      <w:r>
        <w:rPr>
          <w:sz w:val="20"/>
        </w:rPr>
        <w:tab/>
        <w:t xml:space="preserve">An eligible contract participant could also be an eligible commercial entity for trading derivatives on a particular commodity if it meets certain capital requirements ($1 billion in total assets if a collective investment vehicle or for other persons in a group under common control or management having in the aggregate $100 million in total assets ).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rPr/>
    </w:pPr>
    <w:r>
      <w:rPr/>
      <w:t>S&amp;C Draft of July 31, 2001</w:t>
      <w:br/>
      <w:b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160"/>
        </w:tabs>
        <w:ind w:start="2160" w:hanging="360"/>
      </w:pPr>
      <w:rPr>
        <w:rFonts w:ascii="Symbol" w:hAnsi="Symbol" w:cs="Symbol" w:hint="default"/>
      </w:rPr>
    </w:lvl>
  </w:abstractNum>
  <w:abstractNum w:abstractNumId="13">
    <w:lvl w:ilvl="0">
      <w:start w:val="1"/>
      <w:numFmt w:val="bullet"/>
      <w:lvlText w:val=""/>
      <w:lvlJc w:val="start"/>
      <w:pPr>
        <w:tabs>
          <w:tab w:val="num" w:pos="2160"/>
        </w:tabs>
        <w:ind w:start="2160" w:hanging="360"/>
      </w:pPr>
      <w:rPr>
        <w:rFonts w:ascii="Symbol" w:hAnsi="Symbol" w:cs="Symbol" w:hint="default"/>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abstractNum w:abstractNumId="15">
    <w:lvl w:ilvl="0">
      <w:start w:val="1"/>
      <w:numFmt w:val="bullet"/>
      <w:lvlText w:val=""/>
      <w:lvlJc w:val="start"/>
      <w:pPr>
        <w:tabs>
          <w:tab w:val="num" w:pos="2160"/>
        </w:tabs>
        <w:ind w:start="2160" w:hanging="360"/>
      </w:pPr>
      <w:rPr>
        <w:rFonts w:ascii="Symbol" w:hAnsi="Symbol" w:cs="Symbol" w:hint="default"/>
      </w:rPr>
    </w:lvl>
  </w:abstractNum>
  <w:abstractNum w:abstractNumId="16">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SCTitle">
    <w:name w:val="S&amp;C Title"/>
    <w:basedOn w:val="Normal"/>
    <w:qFormat/>
    <w:pPr>
      <w:spacing w:before="0" w:after="360"/>
      <w:ind w:hanging="0" w:start="-963" w:end="0"/>
    </w:pPr>
    <w:rPr>
      <w:rFonts w:ascii="GarmdITC Bk BT" w:hAnsi="GarmdITC Bk BT" w:cs="GarmdITC Bk BT"/>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Date">
    <w:name w:val="Date"/>
    <w:basedOn w:val="Normal"/>
    <w:next w:val="Normal"/>
    <w:qFormat/>
    <w:pPr>
      <w:spacing w:before="240" w:after="480"/>
      <w:ind w:hanging="0" w:start="5760" w:end="0"/>
    </w:pPr>
    <w:rPr/>
  </w:style>
  <w:style w:type="paragraph" w:styleId="To">
    <w:name w:val="To"/>
    <w:basedOn w:val="Normal"/>
    <w:qFormat/>
    <w:pPr>
      <w:spacing w:before="0" w:after="240"/>
    </w:pPr>
    <w:rPr/>
  </w:style>
  <w:style w:type="paragraph" w:styleId="Company">
    <w:name w:val="Company"/>
    <w:basedOn w:val="Normal"/>
    <w:qFormat/>
    <w:pPr>
      <w:spacing w:before="0" w:after="240"/>
    </w:pPr>
    <w:rPr/>
  </w:style>
  <w:style w:type="paragraph" w:styleId="From">
    <w:name w:val="From"/>
    <w:basedOn w:val="Normal"/>
    <w:qFormat/>
    <w:pPr/>
    <w:rPr/>
  </w:style>
  <w:style w:type="paragraph" w:styleId="Subject">
    <w:name w:val="Subject"/>
    <w:basedOn w:val="Normal"/>
    <w:qFormat/>
    <w:pPr/>
    <w:rPr/>
  </w:style>
  <w:style w:type="paragraph" w:styleId="Initials">
    <w:name w:val="Initials"/>
    <w:basedOn w:val="Normal"/>
    <w:qFormat/>
    <w:pPr>
      <w:spacing w:before="0" w:after="240"/>
      <w:ind w:hanging="0" w:start="5760" w:end="0"/>
    </w:pPr>
    <w:rPr/>
  </w:style>
  <w:style w:type="paragraph" w:styleId="cc">
    <w:name w:val="cc"/>
    <w:basedOn w:val="Normal"/>
    <w:qFormat/>
    <w:pPr>
      <w:spacing w:before="0" w:after="240"/>
      <w:ind w:hanging="720" w:start="720" w:end="0"/>
    </w:pPr>
    <w:rPr/>
  </w:style>
  <w:style w:type="paragraph" w:styleId="bcc">
    <w:name w:val="bcc"/>
    <w:basedOn w:val="Normal"/>
    <w:qFormat/>
    <w:pPr>
      <w:spacing w:before="0" w:after="240"/>
      <w:ind w:hanging="720" w:start="720" w:end="0"/>
    </w:pPr>
    <w:rPr/>
  </w:style>
  <w:style w:type="paragraph" w:styleId="LeftColumn">
    <w:name w:val="LeftColumn"/>
    <w:basedOn w:val="Normal"/>
    <w:qFormat/>
    <w:pPr>
      <w:jc w:val="end"/>
    </w:pPr>
    <w:rPr/>
  </w:style>
  <w:style w:type="paragraph" w:styleId="Attachments">
    <w:name w:val="Attachments"/>
    <w:basedOn w:val="Normal"/>
    <w:qFormat/>
    <w:pPr/>
    <w:rPr/>
  </w:style>
  <w:style w:type="paragraph" w:styleId="DeliveryMethod">
    <w:name w:val="DeliveryMethod"/>
    <w:basedOn w:val="Normal"/>
    <w:qFormat/>
    <w:pPr>
      <w:spacing w:before="0" w:after="240"/>
    </w:pPr>
    <w:rPr>
      <w:u w:val="single"/>
    </w:rPr>
  </w:style>
  <w:style w:type="paragraph" w:styleId="DraftLine">
    <w:name w:val="DraftLine"/>
    <w:basedOn w:val="Normal"/>
    <w:qFormat/>
    <w:pPr>
      <w:jc w:val="end"/>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Divider">
    <w:name w:val="Divider"/>
    <w:basedOn w:val="Normal"/>
    <w:qFormat/>
    <w:pPr/>
    <w:rPr>
      <w:sz w:val="16"/>
    </w:rPr>
  </w:style>
  <w:style w:type="paragraph" w:styleId="SCDocID">
    <w:name w:val="S&amp;C DocID"/>
    <w:basedOn w:val="Normal"/>
    <w:next w:val="Normal"/>
    <w:qFormat/>
    <w:pPr/>
    <w:rPr>
      <w:sz w:val="16"/>
    </w:rPr>
  </w:style>
  <w:style w:type="paragraph" w:styleId="SCFileStamp">
    <w:name w:val="S&amp;CFileStamp"/>
    <w:basedOn w:val="Normal"/>
    <w:next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2001-07-31T13:47:00Z</dcterms:created>
  <dc:creator>bialj</dc:creator>
  <dc:description/>
  <dc:language>en-CA</dc:language>
  <cp:lastModifiedBy>cerratc</cp:lastModifiedBy>
  <cp:lastPrinted>2001-07-30T02:26:00Z</cp:lastPrinted>
  <dcterms:modified xsi:type="dcterms:W3CDTF">2001-07-31T13:47:00Z</dcterms:modified>
  <cp:revision>2</cp:revision>
  <dc:subject/>
  <dc:title>SULLIVAN &amp; CROMWELL</dc:title>
</cp:coreProperties>
</file>