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SVMG Comments to the Draft Decision of ALJ Barnett </w:t>
      </w:r>
    </w:p>
    <w:p>
      <w:pPr>
        <w:pStyle w:val="Normal"/>
        <w:rPr/>
      </w:pPr>
      <w:r>
        <w:rPr/>
        <w:t>To: Parties of Record in Application 98-07-003 et al.</w:t>
      </w:r>
    </w:p>
    <w:p>
      <w:pPr>
        <w:pStyle w:val="Normal"/>
        <w:rPr/>
      </w:pPr>
      <w:r>
        <w:rPr/>
      </w:r>
    </w:p>
    <w:p>
      <w:pPr>
        <w:pStyle w:val="Normal"/>
        <w:rPr/>
      </w:pPr>
      <w:r>
        <w:rPr/>
        <w:t>SCE requested authorization to temporarily suspend payment of Power Exchange (PX) energy credits to energy service providers (ESPs) and direct access customers until a solution to the current energy crisis and SCE’s current liquidity crisis has been achieved.</w:t>
      </w:r>
    </w:p>
    <w:p>
      <w:pPr>
        <w:pStyle w:val="Normal"/>
        <w:rPr/>
      </w:pPr>
      <w:r>
        <w:rPr/>
      </w:r>
    </w:p>
    <w:p>
      <w:pPr>
        <w:pStyle w:val="Normal"/>
        <w:rPr/>
      </w:pPr>
      <w:r>
        <w:rPr/>
        <w:t>SVMG agrees with the CPUC in granting the petition to suspend payment.  However, we do not believe that the current conditions warrant a suspension of direct access, and that an alternate approach can satisfy the concerns of all parties.</w:t>
      </w:r>
    </w:p>
    <w:p>
      <w:pPr>
        <w:pStyle w:val="Normal"/>
        <w:rPr/>
      </w:pPr>
      <w:r>
        <w:rPr/>
      </w:r>
    </w:p>
    <w:p>
      <w:pPr>
        <w:pStyle w:val="Normal"/>
        <w:rPr/>
      </w:pPr>
      <w:r>
        <w:rPr/>
        <w:t>SVMG maintains that competition is a necessary component of restoration of functional electricity markets.  Over the past months, SVMG has been working diligently with other stakeholders to accommodate the concerns of the State Treasurer about the impact of a continuation of direct access on the saleability of the DWR power Purchase Revenue Bonds.</w:t>
      </w:r>
    </w:p>
    <w:p>
      <w:pPr>
        <w:pStyle w:val="Normal"/>
        <w:rPr/>
      </w:pPr>
      <w:r>
        <w:rPr/>
      </w:r>
    </w:p>
    <w:p>
      <w:pPr>
        <w:pStyle w:val="Normal"/>
        <w:rPr/>
      </w:pPr>
      <w:r>
        <w:rPr/>
        <w:t>Specifically, SVMG does not believe that it is necessary to suspend direct access under Water Code Section 80110 as enacted by AB1X.  With the recent reduction in the wholesale price of energy, and evidence of increasing supplies coming to the market, significant progress has been made towards crafting a legislative compromise.</w:t>
      </w:r>
    </w:p>
    <w:p>
      <w:pPr>
        <w:pStyle w:val="Normal"/>
        <w:rPr/>
      </w:pPr>
      <w:r>
        <w:rPr/>
      </w:r>
    </w:p>
    <w:p>
      <w:pPr>
        <w:pStyle w:val="Normal"/>
        <w:rPr/>
      </w:pPr>
      <w:r>
        <w:rPr/>
        <w:t>SVMG believes that a modification of D.99-06-058 is appropriate and could eliminate the undercollection concerns and disputes over calculation of the credit under the existing approach required by the stipulation of D.99-06-058.</w:t>
      </w:r>
    </w:p>
    <w:p>
      <w:pPr>
        <w:pStyle w:val="Normal"/>
        <w:rPr/>
      </w:pPr>
      <w:r>
        <w:rPr/>
        <w:t xml:space="preserve"> </w:t>
      </w:r>
    </w:p>
    <w:p>
      <w:pPr>
        <w:pStyle w:val="Normal"/>
        <w:rPr/>
      </w:pPr>
      <w:r>
        <w:rPr/>
        <w:t>We believe the Commission should allow time for the parties to work out the details of an exit fee that would provide the protection sought by DWR.   This would protect DWR in their endeavor to secure long-term contracts to acquire electric energy with a reasonable opportunity to recover their costs of power.</w:t>
      </w:r>
    </w:p>
    <w:p>
      <w:pPr>
        <w:pStyle w:val="Normal"/>
        <w:rPr/>
      </w:pPr>
      <w:r>
        <w:rPr/>
      </w:r>
    </w:p>
    <w:p>
      <w:pPr>
        <w:pStyle w:val="Normal"/>
        <w:rPr/>
      </w:pPr>
      <w:r>
        <w:rPr/>
        <w:t xml:space="preserve">Among the alternatives that can be explored, </w:t>
      </w:r>
    </w:p>
    <w:p>
      <w:pPr>
        <w:pStyle w:val="Normal"/>
        <w:rPr/>
      </w:pPr>
      <w:r>
        <w:rPr/>
      </w:r>
    </w:p>
    <w:p>
      <w:pPr>
        <w:pStyle w:val="Normal"/>
        <w:numPr>
          <w:ilvl w:val="0"/>
          <w:numId w:val="1"/>
        </w:numPr>
        <w:rPr/>
      </w:pPr>
      <w:r>
        <w:rPr/>
        <w:t xml:space="preserve">Establish an exit fee in the form of a non-bypassable repayment charge. </w:t>
      </w:r>
    </w:p>
    <w:p>
      <w:pPr>
        <w:pStyle w:val="Normal"/>
        <w:numPr>
          <w:ilvl w:val="0"/>
          <w:numId w:val="1"/>
        </w:numPr>
        <w:rPr/>
      </w:pPr>
      <w:r>
        <w:rPr/>
        <w:t xml:space="preserve">Reinstate the provisions of the zero minimum bill provision that was approved in D.99-06-058.  </w:t>
      </w:r>
    </w:p>
    <w:p>
      <w:pPr>
        <w:pStyle w:val="Normal"/>
        <w:numPr>
          <w:ilvl w:val="0"/>
          <w:numId w:val="1"/>
        </w:numPr>
        <w:rPr/>
      </w:pPr>
      <w:r>
        <w:rPr/>
        <w:t xml:space="preserve"> </w:t>
      </w:r>
      <w:r>
        <w:rPr/>
        <w:t>Move towards a bottoms-up approach to ensure that there is no subsidy for direct access</w:t>
      </w:r>
    </w:p>
    <w:p>
      <w:pPr>
        <w:pStyle w:val="Normal"/>
        <w:rPr/>
      </w:pPr>
      <w:r>
        <w:rPr/>
      </w:r>
    </w:p>
    <w:p>
      <w:pPr>
        <w:pStyle w:val="Normal"/>
        <w:rPr/>
      </w:pPr>
      <w:r>
        <w:rPr/>
        <w:t xml:space="preserve">We respectfully request the Commission to postpone a decision relating to direct access at the current time.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2001-06-26T13:56:00Z</dcterms:created>
  <dc:creator>Joe Desmond</dc:creator>
  <dc:description/>
  <dc:language>en-CA</dc:language>
  <cp:lastModifiedBy>Joe Desmond</cp:lastModifiedBy>
  <dcterms:modified xsi:type="dcterms:W3CDTF">2001-06-26T15:07:00Z</dcterms:modified>
  <cp:revision>5</cp:revision>
  <dc:subject/>
  <dc:title>SVMG Comments to the Draft Decision of ALJ Barnett </dc:title>
</cp:coreProperties>
</file>