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80" w:end="0"/>
        <w:jc w:val="center"/>
        <w:rPr>
          <w:rFonts w:ascii="Arial" w:hAnsi="Arial" w:cs="Arial"/>
          <w:b/>
          <w:sz w:val="24"/>
        </w:rPr>
      </w:pPr>
      <w:r>
        <w:rPr>
          <w:rFonts w:cs="Arial" w:ascii="Arial" w:hAnsi="Arial"/>
          <w:b/>
          <w:sz w:val="24"/>
        </w:rPr>
        <w:t>BEFORE THE PUBLIC UTILITIES COMMISSION OF THE STATE OF CALIFORNIA</w:t>
      </w:r>
    </w:p>
    <w:p>
      <w:pPr>
        <w:pStyle w:val="Normal"/>
        <w:rPr>
          <w:rFonts w:ascii="Arial" w:hAnsi="Arial" w:cs="Arial"/>
          <w:b/>
          <w:sz w:val="24"/>
        </w:rPr>
      </w:pPr>
      <w:r>
        <w:rPr>
          <w:rFonts w:cs="Arial" w:ascii="Arial" w:hAnsi="Arial"/>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4896" w:leader="none"/>
          <w:tab w:val="left" w:pos="9684" w:leader="none"/>
        </w:tabs>
        <w:rPr>
          <w:sz w:val="24"/>
        </w:rPr>
      </w:pPr>
      <w:r>
        <w:rPr>
          <w:sz w:val="24"/>
        </w:rPr>
        <w:tab/>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bottom w:val="single" w:sz="4" w:space="0" w:color="000000"/>
              <w:end w:val="single" w:sz="4" w:space="0" w:color="000000"/>
            </w:tcBorders>
          </w:tcPr>
          <w:p>
            <w:pPr>
              <w:pStyle w:val="Normal"/>
              <w:rPr>
                <w:sz w:val="24"/>
              </w:rPr>
            </w:pPr>
            <w:r>
              <w:rPr>
                <w:sz w:val="24"/>
              </w:rPr>
              <w:t>Order Instituting Investigation into the Functioning of the Wholesale Electric Market and Associated Impact on Retail Rates</w:t>
            </w:r>
          </w:p>
          <w:p>
            <w:pPr>
              <w:pStyle w:val="Normal"/>
              <w:rPr>
                <w:sz w:val="24"/>
              </w:rPr>
            </w:pPr>
            <w:r>
              <w:rPr>
                <w:sz w:val="24"/>
              </w:rPr>
            </w:r>
          </w:p>
        </w:tc>
        <w:tc>
          <w:tcPr>
            <w:tcW w:w="4428" w:type="dxa"/>
            <w:tcBorders/>
          </w:tcPr>
          <w:p>
            <w:pPr>
              <w:pStyle w:val="Normal"/>
              <w:snapToGrid w:val="false"/>
              <w:jc w:val="center"/>
              <w:rPr>
                <w:sz w:val="24"/>
              </w:rPr>
            </w:pPr>
            <w:r>
              <w:rPr>
                <w:sz w:val="24"/>
              </w:rPr>
            </w:r>
          </w:p>
          <w:p>
            <w:pPr>
              <w:pStyle w:val="Normal"/>
              <w:jc w:val="center"/>
              <w:rPr>
                <w:sz w:val="24"/>
              </w:rPr>
            </w:pPr>
            <w:r>
              <w:rPr>
                <w:sz w:val="24"/>
              </w:rPr>
              <w:t>Investigation 00-08-002</w:t>
            </w:r>
          </w:p>
          <w:p>
            <w:pPr>
              <w:pStyle w:val="Normal"/>
              <w:jc w:val="center"/>
              <w:rPr>
                <w:sz w:val="24"/>
              </w:rPr>
            </w:pPr>
            <w:r>
              <w:rPr>
                <w:sz w:val="24"/>
              </w:rPr>
              <w:t>(Filed August 3, 2000)</w:t>
            </w:r>
          </w:p>
        </w:tc>
      </w:tr>
    </w:tbl>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rFonts w:ascii="Arial" w:hAnsi="Arial" w:cs="Arial"/>
          <w:b/>
          <w:sz w:val="24"/>
        </w:rPr>
      </w:pPr>
      <w:r>
        <w:rPr>
          <w:rFonts w:cs="Arial" w:ascii="Arial" w:hAnsi="Arial"/>
          <w:b/>
          <w:sz w:val="24"/>
        </w:rPr>
        <w:t xml:space="preserve">COMMENTS OF INDEPENDENT ENERGY PRODUCERS ASSOCIATION </w:t>
      </w:r>
    </w:p>
    <w:p>
      <w:pPr>
        <w:pStyle w:val="Normal"/>
        <w:jc w:val="center"/>
        <w:rPr>
          <w:rFonts w:ascii="Arial" w:hAnsi="Arial" w:cs="Arial"/>
          <w:b/>
          <w:sz w:val="24"/>
        </w:rPr>
      </w:pPr>
      <w:r>
        <w:rPr>
          <w:rFonts w:cs="Arial" w:ascii="Arial" w:hAnsi="Arial"/>
          <w:b/>
          <w:sz w:val="24"/>
        </w:rPr>
        <w:t xml:space="preserve">ON THE ASSIGNED COMMISSIONER’S RULING </w:t>
      </w:r>
    </w:p>
    <w:p>
      <w:pPr>
        <w:pStyle w:val="Normal"/>
        <w:jc w:val="center"/>
        <w:rPr>
          <w:rFonts w:ascii="Arial" w:hAnsi="Arial" w:cs="Arial"/>
          <w:b/>
          <w:sz w:val="24"/>
        </w:rPr>
      </w:pPr>
      <w:r>
        <w:rPr>
          <w:rFonts w:cs="Arial" w:ascii="Arial" w:hAnsi="Arial"/>
          <w:b/>
          <w:sz w:val="24"/>
        </w:rPr>
        <w:t>PROVIDING FOR COMMENTS ON CERTAIN WHOLESALE MARKET ISSUES</w:t>
      </w:r>
    </w:p>
    <w:p>
      <w:pPr>
        <w:pStyle w:val="Normal"/>
        <w:rPr>
          <w:rFonts w:ascii="Arial" w:hAnsi="Arial" w:cs="Arial"/>
          <w:b/>
          <w:sz w:val="24"/>
        </w:rPr>
      </w:pPr>
      <w:r>
        <w:rPr>
          <w:rFonts w:cs="Arial" w:ascii="Arial" w:hAnsi="Arial"/>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September 8, 2000</w:t>
      </w:r>
    </w:p>
    <w:p>
      <w:pPr>
        <w:pStyle w:val="Normal"/>
        <w:rPr>
          <w:sz w:val="24"/>
        </w:rPr>
      </w:pPr>
      <w:r>
        <w:rPr>
          <w:sz w:val="24"/>
        </w:rPr>
      </w:r>
    </w:p>
    <w:p>
      <w:pPr>
        <w:pStyle w:val="Normal"/>
        <w:ind w:start="4680" w:end="0"/>
        <w:rPr>
          <w:sz w:val="24"/>
        </w:rPr>
      </w:pPr>
      <w:r>
        <w:rPr>
          <w:sz w:val="24"/>
        </w:rPr>
        <w:t>Douglas K. Kerner</w:t>
      </w:r>
    </w:p>
    <w:p>
      <w:pPr>
        <w:pStyle w:val="Normal"/>
        <w:ind w:start="4680" w:end="0"/>
        <w:rPr>
          <w:sz w:val="24"/>
        </w:rPr>
      </w:pPr>
      <w:r>
        <w:rPr>
          <w:sz w:val="24"/>
        </w:rPr>
        <w:t>Ellison, Schneider &amp; Harris, L.L.P.</w:t>
      </w:r>
    </w:p>
    <w:p>
      <w:pPr>
        <w:pStyle w:val="Normal"/>
        <w:ind w:start="4680" w:end="0"/>
        <w:rPr>
          <w:sz w:val="24"/>
        </w:rPr>
      </w:pPr>
      <w:r>
        <w:rPr>
          <w:sz w:val="24"/>
        </w:rPr>
        <w:t>2015 H Street</w:t>
      </w:r>
    </w:p>
    <w:p>
      <w:pPr>
        <w:pStyle w:val="Normal"/>
        <w:ind w:start="4680" w:end="0"/>
        <w:rPr>
          <w:sz w:val="24"/>
        </w:rPr>
      </w:pPr>
      <w:r>
        <w:rPr>
          <w:sz w:val="24"/>
        </w:rPr>
        <w:t>Sacramento, California  95814</w:t>
      </w:r>
    </w:p>
    <w:p>
      <w:pPr>
        <w:pStyle w:val="Normal"/>
        <w:ind w:start="4680" w:end="0"/>
        <w:rPr>
          <w:sz w:val="24"/>
        </w:rPr>
      </w:pPr>
      <w:r>
        <w:rPr>
          <w:sz w:val="24"/>
        </w:rPr>
        <w:t>Telephone:</w:t>
        <w:tab/>
        <w:t xml:space="preserve">  (916) 447-2166</w:t>
      </w:r>
    </w:p>
    <w:p>
      <w:pPr>
        <w:pStyle w:val="Normal"/>
        <w:ind w:start="4680" w:end="0"/>
        <w:rPr>
          <w:sz w:val="24"/>
        </w:rPr>
      </w:pPr>
      <w:r>
        <w:rPr>
          <w:sz w:val="24"/>
        </w:rPr>
        <w:t>Facsimile:  (916) 447-3512</w:t>
      </w:r>
    </w:p>
    <w:p>
      <w:pPr>
        <w:pStyle w:val="Normal"/>
        <w:ind w:start="4680" w:end="0"/>
        <w:rPr>
          <w:sz w:val="24"/>
        </w:rPr>
      </w:pPr>
      <w:r>
        <w:rPr>
          <w:sz w:val="24"/>
        </w:rPr>
        <w:t xml:space="preserve">Email:  </w:t>
      </w:r>
      <w:r>
        <w:rPr>
          <w:color w:val="0000FF"/>
          <w:sz w:val="24"/>
          <w:u w:val="single"/>
        </w:rPr>
        <w:t>dkk@eslawfirm.com</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ind w:start="4680" w:end="0"/>
        <w:rPr>
          <w:sz w:val="24"/>
        </w:rPr>
      </w:pPr>
      <w:r>
        <w:rPr>
          <w:sz w:val="24"/>
        </w:rPr>
      </w:r>
    </w:p>
    <w:p>
      <w:pPr>
        <w:pStyle w:val="Normal"/>
        <w:rPr>
          <w:sz w:val="24"/>
        </w:rPr>
      </w:pPr>
      <w:r>
        <w:rPr>
          <w:sz w:val="24"/>
        </w:rPr>
      </w:r>
    </w:p>
    <w:p>
      <w:pPr>
        <w:pStyle w:val="Normal"/>
        <w:jc w:val="center"/>
        <w:rPr>
          <w:rFonts w:ascii="Arial" w:hAnsi="Arial" w:cs="Arial"/>
          <w:b/>
          <w:sz w:val="24"/>
        </w:rPr>
      </w:pPr>
      <w:r>
        <w:rPr>
          <w:rFonts w:cs="Arial" w:ascii="Arial" w:hAnsi="Arial"/>
          <w:b/>
          <w:sz w:val="24"/>
        </w:rPr>
        <w:t xml:space="preserve">Comments of Independent Energy Producers Association </w:t>
      </w:r>
    </w:p>
    <w:p>
      <w:pPr>
        <w:pStyle w:val="Normal"/>
        <w:jc w:val="center"/>
        <w:rPr>
          <w:rFonts w:ascii="Arial" w:hAnsi="Arial" w:cs="Arial"/>
          <w:b/>
          <w:sz w:val="24"/>
        </w:rPr>
      </w:pPr>
      <w:r>
        <w:rPr>
          <w:rFonts w:cs="Arial" w:ascii="Arial" w:hAnsi="Arial"/>
          <w:b/>
          <w:sz w:val="24"/>
        </w:rPr>
        <w:t xml:space="preserve">on the Assigned Commissioner’s Ruling </w:t>
      </w:r>
    </w:p>
    <w:p>
      <w:pPr>
        <w:pStyle w:val="Normal"/>
        <w:jc w:val="center"/>
        <w:rPr>
          <w:rFonts w:ascii="Arial" w:hAnsi="Arial" w:cs="Arial"/>
          <w:b/>
          <w:sz w:val="24"/>
        </w:rPr>
      </w:pPr>
      <w:r>
        <w:rPr>
          <w:rFonts w:cs="Arial" w:ascii="Arial" w:hAnsi="Arial"/>
          <w:b/>
          <w:sz w:val="24"/>
        </w:rPr>
        <w:t>Providing for Comments on Certain Wholesale Market Issues</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INTRODUCTION</w:t>
      </w:r>
    </w:p>
    <w:p>
      <w:pPr>
        <w:pStyle w:val="Normal"/>
        <w:rPr>
          <w:rFonts w:ascii="Arial" w:hAnsi="Arial" w:cs="Arial"/>
          <w:b/>
          <w:sz w:val="24"/>
        </w:rPr>
      </w:pPr>
      <w:r>
        <w:rPr>
          <w:rFonts w:cs="Arial" w:ascii="Arial" w:hAnsi="Arial"/>
          <w:b/>
          <w:sz w:val="24"/>
        </w:rPr>
      </w:r>
    </w:p>
    <w:p>
      <w:pPr>
        <w:pStyle w:val="Normal"/>
        <w:spacing w:lineRule="auto" w:line="480"/>
        <w:ind w:firstLine="720" w:end="0"/>
        <w:rPr>
          <w:sz w:val="24"/>
        </w:rPr>
      </w:pPr>
      <w:r>
        <w:rPr>
          <w:sz w:val="24"/>
        </w:rPr>
        <w:t>On the instruction of the Assigned Commissioner (Ruling, August 29, 2000) Independent Energy Producers Association (IEP) respectfully submits these Comments on the Assigned Commissioner’s Ruling Providing for Comments on Certain Wholesale Market Issues (ACR).</w:t>
      </w:r>
    </w:p>
    <w:p>
      <w:pPr>
        <w:pStyle w:val="Normal"/>
        <w:spacing w:lineRule="auto" w:line="480"/>
        <w:ind w:firstLine="720" w:end="0"/>
        <w:rPr>
          <w:sz w:val="24"/>
        </w:rPr>
      </w:pPr>
      <w:r>
        <w:rPr>
          <w:sz w:val="24"/>
        </w:rPr>
        <w:t>In the ACR Commissioner Wood requests comments on a number of questions further to the “… consideration of the failings of the wholesale electric market, and appropriate solutions ….”  ACR at 1.  The ACR continues that such consideration “…should not await the issuance of the scoping memo, and instead should be undertaken now.”  Id.  In comments introducing the public participation hearings held in San Diego on August 30, 2000, the Assigned Commissioner further concluded that:</w:t>
      </w:r>
    </w:p>
    <w:p>
      <w:pPr>
        <w:pStyle w:val="Normal"/>
        <w:ind w:hanging="720" w:start="1440" w:end="0"/>
        <w:rPr>
          <w:sz w:val="24"/>
        </w:rPr>
      </w:pPr>
      <w:r>
        <w:rPr>
          <w:sz w:val="24"/>
        </w:rPr>
        <w:t>13</w:t>
        <w:tab/>
        <w:t xml:space="preserve">Unfortunately, it's [the "catastrophe" which is the subject of the Investigation] not a natural </w:t>
      </w:r>
    </w:p>
    <w:p>
      <w:pPr>
        <w:pStyle w:val="Normal"/>
        <w:rPr>
          <w:sz w:val="24"/>
        </w:rPr>
      </w:pPr>
      <w:r>
        <w:rPr>
          <w:sz w:val="24"/>
        </w:rPr>
      </w:r>
    </w:p>
    <w:p>
      <w:pPr>
        <w:pStyle w:val="Normal"/>
        <w:ind w:firstLine="720" w:end="0"/>
        <w:rPr>
          <w:sz w:val="24"/>
        </w:rPr>
      </w:pPr>
      <w:r>
        <w:rPr>
          <w:sz w:val="24"/>
        </w:rPr>
        <w:t>14</w:t>
        <w:tab/>
        <w:t xml:space="preserve">catastrophe but it's one that is man-made, it's a product </w:t>
      </w:r>
    </w:p>
    <w:p>
      <w:pPr>
        <w:pStyle w:val="Normal"/>
        <w:rPr>
          <w:sz w:val="24"/>
        </w:rPr>
      </w:pPr>
      <w:r>
        <w:rPr>
          <w:sz w:val="24"/>
        </w:rPr>
      </w:r>
    </w:p>
    <w:p>
      <w:pPr>
        <w:pStyle w:val="Normal"/>
        <w:ind w:firstLine="720" w:end="0"/>
        <w:rPr/>
      </w:pPr>
      <w:r>
        <w:rPr>
          <w:sz w:val="24"/>
        </w:rPr>
        <w:t>15</w:t>
        <w:tab/>
        <w:t xml:space="preserve">of, </w:t>
      </w:r>
      <w:r>
        <w:rPr>
          <w:sz w:val="24"/>
          <w:u w:val="single"/>
        </w:rPr>
        <w:t>clearly</w:t>
      </w:r>
      <w:r>
        <w:rPr>
          <w:sz w:val="24"/>
        </w:rPr>
        <w:t xml:space="preserve">, at this point, it appears, mistakes that were </w:t>
      </w:r>
    </w:p>
    <w:p>
      <w:pPr>
        <w:pStyle w:val="Normal"/>
        <w:rPr>
          <w:sz w:val="24"/>
        </w:rPr>
      </w:pPr>
      <w:r>
        <w:rPr>
          <w:sz w:val="24"/>
        </w:rPr>
      </w:r>
    </w:p>
    <w:p>
      <w:pPr>
        <w:pStyle w:val="Normal"/>
        <w:ind w:firstLine="720" w:end="0"/>
        <w:rPr/>
      </w:pPr>
      <w:r>
        <w:rPr>
          <w:sz w:val="24"/>
        </w:rPr>
        <w:t>16</w:t>
        <w:tab/>
        <w:t xml:space="preserve">made by the public officials, </w:t>
      </w:r>
      <w:r>
        <w:rPr>
          <w:sz w:val="24"/>
          <w:u w:val="single"/>
        </w:rPr>
        <w:t xml:space="preserve">very likely by manipulation of </w:t>
      </w:r>
    </w:p>
    <w:p>
      <w:pPr>
        <w:pStyle w:val="Normal"/>
        <w:rPr>
          <w:sz w:val="24"/>
          <w:u w:val="single"/>
        </w:rPr>
      </w:pPr>
      <w:r>
        <w:rPr>
          <w:sz w:val="24"/>
          <w:u w:val="single"/>
        </w:rPr>
      </w:r>
    </w:p>
    <w:p>
      <w:pPr>
        <w:pStyle w:val="Normal"/>
        <w:ind w:firstLine="720" w:end="0"/>
        <w:rPr/>
      </w:pPr>
      <w:r>
        <w:rPr>
          <w:sz w:val="24"/>
        </w:rPr>
        <w:t>17</w:t>
        <w:tab/>
      </w:r>
      <w:r>
        <w:rPr>
          <w:sz w:val="24"/>
          <w:u w:val="single"/>
        </w:rPr>
        <w:t xml:space="preserve">the system or exploitation of the system by private </w:t>
      </w:r>
    </w:p>
    <w:p>
      <w:pPr>
        <w:pStyle w:val="Normal"/>
        <w:rPr>
          <w:sz w:val="24"/>
          <w:u w:val="single"/>
        </w:rPr>
      </w:pPr>
      <w:r>
        <w:rPr>
          <w:sz w:val="24"/>
          <w:u w:val="single"/>
        </w:rPr>
      </w:r>
    </w:p>
    <w:p>
      <w:pPr>
        <w:pStyle w:val="Normal"/>
        <w:ind w:firstLine="720" w:end="0"/>
        <w:rPr/>
      </w:pPr>
      <w:r>
        <w:rPr>
          <w:sz w:val="24"/>
        </w:rPr>
        <w:t>18</w:t>
        <w:tab/>
      </w:r>
      <w:r>
        <w:rPr>
          <w:sz w:val="24"/>
          <w:u w:val="single"/>
        </w:rPr>
        <w:t xml:space="preserve">interests who </w:t>
      </w:r>
      <w:r>
        <w:rPr>
          <w:sz w:val="24"/>
        </w:rPr>
        <w:t xml:space="preserve">have siphoned off at this point billions of </w:t>
      </w:r>
    </w:p>
    <w:p>
      <w:pPr>
        <w:pStyle w:val="Normal"/>
        <w:rPr>
          <w:sz w:val="24"/>
        </w:rPr>
      </w:pPr>
      <w:r>
        <w:rPr>
          <w:sz w:val="24"/>
        </w:rPr>
      </w:r>
    </w:p>
    <w:p>
      <w:pPr>
        <w:pStyle w:val="Normal"/>
        <w:ind w:firstLine="720" w:end="0"/>
        <w:rPr>
          <w:sz w:val="24"/>
        </w:rPr>
      </w:pPr>
      <w:r>
        <w:rPr>
          <w:sz w:val="24"/>
        </w:rPr>
        <w:t>19</w:t>
        <w:tab/>
        <w:t xml:space="preserve">dollars of ratepayer money that have gone to corporate </w:t>
      </w:r>
    </w:p>
    <w:p>
      <w:pPr>
        <w:pStyle w:val="Normal"/>
        <w:rPr>
          <w:sz w:val="24"/>
        </w:rPr>
      </w:pPr>
      <w:r>
        <w:rPr>
          <w:sz w:val="24"/>
        </w:rPr>
      </w:r>
    </w:p>
    <w:p>
      <w:pPr>
        <w:pStyle w:val="Normal"/>
        <w:ind w:firstLine="720" w:end="0"/>
        <w:rPr>
          <w:sz w:val="24"/>
        </w:rPr>
      </w:pPr>
      <w:r>
        <w:rPr>
          <w:sz w:val="24"/>
        </w:rPr>
        <w:t>20</w:t>
        <w:tab/>
        <w:t xml:space="preserve">coffers, with no -- with no benefit to the people who are </w:t>
      </w:r>
    </w:p>
    <w:p>
      <w:pPr>
        <w:pStyle w:val="Normal"/>
        <w:rPr>
          <w:sz w:val="24"/>
        </w:rPr>
      </w:pPr>
      <w:r>
        <w:rPr>
          <w:sz w:val="24"/>
        </w:rPr>
      </w:r>
    </w:p>
    <w:p>
      <w:pPr>
        <w:pStyle w:val="Normal"/>
        <w:spacing w:lineRule="auto" w:line="480"/>
        <w:ind w:firstLine="720" w:end="0"/>
        <w:rPr>
          <w:sz w:val="24"/>
        </w:rPr>
      </w:pPr>
      <w:r>
        <w:rPr>
          <w:sz w:val="24"/>
        </w:rPr>
        <w:t xml:space="preserve">   </w:t>
      </w:r>
      <w:r>
        <w:rPr>
          <w:sz w:val="24"/>
        </w:rPr>
        <w:t>21</w:t>
        <w:tab/>
        <w:t>paying for these exorbitant rates.  _ Tr. at _.  Emphasis added.</w:t>
      </w:r>
    </w:p>
    <w:p>
      <w:pPr>
        <w:pStyle w:val="Normal"/>
        <w:spacing w:lineRule="auto" w:line="480"/>
        <w:ind w:firstLine="720" w:end="0"/>
        <w:rPr>
          <w:sz w:val="24"/>
        </w:rPr>
      </w:pPr>
      <w:r>
        <w:rPr>
          <w:sz w:val="24"/>
        </w:rPr>
        <w:t xml:space="preserve">How this conclusion can  "clearly" be the case before the proceedings have even commenced is a mystery to IEP. </w:t>
      </w:r>
    </w:p>
    <w:p>
      <w:pPr>
        <w:pStyle w:val="Normal"/>
        <w:spacing w:lineRule="auto" w:line="480"/>
        <w:ind w:firstLine="720" w:end="0"/>
        <w:rPr>
          <w:sz w:val="24"/>
        </w:rPr>
      </w:pPr>
      <w:r>
        <w:rPr>
          <w:sz w:val="24"/>
        </w:rPr>
        <w:t>As discussed more fully below, IEP disagrees with, and objects to, the ACR’s apparent premises, including that there are “failings” in the wholesale electric market; and respectfully submits that the process should be allowed to proceed before announcing its outcome.</w:t>
      </w:r>
    </w:p>
    <w:p>
      <w:pPr>
        <w:pStyle w:val="Normal"/>
        <w:spacing w:lineRule="auto" w:line="480"/>
        <w:rPr>
          <w:rFonts w:ascii="Arial" w:hAnsi="Arial" w:cs="Arial"/>
          <w:b/>
          <w:sz w:val="24"/>
        </w:rPr>
      </w:pPr>
      <w:r>
        <w:rPr>
          <w:rFonts w:cs="Arial" w:ascii="Arial" w:hAnsi="Arial"/>
          <w:b/>
          <w:sz w:val="24"/>
        </w:rPr>
        <w:t>DISCUSSION</w:t>
      </w:r>
    </w:p>
    <w:p>
      <w:pPr>
        <w:pStyle w:val="Normal"/>
        <w:spacing w:lineRule="auto" w:line="480"/>
        <w:rPr>
          <w:sz w:val="24"/>
        </w:rPr>
      </w:pPr>
      <w:r>
        <w:rPr>
          <w:sz w:val="24"/>
        </w:rPr>
        <w:t xml:space="preserve"> </w:t>
      </w:r>
      <w:r>
        <w:rPr>
          <w:sz w:val="24"/>
        </w:rPr>
        <w:tab/>
        <w:t>IEP disagrees with, and objects to, the ACR’s apparent premises, including  that there are “failings” in the wholesale electric market for two reasons.</w:t>
      </w:r>
    </w:p>
    <w:p>
      <w:pPr>
        <w:pStyle w:val="Normal"/>
        <w:spacing w:lineRule="auto" w:line="480"/>
        <w:ind w:firstLine="720" w:end="0"/>
        <w:rPr/>
      </w:pPr>
      <w:r>
        <w:rPr>
          <w:sz w:val="24"/>
        </w:rPr>
        <w:t xml:space="preserve">First, this docket by its own terms is an </w:t>
      </w:r>
      <w:r>
        <w:rPr>
          <w:sz w:val="24"/>
          <w:u w:val="single"/>
        </w:rPr>
        <w:t xml:space="preserve">Investigation </w:t>
      </w:r>
      <w:r>
        <w:rPr>
          <w:sz w:val="24"/>
        </w:rPr>
        <w:t>into the functioning of the wholesale electric market.  It is inappropriate for the ACR to advance a request for comments on a presumption of the outcome of the Investigation—in this case the presumption being that the wholesale electric market is flawed.</w:t>
      </w:r>
    </w:p>
    <w:p>
      <w:pPr>
        <w:pStyle w:val="Normal"/>
        <w:spacing w:lineRule="auto" w:line="480"/>
        <w:ind w:firstLine="720" w:end="0"/>
        <w:rPr>
          <w:sz w:val="24"/>
        </w:rPr>
      </w:pPr>
      <w:r>
        <w:rPr>
          <w:sz w:val="24"/>
        </w:rPr>
        <w:t>Second, on the matter of mere practice and procedure, IEP disagrees with the secrecy with which this proceeding has so far been conducted and within which it has been cloaked.  IEP and dozens of other interested parties attended the August 29, 2000 Prehearing Conference in this matter and were advised by the Administrative Law Judge and the Assigned Commissioner, among other things, to anticipate a further scoping memorandum on which the parties could comment.  Much comment was made on this point, and many points and recommendations made.  What IEP or any of the other participants did not know was that the ACR had already been issued; and indeed had been issued on the basis that it should not “await” the issuance of the very scoping memo which was the subject of the public hearing.  As of the date of this filing, no scoping memorandum has been received by IEP.</w:t>
      </w:r>
    </w:p>
    <w:p>
      <w:pPr>
        <w:pStyle w:val="Normal"/>
        <w:spacing w:lineRule="auto" w:line="480"/>
        <w:ind w:firstLine="720" w:end="0"/>
        <w:rPr/>
      </w:pPr>
      <w:r>
        <w:rPr>
          <w:sz w:val="24"/>
        </w:rPr>
        <w:t xml:space="preserve">Action by regulatory </w:t>
      </w:r>
      <w:r>
        <w:rPr>
          <w:i/>
          <w:sz w:val="24"/>
        </w:rPr>
        <w:t>fiat</w:t>
      </w:r>
      <w:r>
        <w:rPr>
          <w:sz w:val="24"/>
        </w:rPr>
        <w:t>, however time honored, has rarely been a technique of this Commission and it should not be endorsed now.</w:t>
      </w:r>
    </w:p>
    <w:p>
      <w:pPr>
        <w:pStyle w:val="Normal"/>
        <w:spacing w:lineRule="auto" w:line="480"/>
        <w:ind w:firstLine="720" w:end="0"/>
        <w:rPr>
          <w:sz w:val="24"/>
        </w:rPr>
      </w:pPr>
      <w:r>
        <w:rPr>
          <w:sz w:val="24"/>
        </w:rPr>
        <w:t>Notwithstanding IEP’s disagreement with and objection to the apparent premises of the ACR, it has the following specific answers to the specific questions raised in the ACR which, because the proceeding has only just commenced, are susceptible of a meaningful answer at this time.</w:t>
      </w:r>
    </w:p>
    <w:p>
      <w:pPr>
        <w:pStyle w:val="Normal"/>
        <w:numPr>
          <w:ilvl w:val="0"/>
          <w:numId w:val="1"/>
        </w:numPr>
        <w:tabs>
          <w:tab w:val="clear" w:pos="720"/>
          <w:tab w:val="left" w:pos="360" w:leader="none"/>
        </w:tabs>
        <w:spacing w:lineRule="auto" w:line="480"/>
        <w:ind w:hanging="360" w:start="360" w:end="0"/>
        <w:rPr>
          <w:sz w:val="24"/>
        </w:rPr>
      </w:pPr>
      <w:r>
        <w:rPr>
          <w:sz w:val="24"/>
        </w:rPr>
        <w:t>The ACR asks: “Are the market conditions currently being experienced (price spikes and supply shortages) inevitable under the current market structure?”</w:t>
      </w:r>
    </w:p>
    <w:p>
      <w:pPr>
        <w:pStyle w:val="Normal"/>
        <w:spacing w:lineRule="auto" w:line="480"/>
        <w:ind w:start="1440" w:end="720"/>
        <w:rPr>
          <w:sz w:val="24"/>
        </w:rPr>
      </w:pPr>
      <w:r>
        <w:rPr>
          <w:sz w:val="24"/>
        </w:rPr>
        <w:t>Price “spikes” are indicative of the comparative value of electricity in a competitive market.  Electricity, like any other commodity, is more valuable when demand for it is high; particularly when that high demand corresponds with short supply.  Among other things, this is why conservation and demand side management make sense and should be pursued.  The “supply shortages” referred to in the question are largely the result of 1) inadequate generation supply in the Western region upon which California depends for much its supply and 2)  the successful efforts of San Diego Gas &amp; Electric and Southern California Edison to stifle new construction of power plants.  This Commission authorized the construction of over 1000 megawatts of new qualifying facility power projects in 1994 at an average cost of about 5 cents/kWh, but at the request of  these two utilities, the Federal Energy Regulatory Commission killed the projects.   Order on Petitions for Enforcement Action Pursuant to Section 210(h) of PURPA (Issued February 23, 1995), Federal Energy Regulatory Commission, Docket Nos. EL95-16-000 and EL95-19-00.</w:t>
      </w:r>
    </w:p>
    <w:p>
      <w:pPr>
        <w:pStyle w:val="Normal"/>
        <w:numPr>
          <w:ilvl w:val="0"/>
          <w:numId w:val="1"/>
        </w:numPr>
        <w:tabs>
          <w:tab w:val="clear" w:pos="720"/>
          <w:tab w:val="left" w:pos="360" w:leader="none"/>
        </w:tabs>
        <w:spacing w:lineRule="auto" w:line="480"/>
        <w:ind w:hanging="360" w:start="360" w:end="0"/>
        <w:rPr>
          <w:sz w:val="24"/>
        </w:rPr>
      </w:pPr>
      <w:r>
        <w:rPr>
          <w:sz w:val="24"/>
        </w:rPr>
        <w:t>The ACR  asks: “Do generators and/or scheduling coordinators have market power?”</w:t>
      </w:r>
    </w:p>
    <w:p>
      <w:pPr>
        <w:pStyle w:val="Normal"/>
        <w:spacing w:lineRule="auto" w:line="480"/>
        <w:ind w:start="1440" w:end="0"/>
        <w:rPr>
          <w:sz w:val="24"/>
        </w:rPr>
      </w:pPr>
      <w:r>
        <w:rPr>
          <w:sz w:val="24"/>
        </w:rPr>
        <w:t>In the question, “market power” is undefined.  The United States Department of Justice has concluded that “no”, these market participants do not exercise or abuse market power. [cite].   If by the question the ACR is making the mere observation that electricity is most valuable in a few hours of high demand, that does not demonstrate an abuse of market power.  It demonstrates the cornerstone of supply and demand:   that customers with discretion should reduce consumption.  Customers which do not have such discretion should be provided with special relief through rate design.</w:t>
      </w:r>
    </w:p>
    <w:p>
      <w:pPr>
        <w:pStyle w:val="Normal"/>
        <w:numPr>
          <w:ilvl w:val="0"/>
          <w:numId w:val="1"/>
        </w:numPr>
        <w:tabs>
          <w:tab w:val="clear" w:pos="720"/>
          <w:tab w:val="left" w:pos="360" w:leader="none"/>
        </w:tabs>
        <w:spacing w:lineRule="auto" w:line="480"/>
        <w:ind w:hanging="360" w:start="360" w:end="0"/>
        <w:rPr>
          <w:sz w:val="24"/>
        </w:rPr>
      </w:pPr>
      <w:r>
        <w:rPr>
          <w:sz w:val="24"/>
        </w:rPr>
        <w:t xml:space="preserve">The ACR asks: “Is there a need to mitigate </w:t>
      </w:r>
      <w:r>
        <w:rPr>
          <w:b/>
          <w:sz w:val="24"/>
        </w:rPr>
        <w:t>such</w:t>
      </w:r>
      <w:r>
        <w:rPr>
          <w:sz w:val="24"/>
        </w:rPr>
        <w:t xml:space="preserve"> market power?” [emphasis added].</w:t>
      </w:r>
    </w:p>
    <w:p>
      <w:pPr>
        <w:pStyle w:val="Normal"/>
        <w:spacing w:lineRule="auto" w:line="480"/>
        <w:ind w:start="1440" w:end="0"/>
        <w:rPr>
          <w:sz w:val="24"/>
        </w:rPr>
      </w:pPr>
      <w:r>
        <w:rPr>
          <w:sz w:val="24"/>
        </w:rPr>
        <w:t>IEP disagrees and objects to the ACR’s presumption of the conclusions which are the subject of the Investigation.</w:t>
      </w:r>
    </w:p>
    <w:p>
      <w:pPr>
        <w:pStyle w:val="Normal"/>
        <w:numPr>
          <w:ilvl w:val="0"/>
          <w:numId w:val="1"/>
        </w:numPr>
        <w:tabs>
          <w:tab w:val="clear" w:pos="720"/>
          <w:tab w:val="left" w:pos="360" w:leader="none"/>
        </w:tabs>
        <w:spacing w:lineRule="auto" w:line="480"/>
        <w:ind w:hanging="360" w:start="360" w:end="0"/>
        <w:rPr>
          <w:sz w:val="24"/>
        </w:rPr>
      </w:pPr>
      <w:r>
        <w:rPr>
          <w:sz w:val="24"/>
        </w:rPr>
        <w:t>The ACR asks: “Which market participants or other entities are responsible for reliability planning?”</w:t>
      </w:r>
    </w:p>
    <w:p>
      <w:pPr>
        <w:pStyle w:val="Normal"/>
        <w:spacing w:lineRule="auto" w:line="480"/>
        <w:ind w:start="1440" w:end="0"/>
        <w:rPr>
          <w:sz w:val="24"/>
        </w:rPr>
      </w:pPr>
      <w:r>
        <w:rPr>
          <w:sz w:val="24"/>
        </w:rPr>
        <w:t>This is established in law.  For California transmission reliability, the transmission owners and the California Independent System Operator share responsibility.  For California generation reliability, the deregulated market has responsibility.  For non-California regional transmission and generation reliability, the answer varies depending upon the jurisdiction.</w:t>
      </w:r>
    </w:p>
    <w:p>
      <w:pPr>
        <w:pStyle w:val="Normal"/>
        <w:spacing w:lineRule="auto" w:line="480"/>
        <w:ind w:firstLine="720" w:end="0"/>
        <w:rPr>
          <w:sz w:val="24"/>
        </w:rPr>
      </w:pPr>
      <w:r>
        <w:rPr>
          <w:sz w:val="24"/>
        </w:rPr>
        <w:t>The ACR’s remaining questions tread perilously close to a presumption of the conclusion of the Investigation; and specifically a conclusion with which IEP disagrees; namely that the wholesale market is generally flawed.  At minimum, IEP thinks that conclusions should await the conduct of the quasi-legislative and evidentiary hearings which have been announced for this proceeding.  With specific regard to the jurisdiction of California regulatory agencies, IEP thinks there is no reason to think there is any inadequacy in such scope.  Whether that jurisdiction is always perfectly or best executed is another question; but not one within this Commission’s area of appropriate interest.</w:t>
      </w:r>
    </w:p>
    <w:p>
      <w:pPr>
        <w:pStyle w:val="Normal"/>
        <w:spacing w:lineRule="auto" w:line="480"/>
        <w:ind w:firstLine="720" w:end="0"/>
        <w:rPr>
          <w:sz w:val="24"/>
        </w:rPr>
      </w:pPr>
      <w:r>
        <w:rPr>
          <w:sz w:val="24"/>
        </w:rPr>
        <w:t>IEP looks forward to the continued and proper process of this Investigation.</w:t>
        <w:tab/>
        <w:tab/>
        <w:tab/>
        <w:tab/>
        <w:tab/>
        <w:tab/>
        <w:tab/>
        <w:tab/>
        <w:t>Respectfully submitted,</w:t>
      </w:r>
    </w:p>
    <w:p>
      <w:pPr>
        <w:pStyle w:val="Normal"/>
        <w:rPr>
          <w:sz w:val="24"/>
        </w:rPr>
      </w:pPr>
      <w:r>
        <w:rPr>
          <w:sz w:val="24"/>
        </w:rPr>
      </w:r>
    </w:p>
    <w:p>
      <w:pPr>
        <w:pStyle w:val="Normal"/>
        <w:rPr>
          <w:sz w:val="24"/>
        </w:rPr>
      </w:pPr>
      <w:r>
        <w:rPr>
          <w:sz w:val="24"/>
        </w:rPr>
        <w:tab/>
        <w:tab/>
        <w:tab/>
        <w:tab/>
        <w:tab/>
        <w:tab/>
        <w:tab/>
        <w:t>Douglas K. Kerner</w:t>
      </w:r>
    </w:p>
    <w:p>
      <w:pPr>
        <w:pStyle w:val="Normal"/>
        <w:rPr>
          <w:sz w:val="24"/>
        </w:rPr>
      </w:pPr>
      <w:r>
        <w:rPr>
          <w:sz w:val="24"/>
        </w:rPr>
        <w:tab/>
        <w:tab/>
        <w:tab/>
        <w:tab/>
        <w:tab/>
        <w:tab/>
        <w:tab/>
        <w:t>Andrew B. Brown</w:t>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ab/>
        <w:t xml:space="preserve">By </w:t>
      </w:r>
      <w:r>
        <w:rPr>
          <w:sz w:val="24"/>
          <w:u w:val="single"/>
        </w:rPr>
        <w:tab/>
        <w:tab/>
        <w:tab/>
        <w:tab/>
        <w:tab/>
        <w:t xml:space="preserve"> </w:t>
      </w:r>
    </w:p>
    <w:p>
      <w:pPr>
        <w:pStyle w:val="Normal"/>
        <w:rPr>
          <w:sz w:val="24"/>
        </w:rPr>
      </w:pPr>
      <w:r>
        <w:rPr>
          <w:sz w:val="24"/>
        </w:rPr>
        <w:tab/>
        <w:tab/>
        <w:tab/>
        <w:tab/>
        <w:tab/>
        <w:tab/>
        <w:tab/>
        <w:t>Douglas K. Kerner</w:t>
      </w:r>
    </w:p>
    <w:p>
      <w:pPr>
        <w:pStyle w:val="Normal"/>
        <w:ind w:start="5040" w:end="0"/>
        <w:rPr>
          <w:sz w:val="24"/>
        </w:rPr>
      </w:pPr>
      <w:r>
        <w:rPr>
          <w:sz w:val="24"/>
        </w:rPr>
      </w:r>
    </w:p>
    <w:p>
      <w:pPr>
        <w:pStyle w:val="Normal"/>
        <w:ind w:start="5040" w:end="0"/>
        <w:rPr>
          <w:sz w:val="24"/>
        </w:rPr>
      </w:pPr>
      <w:r>
        <w:rPr>
          <w:sz w:val="24"/>
        </w:rPr>
        <w:t>Ellison, Schneider &amp; Harris, LLP</w:t>
      </w:r>
    </w:p>
    <w:p>
      <w:pPr>
        <w:pStyle w:val="Normal"/>
        <w:ind w:start="5040" w:end="0"/>
        <w:rPr>
          <w:sz w:val="24"/>
        </w:rPr>
      </w:pPr>
      <w:r>
        <w:rPr>
          <w:sz w:val="24"/>
        </w:rPr>
        <w:t>2015 H Street</w:t>
      </w:r>
    </w:p>
    <w:p>
      <w:pPr>
        <w:pStyle w:val="Normal"/>
        <w:ind w:start="5040" w:end="0"/>
        <w:rPr>
          <w:sz w:val="24"/>
        </w:rPr>
      </w:pPr>
      <w:r>
        <w:rPr>
          <w:sz w:val="24"/>
        </w:rPr>
        <w:t>Sacramento, California 95814</w:t>
      </w:r>
    </w:p>
    <w:p>
      <w:pPr>
        <w:pStyle w:val="Normal"/>
        <w:ind w:start="5040" w:end="0"/>
        <w:rPr>
          <w:sz w:val="24"/>
        </w:rPr>
      </w:pPr>
      <w:r>
        <w:rPr>
          <w:sz w:val="24"/>
        </w:rPr>
        <w:t>Phone:  (916) 447-2166</w:t>
      </w:r>
    </w:p>
    <w:p>
      <w:pPr>
        <w:pStyle w:val="Normal"/>
        <w:ind w:start="5040" w:end="0"/>
        <w:rPr>
          <w:sz w:val="24"/>
        </w:rPr>
      </w:pPr>
      <w:r>
        <w:rPr>
          <w:sz w:val="24"/>
        </w:rPr>
        <w:t>Fax:  (916) 447-3512</w:t>
      </w:r>
    </w:p>
    <w:p>
      <w:pPr>
        <w:pStyle w:val="Normal"/>
        <w:ind w:start="5040" w:end="0"/>
        <w:rPr>
          <w:sz w:val="24"/>
        </w:rPr>
      </w:pPr>
      <w:r>
        <w:rPr>
          <w:sz w:val="24"/>
        </w:rPr>
      </w:r>
    </w:p>
    <w:p>
      <w:pPr>
        <w:pStyle w:val="Normal"/>
        <w:ind w:start="5040" w:end="0"/>
        <w:rPr>
          <w:sz w:val="24"/>
        </w:rPr>
      </w:pPr>
      <w:r>
        <w:rPr>
          <w:sz w:val="24"/>
        </w:rPr>
        <w:t xml:space="preserve">Attorneys for Independent Energy Producers </w:t>
      </w:r>
    </w:p>
    <w:p>
      <w:pPr>
        <w:pStyle w:val="Normal"/>
        <w:ind w:firstLine="720" w:start="5040" w:end="0"/>
        <w:rPr>
          <w:sz w:val="24"/>
        </w:rPr>
      </w:pPr>
      <w:r>
        <w:rPr>
          <w:sz w:val="24"/>
        </w:rPr>
        <w:t>Association</w:t>
      </w:r>
    </w:p>
    <w:p>
      <w:pPr>
        <w:pStyle w:val="Normal"/>
        <w:rPr>
          <w:sz w:val="24"/>
        </w:rPr>
      </w:pPr>
      <w:r>
        <w:rPr>
          <w:sz w:val="24"/>
        </w:rPr>
        <w:t>Dated: August 16, 2000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0" w:hanging="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2000-09-12T18:03:00Z</dcterms:created>
  <dc:creator>SusanG</dc:creator>
  <dc:description/>
  <dc:language>en-CA</dc:language>
  <cp:lastModifiedBy>SusanG</cp:lastModifiedBy>
  <dcterms:modified xsi:type="dcterms:W3CDTF">2000-09-12T18:07:00Z</dcterms:modified>
  <cp:revision>4</cp:revision>
  <dc:subject/>
  <dc:title>BEFORE THE PUBLIC UTILITIES COMMISSION OF THE STATE OF CALIFORNIA</dc:title>
</cp:coreProperties>
</file>