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jc w:val="center"/>
        <w:rPr>
          <w:b/>
          <w:bCs/>
        </w:rPr>
      </w:pPr>
      <w:r>
        <w:rPr>
          <w:b/>
          <w:bCs/>
        </w:rPr>
        <w:t xml:space="preserve">UNITED STATES OF AMERICA </w:t>
      </w:r>
    </w:p>
    <w:p>
      <w:pPr>
        <w:pStyle w:val="Normal"/>
        <w:ind w:hanging="720" w:start="720" w:end="0"/>
        <w:jc w:val="center"/>
        <w:rPr>
          <w:b/>
          <w:bCs/>
        </w:rPr>
      </w:pPr>
      <w:r>
        <w:rPr>
          <w:b/>
          <w:bCs/>
        </w:rPr>
        <w:t xml:space="preserve">BEFORE THE </w:t>
      </w:r>
    </w:p>
    <w:p>
      <w:pPr>
        <w:pStyle w:val="Normal"/>
        <w:ind w:hanging="720" w:start="720" w:end="0"/>
        <w:jc w:val="center"/>
        <w:rPr>
          <w:b/>
          <w:bCs/>
        </w:rPr>
      </w:pPr>
      <w:r>
        <w:rPr>
          <w:b/>
          <w:bCs/>
        </w:rPr>
        <w:t>FEDERAL ENERGY REGULATORY COMMISSION</w:t>
      </w:r>
    </w:p>
    <w:p>
      <w:pPr>
        <w:pStyle w:val="Normal"/>
        <w:ind w:hanging="720" w:start="720" w:end="0"/>
        <w:rPr>
          <w:b/>
          <w:bCs/>
        </w:rPr>
      </w:pPr>
      <w:r>
        <w:rPr>
          <w:b/>
          <w:bCs/>
        </w:rPr>
      </w:r>
    </w:p>
    <w:p>
      <w:pPr>
        <w:pStyle w:val="Normal"/>
        <w:ind w:hanging="720" w:start="720" w:end="0"/>
        <w:rPr>
          <w:b/>
          <w:bCs/>
        </w:rPr>
      </w:pPr>
      <w:r>
        <w:rPr>
          <w:b/>
          <w:bCs/>
        </w:rPr>
      </w:r>
    </w:p>
    <w:p>
      <w:pPr>
        <w:pStyle w:val="Normal"/>
        <w:tabs>
          <w:tab w:val="clear" w:pos="720"/>
          <w:tab w:val="center" w:pos="4680" w:leader="none"/>
          <w:tab w:val="right" w:pos="9360" w:leader="none"/>
        </w:tabs>
        <w:rPr/>
      </w:pPr>
      <w:r>
        <w:rPr/>
        <w:t>San Diego Gas &amp; Electric Company,</w:t>
        <w:tab/>
        <w:t>)</w:t>
        <w:tab/>
        <w:t>Docket No. EL00-95-000</w:t>
      </w:r>
    </w:p>
    <w:p>
      <w:pPr>
        <w:pStyle w:val="Normal"/>
        <w:tabs>
          <w:tab w:val="clear" w:pos="720"/>
          <w:tab w:val="center" w:pos="4680" w:leader="none"/>
          <w:tab w:val="right" w:pos="9360" w:leader="none"/>
        </w:tabs>
        <w:ind w:firstLine="720" w:end="0"/>
        <w:rPr/>
      </w:pPr>
      <w:r>
        <w:rPr/>
        <w:t>Complainant,</w:t>
        <w:tab/>
        <w:t>)</w:t>
      </w:r>
    </w:p>
    <w:p>
      <w:pPr>
        <w:pStyle w:val="Normal"/>
        <w:tabs>
          <w:tab w:val="clear" w:pos="720"/>
          <w:tab w:val="center" w:pos="4680" w:leader="none"/>
          <w:tab w:val="right" w:pos="9360" w:leader="none"/>
        </w:tabs>
        <w:ind w:firstLine="1440" w:end="0"/>
        <w:rPr/>
      </w:pPr>
      <w:r>
        <w:rPr/>
        <w:t>v.</w:t>
        <w:tab/>
        <w:t>)</w:t>
      </w:r>
    </w:p>
    <w:p>
      <w:pPr>
        <w:pStyle w:val="Normal"/>
        <w:tabs>
          <w:tab w:val="clear" w:pos="720"/>
          <w:tab w:val="center" w:pos="4680" w:leader="none"/>
          <w:tab w:val="right" w:pos="9360" w:leader="none"/>
        </w:tabs>
        <w:rPr/>
      </w:pPr>
      <w:r>
        <w:rPr/>
        <w:t>Sellers of Energy and Ancillary Services,</w:t>
        <w:tab/>
        <w:t>)</w:t>
      </w:r>
    </w:p>
    <w:p>
      <w:pPr>
        <w:pStyle w:val="Normal"/>
        <w:tabs>
          <w:tab w:val="clear" w:pos="720"/>
          <w:tab w:val="center" w:pos="4680" w:leader="none"/>
          <w:tab w:val="right" w:pos="9360" w:leader="none"/>
        </w:tabs>
        <w:ind w:firstLine="720" w:end="0"/>
        <w:rPr/>
      </w:pPr>
      <w:r>
        <w:rPr/>
        <w:t>Respondents.</w:t>
        <w:tab/>
        <w:t>)</w:t>
      </w:r>
    </w:p>
    <w:p>
      <w:pPr>
        <w:pStyle w:val="Normal"/>
        <w:tabs>
          <w:tab w:val="clear" w:pos="720"/>
          <w:tab w:val="center" w:pos="4680" w:leader="none"/>
          <w:tab w:val="right" w:pos="9360" w:leader="none"/>
        </w:tabs>
        <w:rPr/>
      </w:pPr>
      <w:r>
        <w:rPr/>
        <w:tab/>
        <w:t>)</w:t>
      </w:r>
    </w:p>
    <w:p>
      <w:pPr>
        <w:pStyle w:val="Normal"/>
        <w:tabs>
          <w:tab w:val="clear" w:pos="720"/>
          <w:tab w:val="center" w:pos="4680" w:leader="none"/>
          <w:tab w:val="right" w:pos="9360" w:leader="none"/>
        </w:tabs>
        <w:rPr/>
      </w:pPr>
      <w:r>
        <w:rPr/>
        <w:t>Investigation of Practices of the California</w:t>
        <w:tab/>
        <w:t>)</w:t>
        <w:tab/>
        <w:t>Docket No. EL00-98-000</w:t>
      </w:r>
    </w:p>
    <w:p>
      <w:pPr>
        <w:pStyle w:val="Normal"/>
        <w:tabs>
          <w:tab w:val="clear" w:pos="720"/>
          <w:tab w:val="center" w:pos="4680" w:leader="none"/>
          <w:tab w:val="right" w:pos="9360" w:leader="none"/>
        </w:tabs>
        <w:rPr/>
      </w:pPr>
      <w:r>
        <w:rPr/>
        <w:t>Independent System Operator and the</w:t>
        <w:tab/>
        <w:t>)</w:t>
      </w:r>
    </w:p>
    <w:p>
      <w:pPr>
        <w:pStyle w:val="Normal"/>
        <w:tabs>
          <w:tab w:val="clear" w:pos="720"/>
          <w:tab w:val="center" w:pos="4680" w:leader="none"/>
          <w:tab w:val="right" w:pos="9360" w:leader="none"/>
        </w:tabs>
        <w:rPr/>
      </w:pPr>
      <w:r>
        <w:rPr/>
        <w:t>California Power Exchange</w:t>
        <w:tab/>
        <w:t>)</w:t>
      </w:r>
    </w:p>
    <w:p>
      <w:pPr>
        <w:pStyle w:val="Normal"/>
        <w:tabs>
          <w:tab w:val="clear" w:pos="720"/>
          <w:tab w:val="center" w:pos="4680" w:leader="none"/>
          <w:tab w:val="right" w:pos="9360" w:leader="none"/>
        </w:tabs>
        <w:rPr/>
      </w:pPr>
      <w:r>
        <w:rPr/>
        <w:tab/>
        <w:t>)</w:t>
      </w:r>
    </w:p>
    <w:p>
      <w:pPr>
        <w:pStyle w:val="Normal"/>
        <w:tabs>
          <w:tab w:val="clear" w:pos="720"/>
          <w:tab w:val="center" w:pos="4680" w:leader="none"/>
          <w:tab w:val="right" w:pos="9360" w:leader="none"/>
        </w:tabs>
        <w:rPr/>
      </w:pPr>
      <w:r>
        <w:rPr/>
        <w:t xml:space="preserve">Coral Power, L.L.C., </w:t>
      </w:r>
      <w:r>
        <w:rPr>
          <w:i/>
          <w:iCs/>
        </w:rPr>
        <w:t>et al.</w:t>
        <w:tab/>
      </w:r>
      <w:r>
        <w:rPr/>
        <w:t>)</w:t>
      </w:r>
    </w:p>
    <w:p>
      <w:pPr>
        <w:pStyle w:val="Normal"/>
        <w:tabs>
          <w:tab w:val="clear" w:pos="720"/>
          <w:tab w:val="center" w:pos="4680" w:leader="none"/>
          <w:tab w:val="right" w:pos="9360" w:leader="none"/>
        </w:tabs>
        <w:ind w:firstLine="1440" w:end="0"/>
        <w:rPr/>
      </w:pPr>
      <w:r>
        <w:rPr/>
        <w:t>v.</w:t>
        <w:tab/>
        <w:t>)</w:t>
        <w:tab/>
        <w:t>Docket No. EL01-36-000</w:t>
      </w:r>
    </w:p>
    <w:p>
      <w:pPr>
        <w:pStyle w:val="Normal"/>
        <w:tabs>
          <w:tab w:val="clear" w:pos="720"/>
          <w:tab w:val="center" w:pos="4680" w:leader="none"/>
          <w:tab w:val="right" w:pos="9360" w:leader="none"/>
        </w:tabs>
        <w:rPr/>
      </w:pPr>
      <w:r>
        <w:rPr/>
        <w:t>California Power Exchange Corporation</w:t>
        <w:tab/>
        <w:t>)</w:t>
      </w:r>
    </w:p>
    <w:p>
      <w:pPr>
        <w:pStyle w:val="Normal"/>
        <w:tabs>
          <w:tab w:val="clear" w:pos="720"/>
          <w:tab w:val="center" w:pos="4680" w:leader="none"/>
          <w:tab w:val="right" w:pos="9360" w:leader="none"/>
        </w:tabs>
        <w:rPr/>
      </w:pPr>
      <w:r>
        <w:rPr/>
        <w:tab/>
        <w:t>)</w:t>
      </w:r>
    </w:p>
    <w:p>
      <w:pPr>
        <w:pStyle w:val="Normal"/>
        <w:tabs>
          <w:tab w:val="clear" w:pos="720"/>
          <w:tab w:val="center" w:pos="4680" w:leader="none"/>
          <w:tab w:val="right" w:pos="9360" w:leader="none"/>
        </w:tabs>
        <w:rPr/>
      </w:pPr>
      <w:r>
        <w:rPr/>
        <w:t>Salt River Project Agricultural Improvement</w:t>
        <w:tab/>
        <w:t>)</w:t>
      </w:r>
    </w:p>
    <w:p>
      <w:pPr>
        <w:pStyle w:val="Normal"/>
        <w:tabs>
          <w:tab w:val="clear" w:pos="720"/>
          <w:tab w:val="center" w:pos="4680" w:leader="none"/>
          <w:tab w:val="right" w:pos="9360" w:leader="none"/>
        </w:tabs>
        <w:rPr/>
      </w:pPr>
      <w:r>
        <w:rPr/>
        <w:t xml:space="preserve">and Power District, </w:t>
      </w:r>
      <w:r>
        <w:rPr>
          <w:i/>
          <w:iCs/>
        </w:rPr>
        <w:t>et al.</w:t>
      </w:r>
      <w:r>
        <w:rPr/>
        <w:tab/>
        <w:t>)</w:t>
      </w:r>
    </w:p>
    <w:p>
      <w:pPr>
        <w:pStyle w:val="Normal"/>
        <w:tabs>
          <w:tab w:val="clear" w:pos="720"/>
          <w:tab w:val="center" w:pos="4680" w:leader="none"/>
          <w:tab w:val="right" w:pos="9360" w:leader="none"/>
        </w:tabs>
        <w:ind w:firstLine="1440" w:end="0"/>
        <w:rPr/>
      </w:pPr>
      <w:r>
        <w:rPr/>
        <w:t>v.</w:t>
        <w:tab/>
        <w:t>)</w:t>
        <w:tab/>
        <w:t>Docket No. EL01-37-000</w:t>
      </w:r>
    </w:p>
    <w:p>
      <w:pPr>
        <w:pStyle w:val="Normal"/>
        <w:tabs>
          <w:tab w:val="clear" w:pos="720"/>
          <w:tab w:val="center" w:pos="4680" w:leader="none"/>
          <w:tab w:val="right" w:pos="9360" w:leader="none"/>
        </w:tabs>
        <w:rPr/>
      </w:pPr>
      <w:r>
        <w:rPr/>
        <w:t>California Power Exchange Corporation</w:t>
        <w:tab/>
        <w:t>)</w:t>
      </w:r>
    </w:p>
    <w:p>
      <w:pPr>
        <w:pStyle w:val="Normal"/>
        <w:tabs>
          <w:tab w:val="clear" w:pos="720"/>
          <w:tab w:val="center" w:pos="4680" w:leader="none"/>
          <w:tab w:val="right" w:pos="9360" w:leader="none"/>
        </w:tabs>
        <w:rPr/>
      </w:pPr>
      <w:r>
        <w:rPr/>
        <w:tab/>
        <w:t>)</w:t>
      </w:r>
    </w:p>
    <w:p>
      <w:pPr>
        <w:pStyle w:val="Normal"/>
        <w:tabs>
          <w:tab w:val="clear" w:pos="720"/>
          <w:tab w:val="center" w:pos="4680" w:leader="none"/>
          <w:tab w:val="right" w:pos="9360" w:leader="none"/>
        </w:tabs>
        <w:rPr/>
      </w:pPr>
      <w:r>
        <w:rPr/>
        <w:t>Public Service Company of New Mexico</w:t>
        <w:tab/>
        <w:t>)</w:t>
      </w:r>
    </w:p>
    <w:p>
      <w:pPr>
        <w:pStyle w:val="Normal"/>
        <w:tabs>
          <w:tab w:val="clear" w:pos="720"/>
          <w:tab w:val="center" w:pos="4680" w:leader="none"/>
          <w:tab w:val="right" w:pos="9360" w:leader="none"/>
        </w:tabs>
        <w:ind w:firstLine="1440" w:end="0"/>
        <w:rPr/>
      </w:pPr>
      <w:r>
        <w:rPr/>
        <w:t>v.</w:t>
        <w:tab/>
        <w:t>)</w:t>
        <w:tab/>
        <w:t>Docket No. EL01-43-000</w:t>
      </w:r>
    </w:p>
    <w:p>
      <w:pPr>
        <w:pStyle w:val="Normal"/>
        <w:tabs>
          <w:tab w:val="clear" w:pos="720"/>
          <w:tab w:val="center" w:pos="4680" w:leader="none"/>
          <w:tab w:val="right" w:pos="9360" w:leader="none"/>
        </w:tabs>
        <w:rPr/>
      </w:pPr>
      <w:r>
        <w:rPr/>
        <w:t>California Power Exchange Corporation</w:t>
        <w:tab/>
        <w:t>)</w:t>
      </w:r>
    </w:p>
    <w:p>
      <w:pPr>
        <w:pStyle w:val="Normal"/>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r>
    </w:p>
    <w:p>
      <w:pPr>
        <w:pStyle w:val="Normal"/>
        <w:jc w:val="center"/>
        <w:rPr>
          <w:b/>
          <w:bCs/>
        </w:rPr>
      </w:pPr>
      <w:r>
        <w:rPr>
          <w:b/>
          <w:bCs/>
        </w:rPr>
        <w:t>INITIAL COMMENTS OF MIRANT</w:t>
      </w:r>
    </w:p>
    <w:p>
      <w:pPr>
        <w:pStyle w:val="Normal"/>
        <w:jc w:val="center"/>
        <w:rPr>
          <w:b/>
          <w:bCs/>
        </w:rPr>
      </w:pPr>
      <w:r>
        <w:rPr>
          <w:b/>
          <w:bCs/>
        </w:rPr>
        <w:t>ON THE OFFER OF SETTLEMENT OF ISSUES</w:t>
      </w:r>
    </w:p>
    <w:p>
      <w:pPr>
        <w:pStyle w:val="Normal"/>
        <w:jc w:val="center"/>
        <w:rPr>
          <w:b/>
          <w:bCs/>
        </w:rPr>
      </w:pPr>
      <w:r>
        <w:rPr>
          <w:b/>
          <w:bCs/>
        </w:rPr>
        <w:t>AFFECTING THE CALIFORNIA POWER EXCHANGE CORPORATION</w:t>
      </w:r>
    </w:p>
    <w:p>
      <w:pPr>
        <w:pStyle w:val="Normal"/>
        <w:jc w:val="center"/>
        <w:rPr>
          <w:b/>
          <w:bCs/>
        </w:rPr>
      </w:pPr>
      <w:r>
        <w:rPr>
          <w:b/>
          <w:bCs/>
        </w:rPr>
        <w:t xml:space="preserve"> </w:t>
      </w:r>
    </w:p>
    <w:p>
      <w:pPr>
        <w:pStyle w:val="Normal"/>
        <w:spacing w:lineRule="auto" w:line="480"/>
        <w:rPr/>
      </w:pPr>
      <w:r>
        <w:rPr/>
        <w:tab/>
        <w:t>Pursuant to Rule 602(f) of the Commission’s Rules of Practice and Procedure, 18 C.F.R. § 385.602(f) (2001), and the Commission’s October 15, 2001 Notice of Filing, Mirant Americas Energy Marketing, LP, Mirant California, LLC, Mirant Delta, LLC, and Mirant Potrero, LLC (collectively “Mirant”) hereby file these Initial Comments on the Offer of Settlement of Issues Affecting the California Power Exchange (“Offer of Settlement”), filed in the captioned dockets on October 5, 2001, and, in support thereof, state as follows.</w:t>
      </w:r>
    </w:p>
    <w:p>
      <w:pPr>
        <w:pStyle w:val="Heading1"/>
        <w:tabs>
          <w:tab w:val="clear" w:pos="720"/>
          <w:tab w:val="left" w:pos="0" w:leader="none"/>
        </w:tabs>
        <w:ind w:hanging="1440" w:start="1440"/>
        <w:rPr/>
      </w:pPr>
      <w:r>
        <w:rPr/>
        <w:t>background.</w:t>
      </w:r>
    </w:p>
    <w:p>
      <w:pPr>
        <w:pStyle w:val="Normal"/>
        <w:spacing w:lineRule="auto" w:line="480"/>
        <w:rPr/>
      </w:pPr>
      <w:r>
        <w:rPr/>
        <w:tab/>
        <w:t xml:space="preserve">The history of these proceedings leading up to the filing of the Offer of Settlement is well-documented in numerous Commission orders and pleadings, so Mirant will not repeat it here.  On October 5, 2001, the Official Committee of Participant Creditors of the California Power Exchange Corporation (“Creditors Committee”) filed an Offer of Settlement in the captioned dockets seeking Commission approval of certain proposed actions by the bankrupt California Power Exchange Corporation (“PX”) relating to the distribution of remaining funds to creditors.  In short, the Offer of Settlement, </w:t>
      </w:r>
      <w:r>
        <w:rPr>
          <w:i/>
          <w:iCs/>
        </w:rPr>
        <w:t>inter alia</w:t>
      </w:r>
      <w:r>
        <w:rPr/>
        <w:t>, proposes a series of mechanisms to account for the failure of Pacific Gas &amp; Electric Company (“PG&amp;E”) and Southern California Edison Company (“SCE”) to pay their debts to the PX and to distribute the impact of such failure on other participants in the energy markets formerly operated by the PX.</w:t>
      </w:r>
    </w:p>
    <w:p>
      <w:pPr>
        <w:pStyle w:val="Normal"/>
        <w:spacing w:lineRule="auto" w:line="480"/>
        <w:ind w:firstLine="720" w:end="0"/>
        <w:rPr/>
      </w:pPr>
      <w:r>
        <w:rPr/>
        <w:t>Notably, this filing lacks the full support of the Creditors Committee.  Mirant, a member of the Creditors Committee, expressed concern about certain aspects of a similar draft of the Offer of Settlement that had been distributed to Creditors Committee members.  Although a majority of Committee members ultimately authorized the filing of an offer of settlement with the Commission, Mirant is unaware of any Creditors Committee action with regard to the specific version of the Offer of Settlement submitted to the Commission on October 5, 2001.</w:t>
      </w:r>
    </w:p>
    <w:p>
      <w:pPr>
        <w:pStyle w:val="Normal"/>
        <w:spacing w:lineRule="auto" w:line="480"/>
        <w:ind w:firstLine="720" w:end="0"/>
        <w:rPr/>
      </w:pPr>
      <w:r>
        <w:rPr/>
        <w:t>Mirant files these Comments as Mirant is concerned that certain of the Offer of Settlement’s provisions may unfairly favor particular participants over others.  Mirant respectfully requests that the Commission carefully examine the Offer of Settlement and modify it in any manner needed to ensure that it is “fair and reasonable and in the public interest” in accordance with Rule 602(g)(3).  Mirant is continuing to review and evaluate the Offer of Settlement and reserves the right to file additional comments in the future and to fully participate in any future proceedings at the Commission regarding the Offer of Settlement.</w:t>
      </w:r>
    </w:p>
    <w:p>
      <w:pPr>
        <w:pStyle w:val="Heading1"/>
        <w:tabs>
          <w:tab w:val="clear" w:pos="720"/>
          <w:tab w:val="left" w:pos="0" w:leader="none"/>
        </w:tabs>
        <w:ind w:hanging="1440" w:start="1440"/>
        <w:rPr/>
      </w:pPr>
      <w:r>
        <w:rPr/>
        <w:t>comments.</w:t>
      </w:r>
    </w:p>
    <w:p>
      <w:pPr>
        <w:pStyle w:val="Normal"/>
        <w:spacing w:lineRule="auto" w:line="480"/>
        <w:rPr/>
      </w:pPr>
      <w:r>
        <w:rPr/>
        <w:tab/>
        <w:t>Three major aspects of the Offer of Settlement cause concern for Mirant: (a) the Offer of Settlement favors parties who directly paid for their shortfall allocation over those whose allocation was offset against amounts receivable from the PX; (b) the Offer of Settlement modifies the PX’s shortfall allocation methodology in any manner that favors participants who were net buyers when the PX markets ceased operations, over those who where net sellers; and (c) the Offer of Settlement insulates SCE and PG&amp;E from each other’s payment shortfalls to the detriment of other market participants.</w:t>
      </w:r>
    </w:p>
    <w:p>
      <w:pPr>
        <w:pStyle w:val="Normal"/>
        <w:spacing w:lineRule="auto" w:line="480"/>
        <w:ind w:firstLine="720" w:end="0"/>
        <w:rPr/>
      </w:pPr>
      <w:r>
        <w:rPr/>
        <w:t xml:space="preserve">Mirant understands that the overall purpose of the Offer is to revisit the process through which payment shortfalls were allocated by the PX to market participants earlier this year.  Initially, the PX Tariff provided for allocation of shortfalls based on net amounts receivable by participants from the PX, but Amendment No. 18 to the PX Tariff, filed with the Commission in June 2000, changed this approach to one where shortfalls are allocated on a gross sales basis.  Amendment No. 18 was approved by the Commission, effective August 1, 2000.  </w:t>
      </w:r>
      <w:r>
        <w:rPr>
          <w:i/>
          <w:iCs/>
        </w:rPr>
        <w:t>Calif. Power Exch. Corp.</w:t>
      </w:r>
      <w:r>
        <w:rPr/>
        <w:t>, 92 FERC ¶ 61,096 (2000).</w:t>
      </w:r>
    </w:p>
    <w:p>
      <w:pPr>
        <w:pStyle w:val="Normal"/>
        <w:spacing w:lineRule="auto" w:line="480"/>
        <w:ind w:firstLine="720" w:end="0"/>
        <w:rPr/>
      </w:pPr>
      <w:r>
        <w:rPr/>
        <w:t>Shortfalls based on the January 2001 defaults of SCE were allocated to participants using this latter gross sales basis.  Due to problems that purportedly result from such an approach when several large net buyers, like SCE and PG&amp;E default,</w:t>
      </w:r>
      <w:r>
        <w:rPr>
          <w:rStyle w:val="FootnoteCharacters"/>
          <w:rStyle w:val="FootnoteReference"/>
        </w:rPr>
        <w:footnoteReference w:id="2"/>
      </w:r>
      <w:r>
        <w:rPr/>
        <w:t xml:space="preserve"> the Offer of Settlement seeks to revisit this process and reallocate shortfalls using the pre-Amendment No. 18 net receivable methodology.  However, the means used by the Offer of Settlement to accomplishing this task appear inequitable and arbitrary in certain respects.</w:t>
      </w:r>
    </w:p>
    <w:p>
      <w:pPr>
        <w:pStyle w:val="Normal"/>
        <w:spacing w:lineRule="auto" w:line="480"/>
        <w:ind w:firstLine="720" w:end="0"/>
        <w:rPr/>
      </w:pPr>
      <w:r>
        <w:rPr/>
        <w:t>The Offer of Settlement proposes to disburse remaining funds to market participants in a manner that favors certain participants over others.</w:t>
      </w:r>
      <w:r>
        <w:rPr>
          <w:rStyle w:val="FootnoteCharacters"/>
          <w:rStyle w:val="FootnoteReference"/>
        </w:rPr>
        <w:footnoteReference w:id="3"/>
      </w:r>
      <w:r>
        <w:rPr/>
        <w:t xml:space="preserve">  When SCE defaulted in January 2001, its shortfall was allocated to market participants based on the gross sales methodology approved by the Commission in July 2000 and in effect at that time.  Where a participant had net amounts owed to it by the PX during the applicable billing cycle, its share of the shortfall was netted against its gross receipts and, accordingly, it was simply paid less than it was owed based on its sales to the PX.  Where, however, a participant was not due, on net, any funds from the PX during that billing cycle, the PX issued a “shortfall invoice” requiring the participant to directly pay the PX for its share of SCE’s default.</w:t>
      </w:r>
      <w:r>
        <w:rPr>
          <w:rStyle w:val="FootnoteCharacters"/>
          <w:rStyle w:val="FootnoteReference"/>
        </w:rPr>
        <w:footnoteReference w:id="4"/>
      </w:r>
    </w:p>
    <w:p>
      <w:pPr>
        <w:pStyle w:val="Normal"/>
        <w:spacing w:lineRule="auto" w:line="480"/>
        <w:ind w:firstLine="720" w:end="0"/>
        <w:rPr/>
      </w:pPr>
      <w:r>
        <w:rPr/>
        <w:t xml:space="preserve">Although these two types of participants – those who paid their shortfall allocation through receiving less money from the PX and those who paid their shortfall allocation directly – both lost money as a result of SCE’s default, the Offer of Settlement treats them differently.  Specifically, the Offer of Settlement proposes to disburse remaining PX funds to parties who directly paid the PX for their shortfall allocation without similarly returning the shortfall payments made to the PX by participants through offsets against their net receivables.  Participants in the second category can thus expect only a partial recovery of such offsets from the PX, while those in the first category will receive full reimbursement.  </w:t>
      </w:r>
      <w:r>
        <w:rPr>
          <w:i/>
          <w:iCs/>
        </w:rPr>
        <w:t>See</w:t>
      </w:r>
      <w:r>
        <w:rPr/>
        <w:t xml:space="preserve"> Offer of Settlement at 8-9 (¶ 2).  The Offer of Settlement contains no explanation as to why it proposes such an approach.  Indeed, none exists.  Mirant respectfully requests that, in order to ensure that the Offer of Settlement is “fair and reasonable,” </w:t>
      </w:r>
      <w:r>
        <w:rPr>
          <w:i/>
          <w:iCs/>
        </w:rPr>
        <w:t>see</w:t>
      </w:r>
      <w:r>
        <w:rPr/>
        <w:t xml:space="preserve"> Rule 602(g)(3), the Commission require such an offer to treat all parties who suffered shortfall allocations in an equitable manner.</w:t>
      </w:r>
    </w:p>
    <w:p>
      <w:pPr>
        <w:pStyle w:val="Normal"/>
        <w:spacing w:lineRule="auto" w:line="480"/>
        <w:ind w:firstLine="720" w:end="0"/>
        <w:rPr/>
      </w:pPr>
      <w:r>
        <w:rPr/>
        <w:t>The Offer of Settlement also shifts the consequences of the payment defaults of SCE and PG&amp;E to certain PX participants by reapportioning the burden of these defaults based on a net receivables allocation methodology as compared to the gross sales allocation methodology actually in place when these parties defaulted.  This “method difference” will have a significant impact on each participant’s exposure to the defaults of SCE and PG&amp;E and will favor net buyers of PX energy – such as San Diego Gas &amp; Electric Company – over net sellers, such as Mirant.  The Offer of Settlement provides no explanation for this apparently arbitrary shifting of liability.  Accordingly, the Commission should require the Creditors Committee to explain the basis for this change in allocation approach.</w:t>
      </w:r>
    </w:p>
    <w:p>
      <w:pPr>
        <w:pStyle w:val="Normal"/>
        <w:spacing w:lineRule="auto" w:line="480"/>
        <w:ind w:firstLine="720" w:end="0"/>
        <w:rPr/>
      </w:pPr>
      <w:r>
        <w:rPr/>
        <w:t xml:space="preserve">Further, the Offer of Settlement unnecessarily absolves PG&amp;E and SCE for each others’ defaults.  As noted above, the gross sales default allocation methodology holds all sellers fiscally responsible for the defaults of other sellers.  Thus, PG&amp;E was allocated a portion of SCE’s default, just as all other participants were allocated some share of SCE’s default.  Such an approach is appropriate as all sellers should be treated equally.  The Offer of Settlement, however, in its effort to return to a net receivable basis for allocating defaults, absolves PG&amp;E and SCE for each other defaults.  </w:t>
      </w:r>
      <w:r>
        <w:rPr>
          <w:i/>
          <w:iCs/>
        </w:rPr>
        <w:t>See</w:t>
      </w:r>
      <w:r>
        <w:rPr/>
        <w:t xml:space="preserve"> Offer of Settlement at 9 (¶3).  As negative net sellers (</w:t>
      </w:r>
      <w:r>
        <w:rPr>
          <w:i/>
          <w:iCs/>
        </w:rPr>
        <w:t>i.e.</w:t>
      </w:r>
      <w:r>
        <w:rPr/>
        <w:t>, net buyers), SCE and PG&amp;E would not be allocated under the Offer of Settlement any portion of each other’s defaults.</w:t>
      </w:r>
    </w:p>
    <w:p>
      <w:pPr>
        <w:pStyle w:val="Normal"/>
        <w:spacing w:lineRule="auto" w:line="480"/>
        <w:ind w:firstLine="720" w:end="0"/>
        <w:rPr/>
      </w:pPr>
      <w:r>
        <w:rPr/>
        <w:t>Mirant understands that the general purpose of this approach likely is to prevent SCE from falling into bankruptcy and to not add to the financial burden already facing PG&amp;E in its bankruptcy.  In an effort to protect these companies, however, the Offer of Settlement unnecessarily burdens other market participants.  SCE and PG&amp;E are not out of business.  Rather, they continue to operate as large utilities and every effort is being made by the State of California to ensure that they continue as such.  As a result, these companies will, eventually, be able to pay their respective shortfall allocations.  They should not be absolved of such obligations, as the Offer of Settlement would do in an effort to expedite the completion of PX business.</w:t>
      </w:r>
    </w:p>
    <w:p>
      <w:pPr>
        <w:pStyle w:val="Normal"/>
        <w:spacing w:lineRule="auto" w:line="480"/>
        <w:ind w:firstLine="720" w:end="0"/>
        <w:rPr/>
      </w:pPr>
      <w:r>
        <w:rPr/>
        <w:t xml:space="preserve">Although Mirant understands the difficulties that have arisen as a result of the PX’s gross sales shortfall allocation methodology in light of the defaults buy both SCE and PG&amp;E, the present Offer of Settlement does not appropriately remedy the situation.  Rather than allow such questionable aspects of the Offer of Settlement to be implemented, the Commission should order that the PX’s remaining funds be allocated to creditors on a </w:t>
      </w:r>
      <w:r>
        <w:rPr>
          <w:i/>
          <w:iCs/>
        </w:rPr>
        <w:t>pro rata</w:t>
      </w:r>
      <w:r>
        <w:rPr/>
        <w:t xml:space="preserve"> basis based on the amount currently owed by the PX to these creditors.  Such an approach would alleviate Mirant’s concerns regarding the Offer of Settlement yet accomplish the Offer’s intent of expeditiously resolving the issues of how to disburse the PX’s remaining funds.</w:t>
      </w:r>
    </w:p>
    <w:p>
      <w:pPr>
        <w:pStyle w:val="Normal"/>
        <w:spacing w:lineRule="auto" w:line="480"/>
        <w:rPr/>
      </w:pPr>
      <w:r>
        <w:rPr/>
        <w:t xml:space="preserve"> </w:t>
      </w:r>
      <w:r>
        <w:br w:type="page"/>
      </w:r>
    </w:p>
    <w:p>
      <w:pPr>
        <w:pStyle w:val="Heading1"/>
        <w:tabs>
          <w:tab w:val="clear" w:pos="720"/>
          <w:tab w:val="left" w:pos="0" w:leader="none"/>
        </w:tabs>
        <w:ind w:hanging="1440" w:start="1440"/>
        <w:rPr/>
      </w:pPr>
      <w:r>
        <w:rPr/>
        <w:t>CONCLUSION.</w:t>
      </w:r>
    </w:p>
    <w:p>
      <w:pPr>
        <w:pStyle w:val="Normal"/>
        <w:spacing w:lineRule="auto" w:line="480"/>
        <w:ind w:firstLine="720" w:end="0"/>
        <w:rPr/>
      </w:pPr>
      <w:r>
        <w:rPr/>
        <w:t xml:space="preserve">WHEREFORE, for the foregoing reasons, Mirant Americas Energy Marketing, LP, Mirant California, LLC, Mirant Delta, LLC, and Mirant Potrero, LLC respectfully submit the above comments on the Offer of Settlement and reserve the right to participate fully in any future proceedings with respect to the Offer of Settlement.  </w:t>
      </w:r>
    </w:p>
    <w:p>
      <w:pPr>
        <w:pStyle w:val="Normal"/>
        <w:tabs>
          <w:tab w:val="clear" w:pos="720"/>
          <w:tab w:val="left" w:pos="3960" w:leader="none"/>
          <w:tab w:val="left" w:pos="5310" w:leader="none"/>
        </w:tabs>
        <w:ind w:start="3960" w:end="0"/>
        <w:rPr/>
      </w:pPr>
      <w:r>
        <w:rPr/>
        <w:t>Respectfully submitted,</w:t>
      </w:r>
    </w:p>
    <w:p>
      <w:pPr>
        <w:pStyle w:val="Normal"/>
        <w:tabs>
          <w:tab w:val="clear" w:pos="720"/>
          <w:tab w:val="left" w:pos="3960" w:leader="none"/>
          <w:tab w:val="left" w:pos="5310" w:leader="none"/>
        </w:tabs>
        <w:ind w:start="3960" w:end="0"/>
        <w:rPr/>
      </w:pPr>
      <w:r>
        <w:rPr/>
      </w:r>
    </w:p>
    <w:p>
      <w:pPr>
        <w:pStyle w:val="Normal"/>
        <w:tabs>
          <w:tab w:val="clear" w:pos="720"/>
          <w:tab w:val="left" w:pos="3960" w:leader="none"/>
          <w:tab w:val="left" w:pos="5310" w:leader="none"/>
        </w:tabs>
        <w:ind w:start="3960" w:end="0"/>
        <w:rPr/>
      </w:pPr>
      <w:r>
        <w:rPr/>
      </w:r>
    </w:p>
    <w:p>
      <w:pPr>
        <w:pStyle w:val="Normal"/>
        <w:tabs>
          <w:tab w:val="clear" w:pos="720"/>
          <w:tab w:val="left" w:pos="3960" w:leader="none"/>
          <w:tab w:val="left" w:pos="5310" w:leader="none"/>
        </w:tabs>
        <w:ind w:start="3960" w:end="0"/>
        <w:rPr/>
      </w:pPr>
      <w:r>
        <w:rPr/>
      </w:r>
    </w:p>
    <w:p>
      <w:pPr>
        <w:pStyle w:val="Normal"/>
        <w:tabs>
          <w:tab w:val="clear" w:pos="720"/>
          <w:tab w:val="left" w:pos="3960" w:leader="none"/>
          <w:tab w:val="left" w:pos="5310" w:leader="none"/>
        </w:tabs>
        <w:ind w:start="3960" w:end="0"/>
        <w:rPr/>
      </w:pPr>
      <w:r>
        <w:rPr/>
        <w:t>____________________</w:t>
      </w:r>
    </w:p>
    <w:p>
      <w:pPr>
        <w:pStyle w:val="Normal"/>
        <w:tabs>
          <w:tab w:val="clear" w:pos="720"/>
          <w:tab w:val="left" w:pos="3960" w:leader="none"/>
          <w:tab w:val="left" w:pos="5310" w:leader="none"/>
        </w:tabs>
        <w:ind w:start="3960" w:end="0"/>
        <w:rPr/>
      </w:pPr>
      <w:r>
        <w:rPr/>
        <w:t xml:space="preserve">James C. Beh </w:t>
        <w:br/>
        <w:t>Jeffrey M. Jakubiak</w:t>
      </w:r>
    </w:p>
    <w:p>
      <w:pPr>
        <w:pStyle w:val="Normal"/>
        <w:tabs>
          <w:tab w:val="clear" w:pos="720"/>
          <w:tab w:val="left" w:pos="3960" w:leader="none"/>
          <w:tab w:val="left" w:pos="5310" w:leader="none"/>
        </w:tabs>
        <w:ind w:start="3960" w:end="0"/>
        <w:rPr>
          <w:smallCaps/>
        </w:rPr>
      </w:pPr>
      <w:r>
        <w:rPr>
          <w:smallCaps/>
        </w:rPr>
        <w:t>Troutman Sanders LLP</w:t>
      </w:r>
    </w:p>
    <w:p>
      <w:pPr>
        <w:pStyle w:val="Normal"/>
        <w:ind w:start="3960" w:end="0"/>
        <w:rPr/>
      </w:pPr>
      <w:r>
        <w:rPr/>
        <w:t>401 9th Street, N.W., Suite 1000</w:t>
      </w:r>
    </w:p>
    <w:p>
      <w:pPr>
        <w:pStyle w:val="Normal"/>
        <w:tabs>
          <w:tab w:val="clear" w:pos="720"/>
          <w:tab w:val="left" w:pos="5310" w:leader="none"/>
        </w:tabs>
        <w:ind w:start="3960" w:end="0"/>
        <w:rPr/>
      </w:pPr>
      <w:r>
        <w:rPr/>
        <w:t>Washington, D.C. 20004</w:t>
      </w:r>
    </w:p>
    <w:p>
      <w:pPr>
        <w:pStyle w:val="Normal"/>
        <w:tabs>
          <w:tab w:val="clear" w:pos="720"/>
          <w:tab w:val="left" w:pos="3960" w:leader="none"/>
          <w:tab w:val="left" w:pos="5310" w:leader="none"/>
        </w:tabs>
        <w:ind w:start="3960" w:end="0"/>
        <w:rPr/>
      </w:pPr>
      <w:r>
        <w:rPr/>
        <w:t>(202) 274-2950</w:t>
        <w:br/>
        <w:br/>
        <w:t>Debra Raggio Bolton</w:t>
        <w:br/>
        <w:t>Mirant Americas, Inc.</w:t>
        <w:br/>
        <w:t>901 F Street, N.W., Suite 800</w:t>
        <w:br/>
        <w:t>Washington, D.C.  20004</w:t>
        <w:br/>
        <w:t>(202) 585-3809</w:t>
      </w:r>
    </w:p>
    <w:p>
      <w:pPr>
        <w:pStyle w:val="Normal"/>
        <w:tabs>
          <w:tab w:val="clear" w:pos="720"/>
          <w:tab w:val="left" w:pos="3960" w:leader="none"/>
          <w:tab w:val="left" w:pos="5310" w:leader="none"/>
        </w:tabs>
        <w:ind w:start="3960" w:end="0"/>
        <w:rPr/>
      </w:pPr>
      <w:r>
        <w:rPr/>
      </w:r>
    </w:p>
    <w:p>
      <w:pPr>
        <w:pStyle w:val="Normal"/>
        <w:tabs>
          <w:tab w:val="clear" w:pos="720"/>
          <w:tab w:val="left" w:pos="3960" w:leader="none"/>
          <w:tab w:val="left" w:pos="5040" w:leader="none"/>
          <w:tab w:val="left" w:pos="5310" w:leader="none"/>
          <w:tab w:val="left" w:pos="6390" w:leader="none"/>
        </w:tabs>
        <w:ind w:start="3960" w:end="0"/>
        <w:rPr/>
      </w:pPr>
      <w:r>
        <w:rPr/>
        <w:t>Attorneys for</w:t>
      </w:r>
    </w:p>
    <w:p>
      <w:pPr>
        <w:pStyle w:val="Normal"/>
        <w:tabs>
          <w:tab w:val="clear" w:pos="720"/>
          <w:tab w:val="left" w:pos="3960" w:leader="none"/>
          <w:tab w:val="left" w:pos="5310" w:leader="none"/>
          <w:tab w:val="left" w:pos="6390" w:leader="none"/>
        </w:tabs>
        <w:ind w:start="3960" w:end="0"/>
        <w:rPr/>
      </w:pPr>
      <w:r>
        <w:rPr/>
        <w:t>Mirant Americas Energy Marketing, LP,</w:t>
      </w:r>
    </w:p>
    <w:p>
      <w:pPr>
        <w:pStyle w:val="Normal"/>
        <w:tabs>
          <w:tab w:val="clear" w:pos="720"/>
          <w:tab w:val="left" w:pos="3960" w:leader="none"/>
          <w:tab w:val="left" w:pos="5310" w:leader="none"/>
          <w:tab w:val="left" w:pos="6390" w:leader="none"/>
        </w:tabs>
        <w:ind w:start="3960" w:end="0"/>
        <w:rPr/>
      </w:pPr>
      <w:r>
        <w:rPr/>
        <w:t>Mirant California, LLC,</w:t>
      </w:r>
    </w:p>
    <w:p>
      <w:pPr>
        <w:pStyle w:val="Normal"/>
        <w:tabs>
          <w:tab w:val="clear" w:pos="720"/>
          <w:tab w:val="left" w:pos="3960" w:leader="none"/>
          <w:tab w:val="left" w:pos="5310" w:leader="none"/>
          <w:tab w:val="left" w:pos="6390" w:leader="none"/>
        </w:tabs>
        <w:ind w:start="3960" w:end="0"/>
        <w:rPr/>
      </w:pPr>
      <w:r>
        <w:rPr/>
        <w:t>Mirant Delta, LLC, and</w:t>
      </w:r>
    </w:p>
    <w:p>
      <w:pPr>
        <w:pStyle w:val="Normal"/>
        <w:tabs>
          <w:tab w:val="clear" w:pos="720"/>
          <w:tab w:val="left" w:pos="3960" w:leader="none"/>
          <w:tab w:val="left" w:pos="5310" w:leader="none"/>
          <w:tab w:val="left" w:pos="6390" w:leader="none"/>
        </w:tabs>
        <w:ind w:start="3960" w:end="0"/>
        <w:rPr/>
      </w:pPr>
      <w:r>
        <w:rPr/>
        <w:t>Mirant Potrero, LLC</w:t>
      </w:r>
    </w:p>
    <w:p>
      <w:pPr>
        <w:pStyle w:val="Normal"/>
        <w:tabs>
          <w:tab w:val="clear" w:pos="720"/>
          <w:tab w:val="left" w:pos="3960" w:leader="none"/>
          <w:tab w:val="left" w:pos="5310" w:leader="none"/>
          <w:tab w:val="left" w:pos="6390" w:leader="none"/>
        </w:tabs>
        <w:rPr/>
      </w:pPr>
      <w:r>
        <w:rPr/>
      </w:r>
    </w:p>
    <w:p>
      <w:pPr>
        <w:pStyle w:val="Normal"/>
        <w:tabs>
          <w:tab w:val="clear" w:pos="720"/>
          <w:tab w:val="left" w:pos="3960" w:leader="none"/>
          <w:tab w:val="left" w:pos="5310" w:leader="none"/>
          <w:tab w:val="left" w:pos="6390" w:leader="none"/>
        </w:tabs>
        <w:rPr/>
      </w:pPr>
      <w:r>
        <w:rPr/>
        <w:t>Dated: October 25, 2001</w:t>
      </w:r>
    </w:p>
    <w:p>
      <w:pPr>
        <w:pStyle w:val="Normal"/>
        <w:rPr>
          <w:b/>
          <w:bCs/>
          <w:u w:val="single"/>
        </w:rPr>
      </w:pPr>
      <w:r>
        <w:rPr/>
        <w:t xml:space="preserve">Washington, D.C. </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sectPr>
        <w:pStyle w:val="Normal"/>
        <w:rPr>
          <w:b/>
          <w:bCs/>
          <w:u w:val="single"/>
        </w:rPr>
      </w:pPr>
      <w:r>
        <w:rPr>
          <w:b/>
          <w:bCs/>
          <w:u w:val="single"/>
        </w:rPr>
      </w:r>
    </w:p>
    <w:p>
      <w:pPr>
        <w:pStyle w:val="Normal"/>
        <w:jc w:val="center"/>
        <w:rPr>
          <w:b/>
          <w:bCs/>
          <w:u w:val="single"/>
        </w:rPr>
      </w:pPr>
      <w:r>
        <w:rPr>
          <w:b/>
          <w:bCs/>
          <w:u w:val="single"/>
        </w:rPr>
        <w:t>CERTIFICATE OF SERVICE</w:t>
      </w:r>
    </w:p>
    <w:p>
      <w:pPr>
        <w:pStyle w:val="Normal"/>
        <w:jc w:val="both"/>
        <w:rPr/>
      </w:pPr>
      <w:r>
        <w:rPr/>
      </w:r>
    </w:p>
    <w:p>
      <w:pPr>
        <w:pStyle w:val="Normal"/>
        <w:spacing w:lineRule="auto" w:line="480"/>
        <w:ind w:firstLine="720" w:end="0"/>
        <w:rPr/>
      </w:pPr>
      <w:r>
        <w:rPr/>
        <w:t>I hereby certify that I have this day provided for service, by first class mail, of the forgoing document upon each person designated on the official service list compiled by the Secretary in this proceeding.</w:t>
      </w:r>
    </w:p>
    <w:p>
      <w:pPr>
        <w:pStyle w:val="Normal"/>
        <w:spacing w:lineRule="auto" w:line="480"/>
        <w:ind w:firstLine="720" w:end="0"/>
        <w:rPr/>
      </w:pPr>
      <w:r>
        <w:rPr/>
        <w:t>Dated at Washington, D.C., this 25th day of October, 2001.</w:t>
      </w:r>
    </w:p>
    <w:p>
      <w:pPr>
        <w:pStyle w:val="Normal"/>
        <w:spacing w:lineRule="auto" w:line="480"/>
        <w:rPr/>
      </w:pPr>
      <w:r>
        <w:rPr/>
      </w:r>
    </w:p>
    <w:p>
      <w:pPr>
        <w:pStyle w:val="Normal"/>
        <w:rPr/>
      </w:pPr>
      <w:r>
        <w:rPr/>
        <w:tab/>
        <w:tab/>
        <w:tab/>
        <w:tab/>
        <w:tab/>
        <w:t xml:space="preserve">________________________ </w:t>
      </w:r>
    </w:p>
    <w:p>
      <w:pPr>
        <w:pStyle w:val="Normal"/>
        <w:rPr/>
      </w:pPr>
      <w:r>
        <w:rPr/>
        <w:tab/>
        <w:tab/>
        <w:tab/>
        <w:tab/>
        <w:tab/>
        <w:t xml:space="preserve">Jeffrey M. Jakubiak </w:t>
      </w:r>
    </w:p>
    <w:p>
      <w:pPr>
        <w:pStyle w:val="Normal"/>
        <w:ind w:firstLine="720" w:end="0"/>
        <w:rPr/>
      </w:pPr>
      <w:r>
        <w:rPr/>
        <w:tab/>
        <w:tab/>
        <w:tab/>
        <w:tab/>
      </w:r>
      <w:r>
        <w:rPr>
          <w:smallCaps/>
        </w:rPr>
        <w:t>Troutman Sanders LLP</w:t>
      </w:r>
    </w:p>
    <w:p>
      <w:pPr>
        <w:pStyle w:val="Normal"/>
        <w:rPr/>
      </w:pPr>
      <w:r>
        <w:rPr/>
        <w:tab/>
        <w:tab/>
        <w:tab/>
        <w:tab/>
        <w:tab/>
        <w:t>401 9th Street, N.W., Suite 1000</w:t>
      </w:r>
    </w:p>
    <w:p>
      <w:pPr>
        <w:pStyle w:val="Normal"/>
        <w:rPr/>
      </w:pPr>
      <w:r>
        <w:rPr/>
        <w:tab/>
        <w:tab/>
        <w:tab/>
        <w:tab/>
        <w:tab/>
        <w:t>Washington, D.C. 20004</w:t>
      </w:r>
    </w:p>
    <w:p>
      <w:pPr>
        <w:pStyle w:val="Normal"/>
        <w:numPr>
          <w:ilvl w:val="0"/>
          <w:numId w:val="2"/>
        </w:numPr>
        <w:tabs>
          <w:tab w:val="clear" w:pos="720"/>
          <w:tab w:val="left" w:pos="0" w:leader="none"/>
        </w:tabs>
        <w:ind w:hanging="360" w:start="4320" w:end="0"/>
        <w:rPr/>
      </w:pPr>
      <w:r>
        <w:rPr/>
        <w:t>274-2950</w:t>
      </w:r>
    </w:p>
    <w:p>
      <w:pPr>
        <w:pStyle w:val="Normal"/>
        <w:spacing w:lineRule="auto" w:line="480"/>
        <w:rPr/>
      </w:pPr>
      <w:r>
        <w:rPr/>
      </w:r>
    </w:p>
    <w:p>
      <w:pPr>
        <w:pStyle w:val="Normal"/>
        <w:rPr/>
      </w:pPr>
      <w:r>
        <w:rPr/>
      </w:r>
    </w:p>
    <w:p>
      <w:pPr>
        <w:pStyle w:val="Normal"/>
        <w:rPr/>
      </w:pPr>
      <w:r>
        <w:rPr/>
      </w:r>
    </w:p>
    <w:p>
      <w:pPr>
        <w:pStyle w:val="Normal"/>
        <w:rPr/>
      </w:pPr>
      <w:r>
        <w:rPr/>
      </w:r>
    </w:p>
    <w:p>
      <w:pPr>
        <w:pStyle w:val="Normal"/>
        <w:rPr/>
      </w:pPr>
      <w:r>
        <w:rPr/>
      </w:r>
    </w:p>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szCs w:val="14"/>
      </w:rPr>
      <w:fldChar w:fldCharType="begin"/>
    </w:r>
    <w:r>
      <w:rPr>
        <w:sz w:val="14"/>
        <w:szCs w:val="14"/>
      </w:rPr>
      <w:instrText xml:space="preserve"> FILENAME </w:instrText>
    </w:r>
    <w:r>
      <w:rPr>
        <w:sz w:val="14"/>
        <w:szCs w:val="14"/>
      </w:rPr>
      <w:fldChar w:fldCharType="separate"/>
    </w:r>
    <w:r>
      <w:rPr>
        <w:sz w:val="14"/>
        <w:szCs w:val="14"/>
      </w:rPr>
      <w:t>Comments_on_PX_Offer_of_Settlement.DOC</w:t>
    </w:r>
    <w:r>
      <w:rPr>
        <w:sz w:val="14"/>
        <w:szCs w:val="14"/>
      </w:rPr>
      <w:fldChar w:fldCharType="end"/>
    </w:r>
    <w:r>
      <w:rPr/>
      <w:t xml:space="preserve"> </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7</w:t>
                          </w:r>
                          <w:r>
                            <w:rPr>
                              <w:rStyle w:val="PageNumber"/>
                              <w:sz w:val="24"/>
                              <w:szCs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7</w:t>
                    </w:r>
                    <w:r>
                      <w:rPr>
                        <w:rStyle w:val="PageNumber"/>
                        <w:sz w:val="24"/>
                        <w:szCs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szCs w:val="14"/>
      </w:rPr>
      <w:fldChar w:fldCharType="begin"/>
    </w:r>
    <w:r>
      <w:rPr>
        <w:sz w:val="14"/>
        <w:szCs w:val="14"/>
      </w:rPr>
      <w:instrText xml:space="preserve"> FILENAME </w:instrText>
    </w:r>
    <w:r>
      <w:rPr>
        <w:sz w:val="14"/>
        <w:szCs w:val="14"/>
      </w:rPr>
      <w:fldChar w:fldCharType="separate"/>
    </w:r>
    <w:r>
      <w:rPr>
        <w:sz w:val="14"/>
        <w:szCs w:val="14"/>
      </w:rPr>
      <w:t>Comments_on_PX_Offer_of_Settlement.DOC</w:t>
    </w:r>
    <w:r>
      <w:rPr>
        <w:sz w:val="14"/>
        <w:szCs w:val="14"/>
      </w:rPr>
      <w:fldChar w:fldCharType="end"/>
    </w:r>
    <w:r>
      <w:rPr/>
      <w:t xml:space="preserve"> </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ab/>
        <w:t>If two large net buyers default on payments to the PX, such as SCE and PG&amp;E, and the shortfalls from these defaults are allocated based on a gross sales basis, each of the defaulting parties is allocated a portion of the other party’s default which, naturally, they are unable or unwilling to pay.</w:t>
      </w:r>
    </w:p>
  </w:footnote>
  <w:footnote w:id="3">
    <w:p>
      <w:pPr>
        <w:pStyle w:val="FootnoteText"/>
        <w:spacing w:before="0" w:after="240"/>
        <w:rPr/>
      </w:pPr>
      <w:r>
        <w:rPr>
          <w:rStyle w:val="FootnoteCharacters"/>
        </w:rPr>
        <w:footnoteRef/>
      </w:r>
      <w:r>
        <w:rPr/>
        <w:t xml:space="preserve"> </w:t>
      </w:r>
      <w:r>
        <w:rPr/>
        <w:tab/>
        <w:t xml:space="preserve">Indeed, a deficiency in the Offer of Settlement is the absence of any disclosure of the economic impact the proposal will have on each of the participants (or groups of participants) in the PX markets. </w:t>
      </w:r>
    </w:p>
  </w:footnote>
  <w:footnote w:id="4">
    <w:p>
      <w:pPr>
        <w:pStyle w:val="FootnoteText"/>
        <w:spacing w:before="0" w:after="240"/>
        <w:rPr/>
      </w:pPr>
      <w:r>
        <w:rPr>
          <w:rStyle w:val="FootnoteCharacters"/>
        </w:rPr>
        <w:footnoteRef/>
      </w:r>
      <w:r>
        <w:rPr/>
        <w:t xml:space="preserve"> </w:t>
      </w:r>
      <w:r>
        <w:rPr/>
        <w:tab/>
        <w:t>In some instances, Mirant understands, a participant with a net receivables balance did not have its shortfall allocation netted against its receivables but rather, chose to pay the PX directly for its share of the shortfall.  Under the Offer of Settlement, Mirant believes, such a participant would be treated (preferentially) as if it received a “shortfall invoice,” despite the fact that it was similarly situated with other participants who had net receivable balances during that billing cycle.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lowerRoman"/>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20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widowControl/>
      <w:numPr>
        <w:ilvl w:val="0"/>
        <w:numId w:val="1"/>
      </w:numPr>
      <w:tabs>
        <w:tab w:val="clear" w:pos="720"/>
      </w:tabs>
      <w:spacing w:before="0" w:after="240"/>
      <w:ind w:hanging="720" w:start="1440" w:end="0"/>
      <w:outlineLvl w:val="0"/>
    </w:pPr>
    <w:rPr>
      <w:b/>
      <w:bCs/>
      <w:caps/>
      <w:kern w:val="2"/>
    </w:rPr>
  </w:style>
  <w:style w:type="paragraph" w:styleId="Heading2">
    <w:name w:val="heading 2"/>
    <w:basedOn w:val="Heading1"/>
    <w:next w:val="Normal"/>
    <w:qFormat/>
    <w:pPr>
      <w:numPr>
        <w:ilvl w:val="1"/>
        <w:numId w:val="1"/>
      </w:numPr>
      <w:tabs>
        <w:tab w:val="clear" w:pos="720"/>
      </w:tabs>
      <w:ind w:hanging="720" w:start="2160" w:end="0"/>
      <w:outlineLvl w:val="1"/>
    </w:pPr>
    <w:rPr>
      <w:caps w:val="false"/>
      <w:smallCaps w:val="false"/>
    </w:rPr>
  </w:style>
  <w:style w:type="paragraph" w:styleId="Heading3">
    <w:name w:val="heading 3"/>
    <w:basedOn w:val="Heading2"/>
    <w:next w:val="Normal"/>
    <w:qFormat/>
    <w:pPr>
      <w:keepLines/>
      <w:numPr>
        <w:ilvl w:val="2"/>
        <w:numId w:val="1"/>
      </w:numPr>
      <w:tabs>
        <w:tab w:val="clear" w:pos="720"/>
      </w:tabs>
      <w:ind w:hanging="720" w:start="2880" w:end="0"/>
      <w:outlineLvl w:val="2"/>
    </w:pPr>
    <w:rPr/>
  </w:style>
  <w:style w:type="paragraph" w:styleId="Heading4">
    <w:name w:val="heading 4"/>
    <w:basedOn w:val="Heading3"/>
    <w:next w:val="Normal"/>
    <w:qFormat/>
    <w:pPr>
      <w:keepLines/>
      <w:numPr>
        <w:ilvl w:val="3"/>
        <w:numId w:val="1"/>
      </w:numPr>
      <w:tabs>
        <w:tab w:val="clear" w:pos="720"/>
      </w:tabs>
      <w:ind w:hanging="720" w:start="3600" w:end="0"/>
      <w:outlineLvl w:val="3"/>
    </w:pPr>
    <w:rPr/>
  </w:style>
  <w:style w:type="paragraph" w:styleId="Heading5">
    <w:name w:val="heading 5"/>
    <w:basedOn w:val="Heading4"/>
    <w:next w:val="Normal"/>
    <w:qFormat/>
    <w:pPr>
      <w:numPr>
        <w:ilvl w:val="4"/>
        <w:numId w:val="1"/>
      </w:numPr>
      <w:tabs>
        <w:tab w:val="clear" w:pos="720"/>
      </w:tabs>
      <w:ind w:hanging="720" w:start="4320" w:end="0"/>
      <w:outlineLvl w:val="4"/>
    </w:pPr>
    <w:rPr/>
  </w:style>
  <w:style w:type="paragraph" w:styleId="Heading6">
    <w:name w:val="heading 6"/>
    <w:basedOn w:val="Normal"/>
    <w:next w:val="Normal"/>
    <w:qFormat/>
    <w:pPr>
      <w:widowControl/>
      <w:numPr>
        <w:ilvl w:val="5"/>
        <w:numId w:val="1"/>
      </w:numPr>
      <w:tabs>
        <w:tab w:val="clear" w:pos="720"/>
      </w:tabs>
      <w:spacing w:before="240" w:after="60"/>
      <w:ind w:hanging="720" w:start="5040" w:end="0"/>
      <w:outlineLvl w:val="5"/>
    </w:pPr>
    <w:rPr>
      <w:i/>
      <w:iCs/>
      <w:sz w:val="22"/>
      <w:szCs w:val="22"/>
    </w:rPr>
  </w:style>
  <w:style w:type="paragraph" w:styleId="Heading7">
    <w:name w:val="heading 7"/>
    <w:basedOn w:val="Normal"/>
    <w:next w:val="Normal"/>
    <w:qFormat/>
    <w:pPr>
      <w:widowControl/>
      <w:numPr>
        <w:ilvl w:val="6"/>
        <w:numId w:val="1"/>
      </w:numPr>
      <w:tabs>
        <w:tab w:val="clear" w:pos="720"/>
      </w:tabs>
      <w:spacing w:before="240" w:after="60"/>
      <w:ind w:hanging="720" w:start="5760" w:end="0"/>
      <w:outlineLvl w:val="6"/>
    </w:pPr>
    <w:rPr>
      <w:rFonts w:ascii="Arial" w:hAnsi="Arial" w:eastAsia="Arial" w:cs="Arial"/>
      <w:sz w:val="20"/>
      <w:szCs w:val="20"/>
    </w:rPr>
  </w:style>
  <w:style w:type="paragraph" w:styleId="Heading8">
    <w:name w:val="heading 8"/>
    <w:basedOn w:val="Normal"/>
    <w:next w:val="Normal"/>
    <w:qFormat/>
    <w:pPr>
      <w:widowControl/>
      <w:numPr>
        <w:ilvl w:val="7"/>
        <w:numId w:val="1"/>
      </w:numPr>
      <w:tabs>
        <w:tab w:val="clear" w:pos="720"/>
      </w:tabs>
      <w:spacing w:before="240" w:after="60"/>
      <w:ind w:hanging="720" w:start="6480" w:end="0"/>
      <w:outlineLvl w:val="7"/>
    </w:pPr>
    <w:rPr>
      <w:rFonts w:ascii="Arial" w:hAnsi="Arial" w:eastAsia="Arial" w:cs="Arial"/>
      <w:i/>
      <w:iCs/>
      <w:sz w:val="20"/>
      <w:szCs w:val="20"/>
    </w:rPr>
  </w:style>
  <w:style w:type="paragraph" w:styleId="Heading9">
    <w:name w:val="heading 9"/>
    <w:basedOn w:val="Normal"/>
    <w:next w:val="Normal"/>
    <w:qFormat/>
    <w:pPr>
      <w:widowControl/>
      <w:numPr>
        <w:ilvl w:val="8"/>
        <w:numId w:val="1"/>
      </w:numPr>
      <w:tabs>
        <w:tab w:val="clear" w:pos="720"/>
      </w:tabs>
      <w:spacing w:before="240" w:after="60"/>
      <w:ind w:hanging="720" w:start="7200" w:end="0"/>
      <w:outlineLvl w:val="8"/>
    </w:pPr>
    <w:rPr>
      <w:rFonts w:ascii="Arial" w:hAnsi="Arial" w:eastAsia="Arial" w:cs="Arial"/>
      <w:b/>
      <w:bCs/>
      <w:i/>
      <w:iCs/>
      <w:sz w:val="18"/>
      <w:szCs w:val="18"/>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0"/>
      <w:szCs w:val="2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pPr>
    <w:rPr>
      <w:sz w:val="20"/>
      <w:szCs w:val="20"/>
    </w:rPr>
  </w:style>
  <w:style w:type="paragraph" w:styleId="BodyTextIndent">
    <w:name w:val="Body Text Indent"/>
    <w:basedOn w:val="Normal"/>
    <w:pPr>
      <w:spacing w:before="0" w:after="120"/>
      <w:ind w:hanging="0" w:start="360" w:end="0"/>
    </w:pPr>
    <w:rPr/>
  </w:style>
  <w:style w:type="paragraph" w:styleId="DocumentMap">
    <w:name w:val="Document Map"/>
    <w:basedOn w:val="Normal"/>
    <w:qFormat/>
    <w:pPr>
      <w:shd w:fill="000080" w:val="clear"/>
    </w:pPr>
    <w:rPr>
      <w:rFonts w:ascii="Tahoma" w:hAnsi="Tahoma" w:eastAsia="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2001-10-25T15:39:00Z</dcterms:created>
  <dc:creator>JAKUBIJM</dc:creator>
  <dc:description/>
  <dc:language>en-CA</dc:language>
  <cp:lastModifiedBy>JAKUBIJM</cp:lastModifiedBy>
  <cp:lastPrinted>2001-10-25T16:21:00Z</cp:lastPrinted>
  <dcterms:modified xsi:type="dcterms:W3CDTF">2001-10-25T17:51:00Z</dcterms:modified>
  <cp:revision>22</cp:revision>
  <dc:subject/>
  <dc:title>Comments on PX Offer of Settlement</dc:title>
</cp:coreProperties>
</file>