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Comments on Kim &amp; Chang memorandum </w:t>
      </w:r>
    </w:p>
    <w:p>
      <w:pPr>
        <w:pStyle w:val="Normal"/>
        <w:rPr/>
      </w:pPr>
      <w:r>
        <w:rPr/>
      </w:r>
    </w:p>
    <w:p>
      <w:pPr>
        <w:pStyle w:val="Normal"/>
        <w:numPr>
          <w:ilvl w:val="0"/>
          <w:numId w:val="2"/>
        </w:numPr>
        <w:rPr>
          <w:b/>
        </w:rPr>
      </w:pPr>
      <w:r>
        <w:rPr>
          <w:b/>
        </w:rPr>
        <w:t>Paragraph 2 of the Memorandum</w:t>
      </w:r>
    </w:p>
    <w:p>
      <w:pPr>
        <w:pStyle w:val="Normal"/>
        <w:rPr>
          <w:b/>
        </w:rPr>
      </w:pPr>
      <w:r>
        <w:rPr>
          <w:b/>
        </w:rPr>
      </w:r>
    </w:p>
    <w:p>
      <w:pPr>
        <w:pStyle w:val="BodyTextIndent2"/>
        <w:rPr/>
      </w:pPr>
      <w:r>
        <w:rPr/>
        <w:t>(i)</w:t>
        <w:tab/>
        <w:t xml:space="preserve">What are the merits under Korean law of an argument of “mistake” or “misunderstanding of the terms” in regard to a Counterparty who has clicked on the designated space to execute the ETA? </w:t>
      </w:r>
    </w:p>
    <w:p>
      <w:pPr>
        <w:pStyle w:val="Normal"/>
        <w:rPr/>
      </w:pPr>
      <w:r>
        <w:rPr/>
      </w:r>
    </w:p>
    <w:p>
      <w:pPr>
        <w:pStyle w:val="Normal"/>
        <w:numPr>
          <w:ilvl w:val="0"/>
          <w:numId w:val="3"/>
        </w:numPr>
        <w:rPr/>
      </w:pPr>
      <w:r>
        <w:rPr/>
        <w:t>Would it be the Counterparty’s onus to show “mistake” or “misunderstanding of the terms”?</w:t>
      </w:r>
    </w:p>
    <w:p>
      <w:pPr>
        <w:pStyle w:val="Normal"/>
        <w:rPr/>
      </w:pPr>
      <w:r>
        <w:rPr/>
      </w:r>
    </w:p>
    <w:p>
      <w:pPr>
        <w:pStyle w:val="Normal"/>
        <w:numPr>
          <w:ilvl w:val="0"/>
          <w:numId w:val="3"/>
        </w:numPr>
        <w:rPr/>
      </w:pPr>
      <w:r>
        <w:rPr/>
        <w:t>Typically, what type of evidence is required to succeed in an argument of “mistake” or “misunderstanding of the terms” (ie. would it be very difficult to prove)?</w:t>
      </w:r>
    </w:p>
    <w:p>
      <w:pPr>
        <w:pStyle w:val="Normal"/>
        <w:rPr/>
      </w:pPr>
      <w:r>
        <w:rPr/>
      </w:r>
    </w:p>
    <w:p>
      <w:pPr>
        <w:pStyle w:val="Normal"/>
        <w:numPr>
          <w:ilvl w:val="0"/>
          <w:numId w:val="3"/>
        </w:numPr>
        <w:rPr/>
      </w:pPr>
      <w:r>
        <w:rPr/>
        <w:t>What would be the effect on the ETA and/or the relevant trade if such an argument succeeds?</w:t>
      </w:r>
    </w:p>
    <w:p>
      <w:pPr>
        <w:pStyle w:val="Normal"/>
        <w:rPr/>
      </w:pPr>
      <w:r>
        <w:rPr/>
      </w:r>
    </w:p>
    <w:p>
      <w:pPr>
        <w:pStyle w:val="Normal"/>
        <w:ind w:start="720" w:end="0"/>
        <w:rPr/>
      </w:pPr>
      <w:r>
        <w:rPr/>
        <w:t xml:space="preserve"> </w:t>
      </w:r>
      <w:r>
        <w:rPr/>
        <w:t>In answering the above questions, please note that after the ETA is agreed to, the Counterparty still has to click again (on a separately designated space) in order to do a trade.</w:t>
      </w:r>
    </w:p>
    <w:p>
      <w:pPr>
        <w:pStyle w:val="Normal"/>
        <w:ind w:start="720" w:end="0"/>
        <w:rPr/>
      </w:pPr>
      <w:r>
        <w:rPr/>
      </w:r>
    </w:p>
    <w:p>
      <w:pPr>
        <w:pStyle w:val="Normal"/>
        <w:ind w:start="720" w:end="0"/>
        <w:rPr/>
      </w:pPr>
      <w:r>
        <w:rPr/>
      </w:r>
    </w:p>
    <w:p>
      <w:pPr>
        <w:pStyle w:val="Normal"/>
        <w:numPr>
          <w:ilvl w:val="0"/>
          <w:numId w:val="2"/>
        </w:numPr>
        <w:rPr>
          <w:b/>
        </w:rPr>
      </w:pPr>
      <w:r>
        <w:rPr>
          <w:b/>
        </w:rPr>
        <w:t>Paragraph 5 of the Memorandum</w:t>
      </w:r>
    </w:p>
    <w:p>
      <w:pPr>
        <w:pStyle w:val="Normal"/>
        <w:rPr>
          <w:b/>
        </w:rPr>
      </w:pPr>
      <w:r>
        <w:rPr>
          <w:b/>
        </w:rPr>
      </w:r>
    </w:p>
    <w:p>
      <w:pPr>
        <w:pStyle w:val="Normal"/>
        <w:ind w:firstLine="720" w:end="0"/>
        <w:rPr>
          <w:u w:val="single"/>
        </w:rPr>
      </w:pPr>
      <w:r>
        <w:rPr>
          <w:u w:val="single"/>
        </w:rPr>
        <w:t>Clause 2(b) of the ETA – “resultant information”</w:t>
      </w:r>
    </w:p>
    <w:p>
      <w:pPr>
        <w:pStyle w:val="Normal"/>
        <w:rPr>
          <w:u w:val="single"/>
        </w:rPr>
      </w:pPr>
      <w:r>
        <w:rPr>
          <w:u w:val="single"/>
        </w:rPr>
      </w:r>
    </w:p>
    <w:p>
      <w:pPr>
        <w:pStyle w:val="Normal"/>
        <w:ind w:start="720" w:end="0"/>
        <w:rPr/>
      </w:pPr>
      <w:r>
        <w:rPr/>
        <w:t>As drafted, Clause 2(b) is intended to be consent by the Counterparty for Enron to use any “resultant information”. If this is not sufficient for the purposes of Article 13 of the ETBL, would express reference to the Counterparty’s consent be sufficient (eg. “The Copunterparty hereby expressly consents to Enron’s utilization of any resultant information”)?</w:t>
      </w:r>
    </w:p>
    <w:p>
      <w:pPr>
        <w:pStyle w:val="Normal"/>
        <w:ind w:start="720" w:end="0"/>
        <w:rPr/>
      </w:pPr>
      <w:r>
        <w:rPr/>
      </w:r>
    </w:p>
    <w:p>
      <w:pPr>
        <w:pStyle w:val="BodyTextIndent"/>
        <w:rPr/>
      </w:pPr>
      <w:r>
        <w:rPr/>
        <w:t>Clause 3(a) of the ETA – “(regardless of whether Counterparty actually ‘clicks’ on the designated space or views such information)”</w:t>
      </w:r>
    </w:p>
    <w:p>
      <w:pPr>
        <w:pStyle w:val="Normal"/>
        <w:ind w:start="720" w:end="0"/>
        <w:rPr/>
      </w:pPr>
      <w:r>
        <w:rPr/>
      </w:r>
    </w:p>
    <w:p>
      <w:pPr>
        <w:pStyle w:val="Normal"/>
        <w:ind w:start="720" w:end="0"/>
        <w:rPr/>
      </w:pPr>
      <w:r>
        <w:rPr/>
        <w:t>Please allow us to clarify. The information referred to in this clause relates to descriptions of the relevant product to be traded. It is foreseeable that Counterparties already know the product and therefore feel no need to view the product descriptions or may view the descriptions for the first trade but not subsequent trades. The concept therefore is no different from trading by conventional means (ie. phone and fax) wherein it would not be possible to ensure that the Counterparty has read and if read, fully understand the terms. A certain level of sophistication is typically assumed in the industry.</w:t>
      </w:r>
    </w:p>
    <w:p>
      <w:pPr>
        <w:pStyle w:val="Normal"/>
        <w:ind w:start="720" w:end="0"/>
        <w:rPr/>
      </w:pPr>
      <w:r>
        <w:rPr/>
      </w:r>
    </w:p>
    <w:p>
      <w:pPr>
        <w:pStyle w:val="Normal"/>
        <w:ind w:start="720" w:end="0"/>
        <w:rPr/>
      </w:pPr>
      <w:r>
        <w:rPr/>
        <w:t>In the circumstances, is it realistically possible for a Counterparty to argue that it did not know the nature of the product when it actively “clicks” on the designated space to trade it?</w:t>
      </w:r>
    </w:p>
    <w:p>
      <w:pPr>
        <w:pStyle w:val="Normal"/>
        <w:ind w:start="720" w:end="0"/>
        <w:rPr/>
      </w:pPr>
      <w:r>
        <w:rPr/>
      </w:r>
    </w:p>
    <w:p>
      <w:pPr>
        <w:pStyle w:val="BodyTextIndent"/>
        <w:rPr/>
      </w:pPr>
      <w:r>
        <w:rPr/>
        <w:t>Clause 3(e) of the ETA – “confirmation shall be valid and binding on Counterparty  unless objected to within three business days of the date of transmission thereof”</w:t>
      </w:r>
    </w:p>
    <w:p>
      <w:pPr>
        <w:pStyle w:val="Normal"/>
        <w:ind w:start="720" w:end="0"/>
        <w:rPr/>
      </w:pPr>
      <w:r>
        <w:rPr/>
      </w:r>
    </w:p>
    <w:p>
      <w:pPr>
        <w:pStyle w:val="Normal"/>
        <w:ind w:start="720" w:end="0"/>
        <w:rPr/>
      </w:pPr>
      <w:r>
        <w:rPr/>
        <w:t>Would repetition of the same or substantially the same language in the confirmation for each trade (in addition to the ETA) be sufficient to constitute a separate notice for the purposes of Article 12(1) of SCRL?</w:t>
      </w:r>
    </w:p>
    <w:p>
      <w:pPr>
        <w:pStyle w:val="Normal"/>
        <w:ind w:start="720" w:end="0"/>
        <w:rPr/>
      </w:pPr>
      <w:r>
        <w:rPr/>
      </w:r>
    </w:p>
    <w:p>
      <w:pPr>
        <w:pStyle w:val="Heading2"/>
        <w:rPr/>
      </w:pPr>
      <w:r>
        <w:rPr/>
        <w:t>Clause 4(a) of the ETA – Limitation of Liability; Indemnity</w:t>
      </w:r>
    </w:p>
    <w:p>
      <w:pPr>
        <w:pStyle w:val="Normal"/>
        <w:ind w:start="720" w:end="0"/>
        <w:rPr/>
      </w:pPr>
      <w:r>
        <w:rPr/>
      </w:r>
    </w:p>
    <w:p>
      <w:pPr>
        <w:pStyle w:val="Normal"/>
        <w:ind w:start="720" w:end="0"/>
        <w:rPr/>
      </w:pPr>
      <w:r>
        <w:rPr/>
        <w:t>Clause 4(a) as drafted does not expressly exclude “gross negligence” or “intentional wrongdoing”. How would the operation of Article 7 of the SCRL impact on the clause (ie. will the whole clause be invalid/void or will it be read not to exclude “gross negligence” and “intentional wrongdoing”)?</w:t>
      </w:r>
    </w:p>
    <w:p>
      <w:pPr>
        <w:pStyle w:val="Normal"/>
        <w:ind w:start="720" w:end="0"/>
        <w:rPr/>
      </w:pPr>
      <w:r>
        <w:rPr/>
      </w:r>
    </w:p>
    <w:p>
      <w:pPr>
        <w:pStyle w:val="BodyTextIndent"/>
        <w:rPr/>
      </w:pPr>
      <w:r>
        <w:rPr/>
        <w:t>Clause 6(e) of the ETA – “General” : notices received immediately upon transmission of the electronic mail message</w:t>
      </w:r>
    </w:p>
    <w:p>
      <w:pPr>
        <w:pStyle w:val="Normal"/>
        <w:ind w:start="720" w:end="0"/>
        <w:rPr/>
      </w:pPr>
      <w:r>
        <w:rPr/>
      </w:r>
    </w:p>
    <w:p>
      <w:pPr>
        <w:pStyle w:val="Normal"/>
        <w:ind w:start="720" w:end="0"/>
        <w:rPr/>
      </w:pPr>
      <w:r>
        <w:rPr/>
        <w:t xml:space="preserve">Whilst is may be possible to have evidence that an electronic message has been sent, it seems to us very difficult, if not impossible to verify that the message has been received by the Counterparty. </w:t>
      </w:r>
    </w:p>
    <w:p>
      <w:pPr>
        <w:pStyle w:val="Normal"/>
        <w:ind w:start="720" w:end="0"/>
        <w:rPr/>
      </w:pPr>
      <w:r>
        <w:rPr/>
      </w:r>
    </w:p>
    <w:p>
      <w:pPr>
        <w:pStyle w:val="Normal"/>
        <w:ind w:start="720" w:end="0"/>
        <w:rPr/>
      </w:pPr>
      <w:r>
        <w:rPr/>
        <w:t xml:space="preserve">Further, you refer to “input into the computer designated by the receiver”. Does this mean Enron has to enquire of the receiver which computers have been designated to trade EnronOnline and ensure messages are only received by these designated computers? </w:t>
      </w:r>
    </w:p>
    <w:p>
      <w:pPr>
        <w:pStyle w:val="Normal"/>
        <w:ind w:start="720" w:end="0"/>
        <w:rPr/>
      </w:pPr>
      <w:r>
        <w:rPr/>
      </w:r>
    </w:p>
    <w:p>
      <w:pPr>
        <w:pStyle w:val="Normal"/>
        <w:ind w:start="720" w:end="0"/>
        <w:rPr/>
      </w:pPr>
      <w:r>
        <w:rPr/>
        <w:t>Please advise how ensuring receipt by designated computers is achieved in Korea.</w:t>
      </w:r>
    </w:p>
    <w:p>
      <w:pPr>
        <w:pStyle w:val="Normal"/>
        <w:ind w:start="720" w:end="0"/>
        <w:rPr/>
      </w:pPr>
      <w:r>
        <w:rPr/>
      </w:r>
    </w:p>
    <w:p>
      <w:pPr>
        <w:pStyle w:val="Normal"/>
        <w:ind w:start="720" w:end="0"/>
        <w:rPr>
          <w:u w:val="single"/>
        </w:rPr>
      </w:pPr>
      <w:r>
        <w:rPr>
          <w:u w:val="single"/>
        </w:rPr>
        <w:t>ASSUMPTIONS: (e)</w:t>
      </w:r>
    </w:p>
    <w:p>
      <w:pPr>
        <w:pStyle w:val="Normal"/>
        <w:ind w:start="720" w:end="0"/>
        <w:rPr/>
      </w:pPr>
      <w:r>
        <w:rPr/>
        <w:t xml:space="preserve"> </w:t>
      </w:r>
      <w:r>
        <w:rPr/>
        <w:t>We note your advice on item 4 that apart from approval required for the transaction itself, no consent, approval or license is required for trading on EnronOnline.</w:t>
      </w:r>
    </w:p>
    <w:p>
      <w:pPr>
        <w:pStyle w:val="Normal"/>
        <w:ind w:start="720" w:end="0"/>
        <w:rPr/>
      </w:pPr>
      <w:r>
        <w:rPr/>
      </w:r>
    </w:p>
    <w:p>
      <w:pPr>
        <w:pStyle w:val="Normal"/>
        <w:ind w:start="720" w:end="0"/>
        <w:rPr/>
      </w:pPr>
      <w:r>
        <w:rPr/>
        <w:t>Accordingly, please confirm that Assumption (e) should be deleted.</w:t>
      </w:r>
    </w:p>
    <w:p>
      <w:pPr>
        <w:pStyle w:val="Normal"/>
        <w:ind w:start="720" w:end="0"/>
        <w:rPr/>
      </w:pPr>
      <w:r>
        <w:rPr/>
      </w:r>
    </w:p>
    <w:p>
      <w:pPr>
        <w:pStyle w:val="Normal"/>
        <w:rPr>
          <w:b/>
        </w:rPr>
      </w:pPr>
      <w:r>
        <w:rPr>
          <w:b/>
        </w:rPr>
        <w:t>3.</w:t>
        <w:tab/>
        <w:t>Enforcement of Foreign Arbitration Award/Judgment</w:t>
      </w:r>
    </w:p>
    <w:p>
      <w:pPr>
        <w:pStyle w:val="Normal"/>
        <w:rPr>
          <w:b/>
        </w:rPr>
      </w:pPr>
      <w:r>
        <w:rPr>
          <w:b/>
        </w:rPr>
      </w:r>
    </w:p>
    <w:p>
      <w:pPr>
        <w:pStyle w:val="Normal"/>
        <w:rPr/>
      </w:pPr>
      <w:r>
        <w:rPr/>
        <w:t>The ETA would be governed by New York law with arbitration in New York. Similarly, the actual trade is likely to be governed by Australian, English or New York laws with submission to arbitration/courts in those respective jurisdictions.</w:t>
      </w:r>
    </w:p>
    <w:p>
      <w:pPr>
        <w:pStyle w:val="Normal"/>
        <w:ind w:start="720" w:end="0"/>
        <w:rPr/>
      </w:pPr>
      <w:r>
        <w:rPr/>
      </w:r>
    </w:p>
    <w:p>
      <w:pPr>
        <w:pStyle w:val="Normal"/>
        <w:rPr/>
      </w:pPr>
      <w:r>
        <w:rPr/>
        <w:t>Assuming arbitration is the mode of dispute settlement, I understand Korea is a signatory to the New York Convention and therefore arbitration awards from other member countries are enforceable in Korea.</w:t>
      </w:r>
    </w:p>
    <w:p>
      <w:pPr>
        <w:pStyle w:val="Normal"/>
        <w:ind w:start="720" w:end="0"/>
        <w:rPr/>
      </w:pPr>
      <w:r>
        <w:rPr/>
      </w:r>
    </w:p>
    <w:p>
      <w:pPr>
        <w:pStyle w:val="Normal"/>
        <w:rPr/>
      </w:pPr>
      <w:r>
        <w:rPr/>
        <w:t xml:space="preserve">As such, can such an argument of  “mistake” or “misunderstanding of the terms” be canvassed at the enforcement proceedings in Korea to defeat the enforcement of the award? </w:t>
      </w:r>
    </w:p>
    <w:p>
      <w:pPr>
        <w:pStyle w:val="Normal"/>
        <w:ind w:start="720" w:end="0"/>
        <w:rPr/>
      </w:pPr>
      <w:r>
        <w:rPr/>
      </w:r>
    </w:p>
    <w:p>
      <w:pPr>
        <w:pStyle w:val="Normal"/>
        <w:rPr/>
      </w:pPr>
      <w:r>
        <w:rPr/>
        <w:t>Would the issues you have raised on the various provisions of the ETBL and SCRL be relevant at the enforcement proceedings in Korea to defeat the enforcement of the award?</w:t>
      </w:r>
    </w:p>
    <w:p>
      <w:pPr>
        <w:pStyle w:val="Normal"/>
        <w:ind w:start="720" w:end="0"/>
        <w:rPr/>
      </w:pPr>
      <w:r>
        <w:rPr/>
      </w:r>
    </w:p>
    <w:p>
      <w:pPr>
        <w:pStyle w:val="Normal"/>
        <w:rPr/>
      </w:pPr>
      <w:r>
        <w:rPr/>
        <w:t>Would your answer be different if it were an enforcement in Korea of a foreign judgment for Australia, England or the United States (assuming sufficient nexus with the relevant jurisdiction)?</w:t>
      </w:r>
    </w:p>
    <w:p>
      <w:pPr>
        <w:pStyle w:val="Normal"/>
        <w:rPr>
          <w:u w:val="single"/>
        </w:rPr>
      </w:pPr>
      <w:r>
        <w:rPr>
          <w:u w:val="single"/>
        </w:rPr>
      </w:r>
    </w:p>
    <w:p>
      <w:pPr>
        <w:pStyle w:val="Normal"/>
        <w:numPr>
          <w:ilvl w:val="0"/>
          <w:numId w:val="4"/>
        </w:numPr>
        <w:rPr>
          <w:b/>
        </w:rPr>
      </w:pPr>
      <w:r>
        <w:rPr>
          <w:b/>
        </w:rPr>
        <w:t>Weather Derivatives :Permissability</w:t>
      </w:r>
    </w:p>
    <w:p>
      <w:pPr>
        <w:pStyle w:val="Normal"/>
        <w:rPr>
          <w:b/>
        </w:rPr>
      </w:pPr>
      <w:r>
        <w:rPr>
          <w:b/>
        </w:rPr>
      </w:r>
    </w:p>
    <w:p>
      <w:pPr>
        <w:pStyle w:val="BodyText"/>
        <w:rPr/>
      </w:pPr>
      <w:r>
        <w:rPr/>
        <w:t xml:space="preserve">[Kindly proceed to determine with the relevant Korean regulators whether Weather Dervatives will be treated as an OTC commodity derivative transaction for the purpose of the FETR or otherwise.] </w:t>
      </w:r>
    </w:p>
    <w:p>
      <w:pPr>
        <w:pStyle w:val="Normal"/>
        <w:rPr/>
      </w:pPr>
      <w:r>
        <w:rPr/>
      </w:r>
    </w:p>
    <w:p>
      <w:pPr>
        <w:pStyle w:val="Heading3"/>
        <w:numPr>
          <w:ilvl w:val="0"/>
          <w:numId w:val="4"/>
        </w:numPr>
        <w:rPr>
          <w:b/>
          <w:u w:val="none"/>
        </w:rPr>
      </w:pPr>
      <w:r>
        <w:rPr>
          <w:b/>
          <w:u w:val="none"/>
        </w:rPr>
        <w:t>Set-Off</w:t>
      </w:r>
    </w:p>
    <w:p>
      <w:pPr>
        <w:pStyle w:val="Normal"/>
        <w:rPr>
          <w:b/>
          <w:u w:val="none"/>
        </w:rPr>
      </w:pPr>
      <w:r>
        <w:rPr>
          <w:b/>
          <w:u w:val="none"/>
        </w:rPr>
      </w:r>
    </w:p>
    <w:p>
      <w:pPr>
        <w:pStyle w:val="Normal"/>
        <w:rPr/>
      </w:pPr>
      <w:r>
        <w:rPr/>
        <w:t xml:space="preserve">We note your advice that a report (for commodity derivatives to the Bank of Korea is required for a set-off provision/agreement relating to all derivative transactions. Would this be for each trade done or will a report of the relevant GTCs be sufficient? We note your advice that failure to make a report to the Bank of Korea means the Counterparty would not be able to remit funds for payment. Please explain how this would impact set-off provisions which contemplate only the remittance of a net amount (which presumably requires a prior report). </w:t>
      </w:r>
    </w:p>
    <w:p>
      <w:pPr>
        <w:pStyle w:val="Normal"/>
        <w:rPr/>
      </w:pPr>
      <w:r>
        <w:rPr/>
      </w:r>
    </w:p>
    <w:p>
      <w:pPr>
        <w:pStyle w:val="Normal"/>
        <w:rPr/>
      </w:pPr>
      <w:r>
        <w:rPr/>
      </w:r>
    </w:p>
    <w:p>
      <w:pPr>
        <w:pStyle w:val="Normal"/>
        <w:rPr/>
      </w:pPr>
      <w:r>
        <w:rPr/>
      </w:r>
    </w:p>
    <w:p>
      <w:pPr>
        <w:pStyle w:val="Normal"/>
        <w:rPr/>
      </w:pPr>
      <w:r>
        <w:rPr/>
        <w:t>_____ end________</w:t>
      </w:r>
    </w:p>
    <w:p>
      <w:pPr>
        <w:pStyle w:val="Normal"/>
        <w:rPr/>
      </w:pPr>
      <w:r>
        <w:rPr/>
      </w:r>
    </w:p>
    <w:p>
      <w:pPr>
        <w:pStyle w:val="Normal"/>
        <w:rPr/>
      </w:pPr>
      <w:r>
        <w:rPr/>
      </w:r>
    </w:p>
    <w:p>
      <w:pPr>
        <w:pStyle w:val="Normal"/>
        <w:rPr/>
      </w:pPr>
      <w:r>
        <w:rPr/>
      </w:r>
    </w:p>
    <w:p>
      <w:pPr>
        <w:pStyle w:val="Normal"/>
        <w:rPr/>
      </w:pPr>
      <w:r>
        <w:rPr/>
      </w:r>
    </w:p>
    <w:p>
      <w:pPr>
        <w:pStyle w:val="Normal"/>
        <w:ind w:start="720" w:end="0"/>
        <w:rPr>
          <w:u w:val="single"/>
        </w:rPr>
      </w:pPr>
      <w:r>
        <w:rPr>
          <w:u w:val="single"/>
        </w:rPr>
      </w:r>
    </w:p>
    <w:p>
      <w:pPr>
        <w:pStyle w:val="Normal"/>
        <w:rPr>
          <w:u w:val="single"/>
        </w:rPr>
      </w:pPr>
      <w:r>
        <w:rPr>
          <w:u w:val="single"/>
        </w:rPr>
      </w:r>
    </w:p>
    <w:p>
      <w:pPr>
        <w:pStyle w:val="Normal"/>
        <w:ind w:start="720" w:end="0"/>
        <w:rPr/>
      </w:pPr>
      <w:r>
        <w:rPr/>
      </w:r>
    </w:p>
    <w:p>
      <w:pPr>
        <w:pStyle w:val="Normal"/>
        <w:ind w:start="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4"/>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paragraph" w:styleId="Heading2">
    <w:name w:val="heading 2"/>
    <w:basedOn w:val="Normal"/>
    <w:next w:val="Normal"/>
    <w:qFormat/>
    <w:pPr>
      <w:keepNext w:val="true"/>
      <w:numPr>
        <w:ilvl w:val="1"/>
        <w:numId w:val="1"/>
      </w:numPr>
      <w:ind w:hanging="0" w:start="720" w:end="0"/>
      <w:outlineLvl w:val="1"/>
    </w:pPr>
    <w:rPr>
      <w:u w:val="single"/>
    </w:rPr>
  </w:style>
  <w:style w:type="paragraph" w:styleId="Heading3">
    <w:name w:val="heading 3"/>
    <w:basedOn w:val="Normal"/>
    <w:next w:val="Normal"/>
    <w:qFormat/>
    <w:pPr>
      <w:keepNext w:val="true"/>
      <w:numPr>
        <w:ilvl w:val="2"/>
        <w:numId w:val="1"/>
      </w:numPr>
      <w:outlineLvl w:val="2"/>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u w:val="single"/>
    </w:rPr>
  </w:style>
  <w:style w:type="paragraph" w:styleId="BodyTextIndent2">
    <w:name w:val="Body Text Indent 2"/>
    <w:basedOn w:val="Normal"/>
    <w:qFormat/>
    <w:pPr>
      <w:tabs>
        <w:tab w:val="clear" w:pos="720"/>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2000-07-20T00:25:00Z</dcterms:created>
  <dc:creator>Enron</dc:creator>
  <dc:description/>
  <dc:language>en-CA</dc:language>
  <cp:lastModifiedBy>Enron</cp:lastModifiedBy>
  <dcterms:modified xsi:type="dcterms:W3CDTF">2000-07-20T04:55:00Z</dcterms:modified>
  <cp:revision>20</cp:revision>
  <dc:subject/>
  <dc:title>Comments on Kim &amp; Chang memo </dc:title>
</cp:coreProperties>
</file>