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ind w:start="-360" w:end="-360"/>
        <w:rPr/>
      </w:pPr>
      <w:r>
        <w:rPr/>
        <w:t>BEFORE THE PUBLIC UTILITIES COMMISSION</w:t>
      </w:r>
    </w:p>
    <w:p>
      <w:pPr>
        <w:pStyle w:val="Heading"/>
        <w:widowControl/>
        <w:ind w:start="-360" w:end="-360"/>
        <w:rPr>
          <w:b w:val="false"/>
          <w:bCs w:val="false"/>
        </w:rPr>
      </w:pPr>
      <w:r>
        <w:rPr/>
        <w:t>OF THE STATE OF CALIFORNIA</w:t>
      </w:r>
    </w:p>
    <w:p>
      <w:pPr>
        <w:pStyle w:val="Heading"/>
        <w:widowControl/>
        <w:ind w:start="-360" w:end="-360"/>
        <w:rPr>
          <w:b w:val="false"/>
          <w:bCs w:val="false"/>
        </w:rPr>
      </w:pPr>
      <w:r>
        <w:rPr>
          <w:b w:val="false"/>
          <w:bCs w:val="false"/>
        </w:rPr>
      </w:r>
    </w:p>
    <w:p>
      <w:pPr>
        <w:pStyle w:val="Heading"/>
        <w:widowControl/>
        <w:ind w:start="-360" w:end="-360"/>
        <w:rPr>
          <w:b w:val="false"/>
          <w:bCs w:val="false"/>
        </w:rPr>
      </w:pPr>
      <w:r>
        <w:rPr>
          <w:b w:val="false"/>
          <w:bCs w:val="false"/>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6" w:space="0" w:color="000000"/>
              <w:start w:val="dashed" w:sz="6" w:space="0" w:color="auto"/>
              <w:bottom w:val="single" w:sz="6" w:space="0" w:color="000000"/>
              <w:end w:val="dashed" w:sz="6" w:space="0" w:color="auto"/>
            </w:tcBorders>
          </w:tcPr>
          <w:p>
            <w:pPr>
              <w:pStyle w:val="Footer"/>
              <w:widowControl/>
              <w:snapToGrid w:val="false"/>
              <w:rPr/>
            </w:pPr>
            <w:r>
              <w:rPr/>
            </w:r>
          </w:p>
          <w:p>
            <w:pPr>
              <w:pStyle w:val="Footer"/>
              <w:widowControl/>
              <w:rPr/>
            </w:pPr>
            <w:r>
              <w:rPr/>
              <w:t>In the Matter of the Revenue Adjustment Proceeding (RAP) application of San Diego Gas and Electric Company (U 902-E) for approval of a PX Credit and Related Computations.</w:t>
            </w:r>
          </w:p>
          <w:p>
            <w:pPr>
              <w:pStyle w:val="Footer"/>
              <w:widowControl/>
              <w:rPr/>
            </w:pPr>
            <w:r>
              <w:rPr/>
            </w:r>
          </w:p>
        </w:tc>
        <w:tc>
          <w:tcPr>
            <w:tcW w:w="4428" w:type="dxa"/>
            <w:tcBorders>
              <w:top w:val="dashed" w:sz="6" w:space="0" w:color="auto"/>
              <w:start w:val="single" w:sz="6" w:space="0" w:color="000000"/>
              <w:bottom w:val="dashed" w:sz="6" w:space="0" w:color="auto"/>
              <w:end w:val="dashed" w:sz="6" w:space="0" w:color="auto"/>
            </w:tcBorders>
          </w:tcPr>
          <w:p>
            <w:pPr>
              <w:pStyle w:val="Footer"/>
              <w:widowControl/>
              <w:snapToGrid w:val="false"/>
              <w:jc w:val="end"/>
              <w:rPr/>
            </w:pPr>
            <w:r>
              <w:rPr/>
            </w:r>
          </w:p>
          <w:p>
            <w:pPr>
              <w:pStyle w:val="Footer"/>
              <w:widowControl/>
              <w:rPr/>
            </w:pPr>
            <w:r>
              <w:rPr/>
            </w:r>
          </w:p>
          <w:p>
            <w:pPr>
              <w:pStyle w:val="Footer"/>
              <w:widowControl/>
              <w:rPr/>
            </w:pPr>
            <w:r>
              <w:rPr/>
              <w:tab/>
              <w:t>Application 99-08-026</w:t>
            </w:r>
          </w:p>
        </w:tc>
      </w:tr>
      <w:tr>
        <w:trPr/>
        <w:tc>
          <w:tcPr>
            <w:tcW w:w="5418" w:type="dxa"/>
            <w:tcBorders>
              <w:top w:val="dashed" w:sz="6" w:space="0" w:color="auto"/>
              <w:start w:val="dashed" w:sz="6" w:space="0" w:color="auto"/>
              <w:bottom w:val="dashed" w:sz="6" w:space="0" w:color="auto"/>
              <w:end w:val="dashed" w:sz="6" w:space="0" w:color="auto"/>
            </w:tcBorders>
          </w:tcPr>
          <w:p>
            <w:pPr>
              <w:pStyle w:val="Footer"/>
              <w:widowControl/>
              <w:snapToGrid w:val="false"/>
              <w:rPr/>
            </w:pPr>
            <w:r>
              <w:rPr/>
            </w:r>
          </w:p>
          <w:p>
            <w:pPr>
              <w:pStyle w:val="Footer"/>
              <w:widowControl/>
              <w:rPr/>
            </w:pPr>
            <w:r>
              <w:rPr/>
              <w:t>Application of Pacific Gas and Electric Company in the 1999 Revenue Adjustment Proceeding</w:t>
            </w:r>
          </w:p>
          <w:p>
            <w:pPr>
              <w:pStyle w:val="Footer"/>
              <w:widowControl/>
              <w:rPr/>
            </w:pPr>
            <w:r>
              <w:rPr/>
            </w:r>
          </w:p>
        </w:tc>
        <w:tc>
          <w:tcPr>
            <w:tcW w:w="4428" w:type="dxa"/>
            <w:tcBorders>
              <w:top w:val="dashed" w:sz="6" w:space="0" w:color="auto"/>
              <w:start w:val="single" w:sz="6" w:space="0" w:color="000000"/>
              <w:bottom w:val="dashed" w:sz="6" w:space="0" w:color="auto"/>
              <w:end w:val="dashed" w:sz="6" w:space="0" w:color="auto"/>
            </w:tcBorders>
          </w:tcPr>
          <w:p>
            <w:pPr>
              <w:pStyle w:val="Footer"/>
              <w:widowControl/>
              <w:snapToGrid w:val="false"/>
              <w:rPr/>
            </w:pPr>
            <w:r>
              <w:rPr/>
            </w:r>
          </w:p>
          <w:p>
            <w:pPr>
              <w:pStyle w:val="Footer"/>
              <w:widowControl/>
              <w:rPr/>
            </w:pPr>
            <w:r>
              <w:rPr/>
            </w:r>
          </w:p>
          <w:p>
            <w:pPr>
              <w:pStyle w:val="Footer"/>
              <w:widowControl/>
              <w:rPr/>
            </w:pPr>
            <w:r>
              <w:rPr/>
              <w:tab/>
              <w:t>Application 99-08-023</w:t>
            </w:r>
          </w:p>
        </w:tc>
      </w:tr>
      <w:tr>
        <w:trPr/>
        <w:tc>
          <w:tcPr>
            <w:tcW w:w="5418" w:type="dxa"/>
            <w:tcBorders>
              <w:top w:val="single" w:sz="6" w:space="0" w:color="000000"/>
              <w:start w:val="dashed" w:sz="6" w:space="0" w:color="auto"/>
              <w:bottom w:val="single" w:sz="6" w:space="0" w:color="000000"/>
              <w:end w:val="dashed" w:sz="6" w:space="0" w:color="auto"/>
            </w:tcBorders>
          </w:tcPr>
          <w:p>
            <w:pPr>
              <w:pStyle w:val="Footer"/>
              <w:widowControl/>
              <w:snapToGrid w:val="false"/>
              <w:rPr/>
            </w:pPr>
            <w:r>
              <w:rPr/>
            </w:r>
          </w:p>
          <w:p>
            <w:pPr>
              <w:pStyle w:val="Footer"/>
              <w:widowControl/>
              <w:rPr/>
            </w:pPr>
            <w:r>
              <w:rPr/>
              <w:t>Application of Southern California Edison Company (U 338-E) to: (1) Consolidate Authorized Rates and Revenue Requirements; (2) Verify Residual Competition Transition Charge Revenues; (3) Review the Disposition of Balancing And Memorandum Accounts; (4) Review Generation Cost Jurisdictional Cost Allocation; (5) Review the Reasonableness of the Administration of the Low Emission Vehicle Program; (6) Review the Administration of Special Contracts; and (7) Present a Proposal for the Inclusion of Long Run Marginal Costs in the Power Exchange Credit.</w:t>
            </w:r>
          </w:p>
          <w:p>
            <w:pPr>
              <w:pStyle w:val="Footer"/>
              <w:widowControl/>
              <w:rPr/>
            </w:pPr>
            <w:r>
              <w:rPr/>
            </w:r>
          </w:p>
        </w:tc>
        <w:tc>
          <w:tcPr>
            <w:tcW w:w="4428" w:type="dxa"/>
            <w:tcBorders>
              <w:top w:val="dashed" w:sz="6" w:space="0" w:color="auto"/>
              <w:start w:val="single" w:sz="6" w:space="0" w:color="000000"/>
              <w:bottom w:val="dashed" w:sz="6" w:space="0" w:color="auto"/>
              <w:end w:val="dashed" w:sz="6" w:space="0" w:color="auto"/>
            </w:tcBorders>
          </w:tcPr>
          <w:p>
            <w:pPr>
              <w:pStyle w:val="Footer"/>
              <w:widowControl/>
              <w:snapToGrid w:val="false"/>
              <w:rPr/>
            </w:pPr>
            <w:r>
              <w:rPr/>
            </w:r>
          </w:p>
          <w:p>
            <w:pPr>
              <w:pStyle w:val="Footer"/>
              <w:widowControl/>
              <w:rPr/>
            </w:pPr>
            <w:r>
              <w:rPr/>
            </w:r>
          </w:p>
          <w:p>
            <w:pPr>
              <w:pStyle w:val="Footer"/>
              <w:widowControl/>
              <w:rPr/>
            </w:pPr>
            <w:r>
              <w:rPr/>
            </w:r>
          </w:p>
          <w:p>
            <w:pPr>
              <w:pStyle w:val="Footer"/>
              <w:widowControl/>
              <w:rPr/>
            </w:pPr>
            <w:r>
              <w:rPr/>
            </w:r>
          </w:p>
          <w:p>
            <w:pPr>
              <w:pStyle w:val="Footer"/>
              <w:widowControl/>
              <w:rPr/>
            </w:pPr>
            <w:r>
              <w:rPr/>
            </w:r>
          </w:p>
          <w:p>
            <w:pPr>
              <w:pStyle w:val="Footer"/>
              <w:widowControl/>
              <w:rPr/>
            </w:pPr>
            <w:r>
              <w:rPr/>
              <w:tab/>
              <w:t>Application 99-08-022</w:t>
            </w:r>
          </w:p>
        </w:tc>
      </w:tr>
    </w:tbl>
    <w:p>
      <w:pPr>
        <w:pStyle w:val="Footer"/>
        <w:widowControl/>
        <w:rPr/>
      </w:pPr>
      <w:r>
        <w:rPr/>
      </w:r>
    </w:p>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t>COMMENTS OF THE ALLIANCE FOR RETAIL MARKETS</w:t>
      </w:r>
    </w:p>
    <w:p>
      <w:pPr>
        <w:pStyle w:val="Normal"/>
        <w:widowControl/>
        <w:jc w:val="center"/>
        <w:rPr>
          <w:b/>
          <w:bCs/>
        </w:rPr>
      </w:pPr>
      <w:r>
        <w:rPr>
          <w:b/>
          <w:bCs/>
        </w:rPr>
        <w:t>ON THE MOTION OF SOUTHERN CALIFORNIA EDISON TO SEVER THE PX CREDIT ISSUE FROM THE COMMISSION’S DECISION</w:t>
      </w:r>
    </w:p>
    <w:p>
      <w:pPr>
        <w:pStyle w:val="Normal"/>
        <w:widowControl/>
        <w:jc w:val="center"/>
        <w:rPr>
          <w:b/>
          <w:bCs/>
        </w:rPr>
      </w:pPr>
      <w:r>
        <w:rPr>
          <w:b/>
          <w:bCs/>
        </w:rPr>
      </w:r>
    </w:p>
    <w:p>
      <w:pPr>
        <w:pStyle w:val="Normal"/>
        <w:widowControl/>
        <w:tabs>
          <w:tab w:val="clear" w:pos="720"/>
          <w:tab w:val="left" w:pos="5040" w:leader="none"/>
        </w:tabs>
        <w:jc w:val="both"/>
        <w:rPr/>
      </w:pPr>
      <w:r>
        <w:rPr>
          <w:b/>
          <w:bCs/>
        </w:rPr>
        <w:tab/>
        <w:tab/>
        <w:tab/>
        <w:tab/>
        <w:tab/>
        <w:tab/>
      </w:r>
      <w:r>
        <w:rPr/>
        <w:t>Daniel W. Douglass</w:t>
      </w:r>
    </w:p>
    <w:p>
      <w:pPr>
        <w:pStyle w:val="Normal"/>
        <w:widowControl/>
        <w:tabs>
          <w:tab w:val="clear" w:pos="720"/>
          <w:tab w:val="left" w:pos="5040" w:leader="none"/>
        </w:tabs>
        <w:jc w:val="both"/>
        <w:rPr/>
      </w:pPr>
      <w:r>
        <w:rPr/>
        <w:tab/>
        <w:t>Arter &amp; Hadden LLP</w:t>
      </w:r>
    </w:p>
    <w:p>
      <w:pPr>
        <w:pStyle w:val="Normal"/>
        <w:widowControl/>
        <w:jc w:val="both"/>
        <w:rPr/>
      </w:pPr>
      <w:r>
        <w:rPr/>
        <w:tab/>
        <w:tab/>
        <w:tab/>
        <w:tab/>
        <w:tab/>
        <w:tab/>
        <w:tab/>
        <w:t>5959 Topanga Canyon Boulevard</w:t>
      </w:r>
    </w:p>
    <w:p>
      <w:pPr>
        <w:pStyle w:val="Normal"/>
        <w:widowControl/>
        <w:jc w:val="both"/>
        <w:rPr/>
      </w:pPr>
      <w:r>
        <w:rPr/>
        <w:tab/>
        <w:tab/>
        <w:tab/>
        <w:tab/>
        <w:tab/>
        <w:tab/>
        <w:tab/>
        <w:t>Suite 221</w:t>
      </w:r>
    </w:p>
    <w:p>
      <w:pPr>
        <w:pStyle w:val="Normal"/>
        <w:jc w:val="both"/>
        <w:rPr/>
      </w:pPr>
      <w:r>
        <w:rPr/>
        <w:tab/>
        <w:tab/>
        <w:tab/>
        <w:tab/>
        <w:tab/>
        <w:tab/>
        <w:tab/>
        <w:t>Woodland Hills, CA 91367</w:t>
      </w:r>
    </w:p>
    <w:p>
      <w:pPr>
        <w:pStyle w:val="Normal"/>
        <w:jc w:val="both"/>
        <w:rPr/>
      </w:pPr>
      <w:r>
        <w:rPr/>
        <w:tab/>
        <w:tab/>
        <w:tab/>
        <w:tab/>
        <w:tab/>
        <w:tab/>
        <w:tab/>
        <w:t>Telephone: (818) 596-2201</w:t>
      </w:r>
    </w:p>
    <w:p>
      <w:pPr>
        <w:pStyle w:val="Normal"/>
        <w:widowControl/>
        <w:jc w:val="both"/>
        <w:rPr/>
      </w:pPr>
      <w:r>
        <w:rPr/>
        <w:tab/>
        <w:tab/>
        <w:tab/>
        <w:tab/>
        <w:tab/>
        <w:tab/>
        <w:tab/>
        <w:t>Facsimile: (818) 346-6502</w:t>
      </w:r>
    </w:p>
    <w:p>
      <w:pPr>
        <w:pStyle w:val="Normal"/>
        <w:widowControl/>
        <w:jc w:val="both"/>
        <w:rPr>
          <w:b/>
          <w:bCs/>
        </w:rPr>
      </w:pPr>
      <w:r>
        <w:rPr/>
        <w:tab/>
        <w:tab/>
        <w:tab/>
        <w:tab/>
        <w:tab/>
        <w:tab/>
        <w:tab/>
        <w:t>E-mail: douglass@arterhadden.com</w:t>
      </w:r>
    </w:p>
    <w:p>
      <w:pPr>
        <w:pStyle w:val="Normal"/>
        <w:widowControl/>
        <w:rPr>
          <w:b/>
          <w:bCs/>
        </w:rPr>
      </w:pPr>
      <w:r>
        <w:rPr>
          <w:b/>
          <w:bCs/>
        </w:rPr>
      </w:r>
    </w:p>
    <w:p>
      <w:pPr>
        <w:pStyle w:val="Normal"/>
        <w:widowControl/>
        <w:rPr/>
      </w:pPr>
      <w:r>
        <w:rPr/>
        <w:t>December 1, 2000</w:t>
      </w:r>
    </w:p>
    <w:p>
      <w:pPr>
        <w:sectPr>
          <w:headerReference w:type="default" r:id="rId2"/>
          <w:headerReference w:type="first" r:id="rId3"/>
          <w:footerReference w:type="default" r:id="rId4"/>
          <w:footerReference w:type="first" r:id="rId5"/>
          <w:type w:val="nextPage"/>
          <w:pgSz w:w="12240" w:h="15840"/>
          <w:pgMar w:left="1584" w:right="1584" w:gutter="0" w:header="720" w:top="1584" w:footer="720" w:bottom="1440"/>
          <w:pgNumType w:fmt="decimal"/>
          <w:formProt w:val="false"/>
          <w:titlePg/>
          <w:textDirection w:val="lrTb"/>
        </w:sectPr>
      </w:pPr>
    </w:p>
    <w:p>
      <w:pPr>
        <w:sectPr>
          <w:type w:val="continuous"/>
          <w:pgSz w:w="12240" w:h="15840"/>
          <w:pgMar w:left="1584" w:right="1584" w:gutter="0" w:header="720" w:top="1584" w:footer="720" w:bottom="1440"/>
          <w:formProt w:val="false"/>
          <w:titlePg/>
          <w:textDirection w:val="lrTb"/>
        </w:sectPr>
        <w:pStyle w:val="TxBrp6"/>
        <w:numPr>
          <w:ilvl w:val="0"/>
          <w:numId w:val="0"/>
        </w:numPr>
        <w:tabs>
          <w:tab w:val="clear" w:pos="1842"/>
        </w:tabs>
        <w:spacing w:lineRule="auto" w:line="240"/>
        <w:ind w:hanging="0" w:start="402"/>
        <w:jc w:val="center"/>
        <w:rPr>
          <w:b/>
          <w:bCs/>
          <w:u w:val="single"/>
        </w:rPr>
      </w:pPr>
      <w:r>
        <w:rPr>
          <w:b/>
          <w:bCs/>
          <w:u w:val="single"/>
        </w:rPr>
      </w:r>
      <w:r>
        <w:br w:type="page"/>
      </w:r>
    </w:p>
    <w:p>
      <w:pPr>
        <w:pStyle w:val="TxBrp6"/>
        <w:tabs>
          <w:tab w:val="clear" w:pos="1842"/>
        </w:tabs>
        <w:spacing w:lineRule="auto" w:line="240"/>
        <w:jc w:val="center"/>
        <w:rPr>
          <w:b/>
          <w:bCs/>
        </w:rPr>
      </w:pPr>
      <w:r>
        <w:rPr>
          <w:b/>
          <w:bCs/>
        </w:rPr>
        <w:t>BEFORE THE PUBLIC UTILITIES COMMISSION</w:t>
      </w:r>
    </w:p>
    <w:p>
      <w:pPr>
        <w:pStyle w:val="Heading"/>
        <w:widowControl/>
        <w:ind w:start="-360" w:end="-360"/>
        <w:rPr/>
      </w:pPr>
      <w:r>
        <w:rPr/>
        <w:t>OF THE STATE OF CALIFORNIA</w:t>
      </w:r>
    </w:p>
    <w:p>
      <w:pPr>
        <w:pStyle w:val="Heading"/>
        <w:widowControl/>
        <w:ind w:start="-360" w:end="-360"/>
        <w:rPr>
          <w:b w:val="false"/>
          <w:bCs w:val="false"/>
        </w:rPr>
      </w:pPr>
      <w:r>
        <w:rPr>
          <w:b w:val="false"/>
          <w:bCs w:val="false"/>
        </w:rPr>
      </w:r>
    </w:p>
    <w:p>
      <w:pPr>
        <w:pStyle w:val="Heading"/>
        <w:widowControl/>
        <w:ind w:start="-360" w:end="-360"/>
        <w:rPr>
          <w:b w:val="false"/>
          <w:bCs w:val="false"/>
        </w:rPr>
      </w:pPr>
      <w:r>
        <w:rPr>
          <w:b w:val="false"/>
          <w:bCs w:val="false"/>
        </w:rPr>
      </w:r>
    </w:p>
    <w:p>
      <w:pPr>
        <w:pStyle w:val="Heading"/>
        <w:widowControl/>
        <w:ind w:start="-360" w:end="-360"/>
        <w:rPr>
          <w:b w:val="false"/>
          <w:bCs w:val="false"/>
        </w:rPr>
      </w:pPr>
      <w:r>
        <w:rPr>
          <w:b w:val="false"/>
          <w:bCs w:val="false"/>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6" w:space="0" w:color="000000"/>
              <w:start w:val="dashed" w:sz="6" w:space="0" w:color="auto"/>
              <w:bottom w:val="dashed" w:sz="6" w:space="0" w:color="auto"/>
              <w:end w:val="dashed" w:sz="6" w:space="0" w:color="auto"/>
            </w:tcBorders>
          </w:tcPr>
          <w:p>
            <w:pPr>
              <w:pStyle w:val="Footer"/>
              <w:widowControl/>
              <w:snapToGrid w:val="false"/>
              <w:rPr/>
            </w:pPr>
            <w:r>
              <w:rPr/>
            </w:r>
          </w:p>
          <w:p>
            <w:pPr>
              <w:pStyle w:val="Footer"/>
              <w:widowControl/>
              <w:rPr/>
            </w:pPr>
            <w:r>
              <w:rPr/>
              <w:t>In the Matter of the Revenue Adjustment Proceeding (RAP) application of San Diego Gas and Electric Company (U 902-E) for approval of a PX Credit and Related Computations.</w:t>
            </w:r>
          </w:p>
          <w:p>
            <w:pPr>
              <w:pStyle w:val="Footer"/>
              <w:widowControl/>
              <w:rPr/>
            </w:pPr>
            <w:r>
              <w:rPr/>
            </w:r>
          </w:p>
        </w:tc>
        <w:tc>
          <w:tcPr>
            <w:tcW w:w="4428" w:type="dxa"/>
            <w:tcBorders>
              <w:top w:val="dashed" w:sz="6" w:space="0" w:color="auto"/>
              <w:start w:val="single" w:sz="6" w:space="0" w:color="000000"/>
              <w:bottom w:val="dashed" w:sz="6" w:space="0" w:color="auto"/>
              <w:end w:val="dashed" w:sz="6" w:space="0" w:color="auto"/>
            </w:tcBorders>
          </w:tcPr>
          <w:p>
            <w:pPr>
              <w:pStyle w:val="Footer"/>
              <w:widowControl/>
              <w:snapToGrid w:val="false"/>
              <w:jc w:val="end"/>
              <w:rPr/>
            </w:pPr>
            <w:r>
              <w:rPr/>
            </w:r>
          </w:p>
          <w:p>
            <w:pPr>
              <w:pStyle w:val="Footer"/>
              <w:widowControl/>
              <w:rPr/>
            </w:pPr>
            <w:r>
              <w:rPr/>
            </w:r>
          </w:p>
          <w:p>
            <w:pPr>
              <w:pStyle w:val="Footer"/>
              <w:widowControl/>
              <w:rPr/>
            </w:pPr>
            <w:r>
              <w:rPr/>
              <w:tab/>
              <w:t>Application 99-08-026</w:t>
            </w:r>
          </w:p>
        </w:tc>
      </w:tr>
      <w:tr>
        <w:trPr/>
        <w:tc>
          <w:tcPr>
            <w:tcW w:w="5418" w:type="dxa"/>
            <w:tcBorders>
              <w:top w:val="single" w:sz="6" w:space="0" w:color="000000"/>
              <w:start w:val="dashed" w:sz="6" w:space="0" w:color="auto"/>
              <w:bottom w:val="single" w:sz="6" w:space="0" w:color="000000"/>
              <w:end w:val="dashed" w:sz="6" w:space="0" w:color="auto"/>
            </w:tcBorders>
          </w:tcPr>
          <w:p>
            <w:pPr>
              <w:pStyle w:val="Footer"/>
              <w:widowControl/>
              <w:snapToGrid w:val="false"/>
              <w:rPr/>
            </w:pPr>
            <w:r>
              <w:rPr/>
            </w:r>
          </w:p>
          <w:p>
            <w:pPr>
              <w:pStyle w:val="Footer"/>
              <w:widowControl/>
              <w:rPr/>
            </w:pPr>
            <w:r>
              <w:rPr/>
              <w:t>And related matters</w:t>
            </w:r>
          </w:p>
          <w:p>
            <w:pPr>
              <w:pStyle w:val="Footer"/>
              <w:widowControl/>
              <w:rPr/>
            </w:pPr>
            <w:r>
              <w:rPr/>
            </w:r>
          </w:p>
        </w:tc>
        <w:tc>
          <w:tcPr>
            <w:tcW w:w="4428" w:type="dxa"/>
            <w:tcBorders>
              <w:top w:val="dashed" w:sz="6" w:space="0" w:color="auto"/>
              <w:start w:val="single" w:sz="6" w:space="0" w:color="000000"/>
              <w:bottom w:val="dashed" w:sz="6" w:space="0" w:color="auto"/>
              <w:end w:val="dashed" w:sz="6" w:space="0" w:color="auto"/>
            </w:tcBorders>
          </w:tcPr>
          <w:p>
            <w:pPr>
              <w:pStyle w:val="Footer"/>
              <w:widowControl/>
              <w:snapToGrid w:val="false"/>
              <w:rPr/>
            </w:pPr>
            <w:r>
              <w:rPr/>
            </w:r>
          </w:p>
          <w:p>
            <w:pPr>
              <w:pStyle w:val="Footer"/>
              <w:widowControl/>
              <w:ind w:firstLine="702" w:end="0"/>
              <w:rPr/>
            </w:pPr>
            <w:r>
              <w:rPr/>
              <w:t>Application 99-08-022</w:t>
            </w:r>
          </w:p>
          <w:p>
            <w:pPr>
              <w:pStyle w:val="Footer"/>
              <w:widowControl/>
              <w:rPr/>
            </w:pPr>
            <w:r>
              <w:rPr/>
              <w:tab/>
              <w:t>Application 99-08-023</w:t>
            </w:r>
          </w:p>
        </w:tc>
      </w:tr>
    </w:tbl>
    <w:p>
      <w:pPr>
        <w:pStyle w:val="Normal"/>
        <w:widowControl/>
        <w:jc w:val="center"/>
        <w:rPr>
          <w:b/>
          <w:bCs/>
        </w:rPr>
      </w:pPr>
      <w:r>
        <w:rPr>
          <w:b/>
          <w:bCs/>
        </w:rPr>
      </w:r>
    </w:p>
    <w:p>
      <w:pPr>
        <w:pStyle w:val="Normal"/>
        <w:widowControl/>
        <w:jc w:val="center"/>
        <w:rPr>
          <w:b/>
          <w:bCs/>
        </w:rPr>
      </w:pPr>
      <w:r>
        <w:rPr>
          <w:b/>
          <w:bCs/>
        </w:rPr>
      </w:r>
    </w:p>
    <w:p>
      <w:pPr>
        <w:pStyle w:val="Normal"/>
        <w:widowControl/>
        <w:jc w:val="center"/>
        <w:rPr>
          <w:b/>
          <w:bCs/>
        </w:rPr>
      </w:pPr>
      <w:r>
        <w:rPr>
          <w:b/>
          <w:bCs/>
        </w:rPr>
        <w:t>COMMENTS OF THE ALLIANCE FOR RETAIL MARKETS</w:t>
      </w:r>
    </w:p>
    <w:p>
      <w:pPr>
        <w:pStyle w:val="Normal"/>
        <w:widowControl/>
        <w:jc w:val="center"/>
        <w:rPr>
          <w:b/>
          <w:bCs/>
        </w:rPr>
      </w:pPr>
      <w:r>
        <w:rPr>
          <w:b/>
          <w:bCs/>
        </w:rPr>
        <w:t>ON THE MOTION OF SOUTHERN CALIFORNIA EDISON TO SEVER THE PX CREDIT ISSUE FROM THE COMMISSION’S DECISION</w:t>
      </w:r>
    </w:p>
    <w:p>
      <w:pPr>
        <w:pStyle w:val="Normal"/>
        <w:widowControl/>
        <w:jc w:val="center"/>
        <w:rPr>
          <w:b/>
          <w:bCs/>
        </w:rPr>
      </w:pPr>
      <w:r>
        <w:rPr>
          <w:b/>
          <w:bCs/>
        </w:rPr>
      </w:r>
    </w:p>
    <w:p>
      <w:pPr>
        <w:pStyle w:val="Normal"/>
        <w:widowControl/>
        <w:jc w:val="center"/>
        <w:rPr>
          <w:b/>
          <w:bCs/>
        </w:rPr>
      </w:pPr>
      <w:r>
        <w:rPr>
          <w:b/>
          <w:bCs/>
        </w:rPr>
      </w:r>
    </w:p>
    <w:p>
      <w:pPr>
        <w:pStyle w:val="Normal"/>
        <w:widowControl/>
        <w:spacing w:lineRule="auto" w:line="360"/>
        <w:ind w:firstLine="720" w:end="0"/>
        <w:jc w:val="both"/>
        <w:rPr/>
      </w:pPr>
      <w:r>
        <w:rPr/>
        <w:t xml:space="preserve">Pursuant to Rule 45 of the California Public Utilities Commission (“Commission”) Rules of Practice and Procedure, the Alliance for Retail Markets (“ARM”) hereby submits its comments on the November 29, 2000, Motion of Southern California Edison to Sever the PX Credit Issue From the Commission’s Decision, in this 1999 Revenue Adjustment Proceeding.  </w:t>
      </w:r>
    </w:p>
    <w:p>
      <w:pPr>
        <w:pStyle w:val="Normal"/>
        <w:widowControl/>
        <w:spacing w:lineRule="auto" w:line="360"/>
        <w:ind w:firstLine="720" w:end="0"/>
        <w:jc w:val="both"/>
        <w:rPr>
          <w:b/>
          <w:bCs/>
        </w:rPr>
      </w:pPr>
      <w:r>
        <w:rPr>
          <w:b/>
          <w:bCs/>
        </w:rPr>
      </w:r>
    </w:p>
    <w:p>
      <w:pPr>
        <w:pStyle w:val="Normal"/>
        <w:widowControl/>
        <w:spacing w:lineRule="auto" w:line="360"/>
        <w:ind w:firstLine="720" w:end="0"/>
        <w:jc w:val="both"/>
        <w:rPr>
          <w:b/>
          <w:bCs/>
          <w:spacing w:val="-3"/>
        </w:rPr>
      </w:pPr>
      <w:r>
        <w:rPr>
          <w:b/>
          <w:bCs/>
          <w:spacing w:val="-3"/>
        </w:rPr>
        <w:t>I.</w:t>
        <w:tab/>
        <w:t>INTRODUCTION</w:t>
      </w:r>
    </w:p>
    <w:p>
      <w:pPr>
        <w:pStyle w:val="Normal"/>
        <w:widowControl/>
        <w:spacing w:lineRule="auto" w:line="360"/>
        <w:ind w:firstLine="720" w:end="0"/>
        <w:jc w:val="both"/>
        <w:rPr>
          <w:spacing w:val="-3"/>
        </w:rPr>
      </w:pPr>
      <w:r>
        <w:rPr>
          <w:spacing w:val="-3"/>
        </w:rPr>
        <w:t xml:space="preserve">For shame!  </w:t>
      </w:r>
    </w:p>
    <w:p>
      <w:pPr>
        <w:pStyle w:val="Normal"/>
        <w:widowControl/>
        <w:spacing w:lineRule="auto" w:line="360"/>
        <w:ind w:firstLine="720" w:end="0"/>
        <w:jc w:val="both"/>
        <w:rPr>
          <w:spacing w:val="-3"/>
        </w:rPr>
      </w:pPr>
      <w:r>
        <w:rPr>
          <w:spacing w:val="-3"/>
        </w:rPr>
        <w:t>Does the Edison motion give any consideration whatsoever to the interests of its direct access customers, or the interests of direct access customers throughout the state?</w:t>
      </w:r>
    </w:p>
    <w:p>
      <w:pPr>
        <w:pStyle w:val="Normal"/>
        <w:widowControl/>
        <w:spacing w:lineRule="auto" w:line="360"/>
        <w:ind w:firstLine="720" w:end="0"/>
        <w:jc w:val="both"/>
        <w:rPr>
          <w:spacing w:val="-3"/>
        </w:rPr>
      </w:pPr>
      <w:r>
        <w:rPr>
          <w:spacing w:val="-3"/>
        </w:rPr>
        <w:t>No!</w:t>
      </w:r>
    </w:p>
    <w:p>
      <w:pPr>
        <w:pStyle w:val="Normal"/>
        <w:widowControl/>
        <w:spacing w:lineRule="auto" w:line="360"/>
        <w:ind w:firstLine="720" w:end="0"/>
        <w:jc w:val="both"/>
        <w:rPr>
          <w:spacing w:val="-3"/>
        </w:rPr>
      </w:pPr>
      <w:r>
        <w:rPr>
          <w:spacing w:val="-3"/>
        </w:rPr>
        <w:t>Does the Edison motion give any consideration whatsoever to the efforts of numerous parties, including the other applicants and the Staff of this Commission, who have worked for well over a year on reaching a solution to the PX Credit adder issue?</w:t>
      </w:r>
    </w:p>
    <w:p>
      <w:pPr>
        <w:pStyle w:val="Normal"/>
        <w:widowControl/>
        <w:spacing w:lineRule="auto" w:line="360"/>
        <w:ind w:firstLine="720" w:end="0"/>
        <w:jc w:val="both"/>
        <w:rPr>
          <w:spacing w:val="-3"/>
        </w:rPr>
      </w:pPr>
      <w:r>
        <w:rPr>
          <w:spacing w:val="-3"/>
        </w:rPr>
        <w:t>No!</w:t>
      </w:r>
    </w:p>
    <w:p>
      <w:pPr>
        <w:pStyle w:val="Normal"/>
        <w:widowControl/>
        <w:spacing w:lineRule="auto" w:line="360"/>
        <w:ind w:firstLine="720" w:end="0"/>
        <w:jc w:val="both"/>
        <w:rPr/>
      </w:pPr>
      <w:r>
        <w:rPr/>
        <w:t>Is the Edison Motion a self-serving attempt to have the Commission act only upon the issues litigated in this proceeding that were of importance to Edison?</w:t>
      </w:r>
    </w:p>
    <w:p>
      <w:pPr>
        <w:pStyle w:val="Normal"/>
        <w:widowControl/>
        <w:spacing w:lineRule="auto" w:line="360"/>
        <w:ind w:firstLine="720" w:end="0"/>
        <w:jc w:val="both"/>
        <w:rPr/>
      </w:pPr>
      <w:r>
        <w:rPr/>
        <w:t>Yes!</w:t>
      </w:r>
    </w:p>
    <w:p>
      <w:pPr>
        <w:pStyle w:val="Normal"/>
        <w:widowControl/>
        <w:spacing w:lineRule="auto" w:line="360"/>
        <w:ind w:firstLine="720" w:end="0"/>
        <w:jc w:val="both"/>
        <w:rPr/>
      </w:pPr>
      <w:r>
        <w:rPr>
          <w:spacing w:val="-3"/>
        </w:rPr>
        <w:t xml:space="preserve">Sixteen months after Edison filed its 1999 RAP application, and almost eighteen months after the Commission issued Decision (D.) 99-06-058 </w:t>
      </w:r>
      <w:r>
        <w:rPr/>
        <w:t>(the “1998 RAP Decision”) which directed the adoption of a PX Credit adder</w:t>
      </w:r>
      <w:r>
        <w:rPr>
          <w:spacing w:val="-3"/>
        </w:rPr>
        <w:t>, Edison now says to direct access customers throughout the state, “Never mind!”  With this motion, the utility has shed any pretense of concern for its direct access customers and revealed instead a callous disregard for the well-being of these customers and for the promotion of competition generally.</w:t>
      </w:r>
    </w:p>
    <w:p>
      <w:pPr>
        <w:pStyle w:val="Normal"/>
        <w:spacing w:lineRule="auto" w:line="360"/>
        <w:ind w:firstLine="720" w:end="0"/>
        <w:jc w:val="both"/>
        <w:rPr/>
      </w:pPr>
      <w:r>
        <w:rPr/>
        <w:t>Edison asks that the Commission defer any action on the pending decision in this proceeding until after the Commission has issued a decision in its November 16</w:t>
      </w:r>
      <w:r>
        <w:rPr>
          <w:vertAlign w:val="superscript"/>
        </w:rPr>
        <w:t>th</w:t>
      </w:r>
      <w:r>
        <w:rPr/>
        <w:t xml:space="preserve"> rate stabilization application, A.00-11-038.  The utility states that its, “reason for this request is that in deciding Phase I of A.00-11-038, the Commission will decide issues that will have a direct bearing on the PX credit adder, namely, the date when SCE’s AB 1890 rate freeze will actually have ended, and the ratemaking structure that will be in effect following the end of the rate freeze.” </w:t>
      </w:r>
      <w:r>
        <w:rPr>
          <w:rStyle w:val="FootnoteCharacters"/>
          <w:rStyle w:val="FootnoteReference"/>
          <w:sz w:val="24"/>
          <w:szCs w:val="24"/>
        </w:rPr>
        <w:footnoteReference w:id="2"/>
      </w:r>
      <w:r>
        <w:rPr/>
        <w:t xml:space="preserve"> </w:t>
      </w:r>
    </w:p>
    <w:p>
      <w:pPr>
        <w:pStyle w:val="Normal"/>
        <w:widowControl/>
        <w:spacing w:lineRule="auto" w:line="360"/>
        <w:ind w:firstLine="720" w:end="0"/>
        <w:jc w:val="both"/>
        <w:rPr/>
      </w:pPr>
      <w:r>
        <w:rPr/>
        <w:t>Presumably the utility believes that its rate stabilization application has moved ahead so precipitously in the full thirteen days which have elapsed since the filing of its application, that it can now with a straight face ask direct access customers and all the parties to the RAP proceeding to simply forget about the PX Credit adder issue for however long it may take the Commission to act on A.00-11-038.  This is ludicrous and offensive to the principle that proceedings should be conducted in an efficient and timely manner.</w:t>
      </w:r>
    </w:p>
    <w:p>
      <w:pPr>
        <w:pStyle w:val="Normal"/>
        <w:widowControl/>
        <w:spacing w:lineRule="auto" w:line="360"/>
        <w:ind w:firstLine="720" w:end="0"/>
        <w:jc w:val="both"/>
        <w:rPr/>
      </w:pPr>
      <w:r>
        <w:rPr/>
        <w:t xml:space="preserve">Finally, by its motion to sever the PX Credit issue, the utility effectively asks that the final RAP decision deal only with those issues of interest to Edison, reliability must run generation, the distributed energy charge, low-emission vehicle programs and the Jurisdictional Allocation Stipulation entered into by FEA, ORA, TURN, and Edison.  As noted in the Proposed Decision of ALJ Barnett, “The most contentious issue in this year’s RAP was the computation of an adder to the PX credit.  Nearly two weeks of hearings were devoted to the parties’ proposals to add various costs to the credit.” </w:t>
      </w:r>
      <w:r>
        <w:rPr>
          <w:rStyle w:val="FootnoteCharacters"/>
          <w:rStyle w:val="FootnoteReference"/>
        </w:rPr>
        <w:footnoteReference w:id="3"/>
      </w:r>
      <w:r>
        <w:rPr/>
        <w:t xml:space="preserve">  It is patently obvious that Edison’s Motion is a transparent attempt to have the Commission’s decision deal only with those issues where the utility believes it has prevailed, while “severing” the matter where Edison’s litigation position has not prevailed.</w:t>
      </w:r>
    </w:p>
    <w:p>
      <w:pPr>
        <w:pStyle w:val="Normal"/>
        <w:widowControl/>
        <w:spacing w:lineRule="auto" w:line="360"/>
        <w:ind w:firstLine="720" w:end="0"/>
        <w:jc w:val="both"/>
        <w:rPr/>
      </w:pPr>
      <w:r>
        <w:rPr>
          <w:b/>
          <w:bCs/>
          <w:spacing w:val="-3"/>
        </w:rPr>
        <w:t xml:space="preserve"> </w:t>
      </w:r>
      <w:r>
        <w:rPr>
          <w:b/>
          <w:bCs/>
          <w:spacing w:val="-3"/>
        </w:rPr>
        <w:t xml:space="preserve">II.  </w:t>
      </w:r>
      <w:r>
        <w:rPr>
          <w:b/>
          <w:bCs/>
          <w:spacing w:val="-3"/>
          <w:u w:val="single"/>
        </w:rPr>
        <w:t>REPLY TO EDISON’S MOTION TO SEVER</w:t>
      </w:r>
    </w:p>
    <w:p>
      <w:pPr>
        <w:pStyle w:val="Normal"/>
        <w:spacing w:lineRule="auto" w:line="360"/>
        <w:ind w:firstLine="720" w:end="0"/>
        <w:jc w:val="both"/>
        <w:rPr/>
      </w:pPr>
      <w:r>
        <w:rPr/>
        <w:t>There are numerous reasons why Edison’s motion to sever the PX Credit issue is unfair, untimely and should be rejected by the Commission:</w:t>
      </w:r>
    </w:p>
    <w:p>
      <w:pPr>
        <w:pStyle w:val="Normal"/>
        <w:numPr>
          <w:ilvl w:val="0"/>
          <w:numId w:val="3"/>
        </w:numPr>
        <w:tabs>
          <w:tab w:val="clear" w:pos="720"/>
          <w:tab w:val="left" w:pos="0" w:leader="none"/>
        </w:tabs>
        <w:spacing w:before="0" w:after="120"/>
        <w:ind w:hanging="720" w:start="1440" w:end="0"/>
        <w:jc w:val="both"/>
        <w:rPr>
          <w:b/>
          <w:bCs/>
        </w:rPr>
      </w:pPr>
      <w:r>
        <w:rPr>
          <w:b/>
          <w:bCs/>
        </w:rPr>
        <w:t>Edison Callously Ignores the Harmful Effect of Its Proposal on All Direct Access Customers Throughout the State</w:t>
      </w:r>
    </w:p>
    <w:p>
      <w:pPr>
        <w:pStyle w:val="PlainText"/>
        <w:rPr/>
      </w:pPr>
      <w:r>
        <w:rPr/>
        <w:t>It has been approximately eighteen months since the 1998 RAP Decision ordered that the long run marginal costs (“LRMC”) associated with the utilities’ procurement and associated retail marketing and customer service functions should be included in the calculation of the PX Credit.  During the time subsequent to that decision, direct access customers have received a PX Credit which is equal only to the utilities’ wholesale cost of power.  Meanwhile the utilities’ costs of procurement, retail marketing and customer service have continued to be buried in and recovered through monopoly distribution charges, which all customers, both bundled and direct access, are required to pay.  This has caused direct access customers to be unfairly obligated to pay for these costs, even though the utilities are no longer providing all the functions associated with wholesale energy procurement.  As long as this practice continues, direct access customers are disadvantaged and competition is constrained.</w:t>
      </w:r>
    </w:p>
    <w:p>
      <w:pPr>
        <w:pStyle w:val="PlainText"/>
        <w:rPr/>
      </w:pPr>
      <w:r>
        <w:rPr/>
        <w:t>Approval of Edison’s motion would perpetuate this unfair and discriminatory practice for an indefinite period into the future.  This would continue to frustrate competition and deter customers from opting for direct access.  It is, in essence, grossly insensitive to the legitimate rights of direct access customers.  Moreover, Edison does not even display the courtesy to suggest that the burden of its insensitive proposal should be limited to its own customers.  Instead, it seeks to have the entire PX Credit issue severed from the pending decision in this proceeding, meaning that the direct access customers of Pacific Gas &amp; Electric Company and San Diego Gas &amp; Electric Company would similarly be denied the benefits promised to them by the 1998 RAP Decision.  This in unconscionable and a significant reason why Edison’s motion should be denied.</w:t>
      </w:r>
    </w:p>
    <w:p>
      <w:pPr>
        <w:pStyle w:val="PlainText"/>
        <w:rPr/>
      </w:pPr>
      <w:r>
        <w:rPr/>
      </w:r>
    </w:p>
    <w:p>
      <w:pPr>
        <w:pStyle w:val="Normal"/>
        <w:numPr>
          <w:ilvl w:val="0"/>
          <w:numId w:val="4"/>
        </w:numPr>
        <w:tabs>
          <w:tab w:val="clear" w:pos="720"/>
          <w:tab w:val="left" w:pos="0" w:leader="none"/>
        </w:tabs>
        <w:spacing w:before="0" w:after="120"/>
        <w:ind w:hanging="720" w:start="1440" w:end="0"/>
        <w:jc w:val="both"/>
        <w:rPr>
          <w:b/>
          <w:bCs/>
        </w:rPr>
      </w:pPr>
      <w:r>
        <w:rPr>
          <w:b/>
          <w:bCs/>
        </w:rPr>
        <w:t>The Assumption that the Rate Stabilization Plan Can be Acted On by Next Month is Spurious.</w:t>
      </w:r>
    </w:p>
    <w:p>
      <w:pPr>
        <w:pStyle w:val="Normal"/>
        <w:spacing w:lineRule="auto" w:line="360"/>
        <w:ind w:firstLine="720" w:end="0"/>
        <w:jc w:val="both"/>
        <w:rPr/>
      </w:pPr>
      <w:r>
        <w:rPr/>
        <w:t xml:space="preserve">Edison notes that  there are several draft decisions before the Commission and concludes that, “all of these proposal [sic] are based on a ratemaking structure that may be superceded as early as January 2001.”  This is sheer puffery.  Edison knows full well that the Commission will not act on its lengthy application in so short a time.  For example, its previous application for post-transition rates (A.00-01-011) has been on file at the Commission for approximately eleven months with no significant action by the Commission.  </w:t>
      </w:r>
    </w:p>
    <w:p>
      <w:pPr>
        <w:pStyle w:val="Normal"/>
        <w:spacing w:lineRule="auto" w:line="360"/>
        <w:ind w:firstLine="720" w:end="0"/>
        <w:jc w:val="both"/>
        <w:rPr/>
      </w:pPr>
      <w:r>
        <w:rPr/>
        <w:t>To date, there has been little or no activity in that case and ALJ Wetzell just informed parties by email on November 13 that the dates for intervenor testimony were being put back until at least January of 2001.  In fact, Edison recently sent a letter to ALJ Wetzell, dated November 21, 2000, in which it proposed to suspend any further processing of its earlier application and stated its intention to withdraw its January application entirely in the event the Commission acted favorably on its latest proposal for post-transition rates.</w:t>
      </w:r>
    </w:p>
    <w:p>
      <w:pPr>
        <w:pStyle w:val="Normal"/>
        <w:spacing w:lineRule="auto" w:line="360"/>
        <w:ind w:firstLine="720" w:end="0"/>
        <w:jc w:val="both"/>
        <w:rPr/>
      </w:pPr>
      <w:r>
        <w:rPr/>
        <w:t>There is no reason to expect that the new rate stabilization application will proceed on any faster track.  Meanwhile, however, the utility would have direct access customers throughout the state continue to be denied the PX Credit adder promised in the 1998 RAP Decision.  Edison’s apparent disregard of the interests of its distribution customers who have elected direct access should be an embarrassment to the utility.  The motion should be denied as it misrepresents the time which will be necessary for the utility’s rate stabilization plan to be processed by the Commission.</w:t>
      </w:r>
    </w:p>
    <w:p>
      <w:pPr>
        <w:pStyle w:val="Normal"/>
        <w:spacing w:lineRule="auto" w:line="360"/>
        <w:ind w:firstLine="720" w:end="0"/>
        <w:jc w:val="both"/>
        <w:rPr>
          <w:b/>
          <w:bCs/>
        </w:rPr>
      </w:pPr>
      <w:r>
        <w:rPr>
          <w:b/>
          <w:bCs/>
        </w:rPr>
      </w:r>
    </w:p>
    <w:p>
      <w:pPr>
        <w:pStyle w:val="Normal"/>
        <w:numPr>
          <w:ilvl w:val="0"/>
          <w:numId w:val="5"/>
        </w:numPr>
        <w:tabs>
          <w:tab w:val="clear" w:pos="720"/>
          <w:tab w:val="left" w:pos="0" w:leader="none"/>
        </w:tabs>
        <w:spacing w:before="0" w:after="120"/>
        <w:ind w:hanging="720" w:start="1440" w:end="0"/>
        <w:jc w:val="both"/>
        <w:rPr>
          <w:b/>
          <w:bCs/>
        </w:rPr>
      </w:pPr>
      <w:r>
        <w:rPr>
          <w:b/>
          <w:bCs/>
        </w:rPr>
        <w:t>Edison’s Claim that the Rate Freeze Has Ended is Fallacious and Contrary to the Precise Procedure for Ending the Rate Freeze Which is Spelled Out in the Post-Transition Ratemaking Phase I Decision.</w:t>
      </w:r>
    </w:p>
    <w:p>
      <w:pPr>
        <w:pStyle w:val="standard"/>
        <w:widowControl/>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D.99-10-057 resolved issues in Phase 1 of the post-transition applications of Edison and the other utilities pertaining to ratemaking, accounting, and other regulatory concerns arising with the end of the “transition period” and the mechanics of ending the rate freeze prescribed by Assembly Bill (AB) 1890.  The decision notes that:</w:t>
      </w:r>
    </w:p>
    <w:p>
      <w:pPr>
        <w:pStyle w:val="standard"/>
        <w:widowControl/>
        <w:spacing w:lineRule="auto" w:line="240"/>
        <w:ind w:hanging="0" w:start="720"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The end of the rate freeze occurs on the date the utility has recovered “commission-authorized costs for utility generation-related assets and obligations,” as set forth in § 368(a) and with the exceptions and conditions set forth in § 367 and 376.  This is the sole criterion for determining the end of the rate freeze.</w:t>
      </w:r>
      <w:r>
        <w:rPr>
          <w:rStyle w:val="FootnoteCharacters"/>
          <w:rStyle w:val="FootnoteReference"/>
          <w:rFonts w:eastAsia="Times New Roman;Times New Roman" w:cs="Times New Roman;Times New Roman" w:ascii="Times New Roman;Times New Roman" w:hAnsi="Times New Roman;Times New Roman"/>
        </w:rPr>
        <w:footnoteReference w:id="4"/>
      </w:r>
    </w:p>
    <w:p>
      <w:pPr>
        <w:pStyle w:val="standard"/>
        <w:widowControl/>
        <w:spacing w:lineRule="auto" w:line="240"/>
        <w:ind w:hanging="0" w:start="720" w:end="72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standard"/>
        <w:widowControl/>
        <w:ind w:hanging="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 xml:space="preserve">However, the simple fact is that Edison has not yet, “recovered commission-authorized costs” for its generation-related assets.  Rather, it has instead submitted proposals to the Commission seeking approval of plans to divest certain remaining generation assets.  Those proposals have not yet been approved by the Commission, yet Edison ignores this rather significant fact in its rush to claim the rate freeze has ended.  </w:t>
      </w:r>
    </w:p>
    <w:p>
      <w:pPr>
        <w:pStyle w:val="standard"/>
        <w:widowControl/>
        <w:ind w:hanging="0" w:end="0"/>
        <w:jc w:val="both"/>
        <w:rPr/>
      </w:pPr>
      <w:r>
        <w:rPr>
          <w:rFonts w:eastAsia="Times New Roman;Times New Roman" w:cs="Times New Roman;Times New Roman" w:ascii="Times New Roman;Times New Roman" w:hAnsi="Times New Roman;Times New Roman"/>
          <w:sz w:val="24"/>
          <w:szCs w:val="24"/>
        </w:rPr>
        <w:tab/>
        <w:t xml:space="preserve">D.99-10-057 notes that, “The settlement filed by SCE, ARM, and WPTF provides that the end of the rate freeze would not occur until the Commission has valued SCE’s retained generation assets.” </w:t>
      </w:r>
      <w:r>
        <w:rPr>
          <w:rStyle w:val="FootnoteCharacters"/>
          <w:rStyle w:val="FootnoteReference"/>
          <w:rFonts w:eastAsia="Times New Roman;Times New Roman" w:cs="Times New Roman;Times New Roman" w:ascii="Times New Roman;Times New Roman" w:hAnsi="Times New Roman;Times New Roman"/>
        </w:rPr>
        <w:footnoteReference w:id="5"/>
      </w:r>
      <w:r>
        <w:rPr>
          <w:rFonts w:eastAsia="Times New Roman;Times New Roman" w:cs="Times New Roman;Times New Roman" w:ascii="Times New Roman;Times New Roman" w:hAnsi="Times New Roman;Times New Roman"/>
          <w:sz w:val="24"/>
          <w:szCs w:val="24"/>
        </w:rPr>
        <w:t xml:space="preserve">  It also observes that, “Accordingly, we find that interim or final market valuations, to the extent they remain the Commission’s responsibility, </w:t>
      </w:r>
      <w:r>
        <w:rPr>
          <w:rFonts w:eastAsia="Times New Roman;Times New Roman" w:cs="Times New Roman;Times New Roman" w:ascii="Times New Roman;Times New Roman" w:hAnsi="Times New Roman;Times New Roman"/>
          <w:sz w:val="24"/>
          <w:szCs w:val="24"/>
          <w:u w:val="single"/>
        </w:rPr>
        <w:t>will precede the end of the rate freeze</w:t>
      </w:r>
      <w:r>
        <w:rPr>
          <w:rFonts w:eastAsia="Times New Roman;Times New Roman" w:cs="Times New Roman;Times New Roman" w:ascii="Times New Roman;Times New Roman" w:hAnsi="Times New Roman;Times New Roman"/>
          <w:sz w:val="24"/>
          <w:szCs w:val="24"/>
        </w:rPr>
        <w:t xml:space="preserve">.” </w:t>
      </w:r>
      <w:r>
        <w:rPr>
          <w:rStyle w:val="FootnoteCharacters"/>
          <w:rStyle w:val="FootnoteReference"/>
          <w:rFonts w:eastAsia="Times New Roman;Times New Roman" w:cs="Times New Roman;Times New Roman" w:ascii="Times New Roman;Times New Roman" w:hAnsi="Times New Roman;Times New Roman"/>
        </w:rPr>
        <w:footnoteReference w:id="6"/>
      </w:r>
      <w:r>
        <w:rPr>
          <w:rFonts w:eastAsia="Times New Roman;Times New Roman" w:cs="Times New Roman;Times New Roman" w:ascii="Times New Roman;Times New Roman" w:hAnsi="Times New Roman;Times New Roman"/>
          <w:sz w:val="24"/>
          <w:szCs w:val="24"/>
        </w:rPr>
        <w:t xml:space="preserve"> [Emphasis added.]  The reference to whether valuations would remain the Commission’s responsibility referred to the possibility that the Legislature might act to pass legislation which preempted the Commission’s authority to value the utilities’ hydroelectric assets.  However, such legislation has not been passed.  The Commission </w:t>
      </w:r>
      <w:r>
        <w:rPr>
          <w:rFonts w:eastAsia="Times New Roman;Times New Roman" w:cs="Times New Roman;Times New Roman" w:ascii="Times New Roman;Times New Roman" w:hAnsi="Times New Roman;Times New Roman"/>
          <w:sz w:val="24"/>
          <w:szCs w:val="24"/>
          <w:u w:val="single"/>
        </w:rPr>
        <w:t>has</w:t>
      </w:r>
      <w:r>
        <w:rPr>
          <w:rFonts w:eastAsia="Times New Roman;Times New Roman" w:cs="Times New Roman;Times New Roman" w:ascii="Times New Roman;Times New Roman" w:hAnsi="Times New Roman;Times New Roman"/>
          <w:sz w:val="24"/>
          <w:szCs w:val="24"/>
        </w:rPr>
        <w:t xml:space="preserve"> retained the responsibility for valuing the utilities’ remaining generation assets.  Therefore, it is clear that D.99-10-057 specifies that Commission action must, “precede the end of the rate freeze.”  </w:t>
      </w:r>
    </w:p>
    <w:p>
      <w:pPr>
        <w:pStyle w:val="standard"/>
        <w:widowControl/>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t>As the Commission has not acted, the rate freeze has not ended.  Therefore the fundamental rationale in Edison’s motion is faulty and incorrect.  Its rate stabilization filing is premature, motivated by the purchased power undercollections which the utility continues to accrue, rather than by the required final Commission action to value their remaining generation assets.  Likewise, its motion to sever the PX Credit issue is also inappropriate and should be rejected, as the logical premise on which it is based has been demonstrated to be fallacious.</w:t>
      </w:r>
    </w:p>
    <w:p>
      <w:pPr>
        <w:pStyle w:val="Normal"/>
        <w:spacing w:lineRule="auto" w:line="360"/>
        <w:ind w:firstLine="720" w:end="0"/>
        <w:jc w:val="both"/>
        <w:rPr>
          <w:rFonts w:ascii="Times New Roman;Times New Roman" w:hAnsi="Times New Roman;Times New Roman" w:eastAsia="Times New Roman;Times New Roman" w:cs="Times New Roman;Times New Roman"/>
          <w:b/>
          <w:bCs/>
          <w:sz w:val="24"/>
          <w:szCs w:val="24"/>
        </w:rPr>
      </w:pPr>
      <w:r>
        <w:rPr>
          <w:rFonts w:eastAsia="Times New Roman;Times New Roman" w:cs="Times New Roman;Times New Roman"/>
          <w:b/>
          <w:bCs/>
          <w:sz w:val="24"/>
          <w:szCs w:val="24"/>
        </w:rPr>
      </w:r>
    </w:p>
    <w:p>
      <w:pPr>
        <w:pStyle w:val="Normal"/>
        <w:spacing w:lineRule="auto" w:line="360"/>
        <w:ind w:start="720" w:end="0"/>
        <w:jc w:val="both"/>
        <w:rPr/>
      </w:pPr>
      <w:r>
        <w:rPr>
          <w:b/>
          <w:bCs/>
        </w:rPr>
        <w:t>D.  Edison’s Proposal Would Violate the</w:t>
      </w:r>
      <w:r>
        <w:rPr/>
        <w:t xml:space="preserve"> </w:t>
      </w:r>
      <w:r>
        <w:rPr>
          <w:b/>
          <w:bCs/>
        </w:rPr>
        <w:t>Scoping Memo Issued in This Proceeding</w:t>
      </w:r>
    </w:p>
    <w:p>
      <w:pPr>
        <w:pStyle w:val="Normal"/>
        <w:widowControl/>
        <w:spacing w:lineRule="auto" w:line="360"/>
        <w:ind w:firstLine="720" w:end="0"/>
        <w:jc w:val="both"/>
        <w:rPr/>
      </w:pPr>
      <w:r>
        <w:rPr/>
        <w:t xml:space="preserve">The October 19, 1999 Scoping Memo and Ruling of Assigned Commissioner notes, at page 3, that, “These applications were filed on August 9, 1999.  In no event will resolution exceed 18 months from the date of filing, pursuant to Rule 6(e).”  Therefore, the 1999 RAP proceeding must be concluded by February 9, 2001.  </w:t>
      </w:r>
    </w:p>
    <w:p>
      <w:pPr>
        <w:pStyle w:val="Normal"/>
        <w:widowControl/>
        <w:spacing w:lineRule="auto" w:line="360"/>
        <w:ind w:firstLine="720" w:end="0"/>
        <w:jc w:val="both"/>
        <w:rPr/>
      </w:pPr>
      <w:r>
        <w:rPr/>
        <w:t>As noted above in Section II. B., it is exceptionally unlikely that Edison’s rate stabilization application will be acted upon by the Commission in this time period.  The application is controversial.  It assumes an end to the rate freeze which can and will be fairly challenged by numerous parties.  It will result in the current high electricity prices which Edison is incurring being passed on to the utility’s customers, which will undoubtedly cause a firestorm of opposition from consumer interests both inside and outside the Commission.  In short, it is not a routine filing which will slide by with little fanfare or notice from interested parties.  As this proceeding cannot and should not be delayed beyond the time limit specified in Rule 6(e), Edison’s request should be rejected.</w:t>
      </w:r>
    </w:p>
    <w:p>
      <w:pPr>
        <w:pStyle w:val="sub2"/>
        <w:widowControl/>
        <w:spacing w:lineRule="auto" w:line="240"/>
        <w:ind w:hanging="0" w:start="1440" w:end="144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sz w:val="24"/>
          <w:szCs w:val="24"/>
        </w:rPr>
      </w:r>
    </w:p>
    <w:p>
      <w:pPr>
        <w:pStyle w:val="Normal"/>
        <w:numPr>
          <w:ilvl w:val="0"/>
          <w:numId w:val="6"/>
        </w:numPr>
        <w:tabs>
          <w:tab w:val="clear" w:pos="720"/>
          <w:tab w:val="left" w:pos="0" w:leader="none"/>
        </w:tabs>
        <w:spacing w:before="0" w:after="120"/>
        <w:ind w:hanging="720" w:start="1440" w:end="0"/>
        <w:jc w:val="both"/>
        <w:rPr>
          <w:b/>
          <w:bCs/>
        </w:rPr>
      </w:pPr>
      <w:r>
        <w:rPr>
          <w:b/>
          <w:bCs/>
        </w:rPr>
        <w:t>The Claim that the Proposed Rate Stabilization Plan Obviates the Need for the PX Credit is Wrong.  Moreover, it Portends More Protracted Regulatory Litigation on the Issue of Quantifying Procurement Costs.</w:t>
      </w:r>
    </w:p>
    <w:p>
      <w:pPr>
        <w:pStyle w:val="Normal"/>
        <w:spacing w:lineRule="auto" w:line="360"/>
        <w:ind w:firstLine="720" w:end="0"/>
        <w:jc w:val="both"/>
        <w:rPr/>
      </w:pPr>
      <w:r>
        <w:rPr/>
        <w:t xml:space="preserve">Edison claims that there will be no need for a PX Credit or a PX charge after the end of the rate freeze.  We are told that, “Direct access customers would pay for the energy that their Energy Service Providers procure, but would not pay for SCE’s energy procurement costs after the Commission issues a decision in Phase I of A.00-11-038.” </w:t>
      </w:r>
      <w:r>
        <w:rPr>
          <w:rStyle w:val="FootnoteCharacters"/>
          <w:rStyle w:val="FootnoteReference"/>
        </w:rPr>
        <w:footnoteReference w:id="7"/>
      </w:r>
      <w:r>
        <w:rPr/>
        <w:t xml:space="preserve">  Edison then notes that its proposal will remove the need for a PX Credit or PX charge after the end of the rate freeze. There are four obvious flaws to this contention.  </w:t>
      </w:r>
    </w:p>
    <w:p>
      <w:pPr>
        <w:pStyle w:val="Normal"/>
        <w:spacing w:lineRule="auto" w:line="360"/>
        <w:ind w:firstLine="720" w:end="0"/>
        <w:jc w:val="both"/>
        <w:rPr/>
      </w:pPr>
      <w:r>
        <w:rPr/>
        <w:t xml:space="preserve">First, the utility’s suggestion that there will be no PX Credit after the rate freeze ends is mere semantics.  The fundamental fact is that the Commission will have to have some mechanism  to enable direct access customers to avoid paying for utility services which they do not receive.  Whether this is called a PX Credit or something else is immaterial.  It is the concept which is essential and the simple renaming of the regulatory mechanism does not undercut the necessity for direct access customers to be protected.  </w:t>
      </w:r>
    </w:p>
    <w:p>
      <w:pPr>
        <w:pStyle w:val="Normal"/>
        <w:spacing w:lineRule="auto" w:line="360"/>
        <w:ind w:firstLine="720" w:end="0"/>
        <w:jc w:val="both"/>
        <w:rPr/>
      </w:pPr>
      <w:r>
        <w:rPr/>
        <w:t xml:space="preserve">Second, by referring only to procurement costs, the utility ignores the associated retail marketing and customer service functions which were also part of the 1998 RAP Decision order to calculate the LRMC associated with the utilities’ procurement.  Are direct access customers to be expected to pay for Edison’s retail marketing and customer service functions even though they do not benefit from these activities?  Haven’t we already been over this subject, in copious detail, in </w:t>
      </w:r>
      <w:r>
        <w:rPr>
          <w:u w:val="single"/>
        </w:rPr>
        <w:t>this</w:t>
      </w:r>
      <w:r>
        <w:rPr/>
        <w:t xml:space="preserve"> proceeding?  Are we to litigate it once again?</w:t>
      </w:r>
    </w:p>
    <w:p>
      <w:pPr>
        <w:pStyle w:val="Normal"/>
        <w:spacing w:lineRule="auto" w:line="360"/>
        <w:ind w:firstLine="720" w:end="0"/>
        <w:jc w:val="both"/>
        <w:rPr/>
      </w:pPr>
      <w:r>
        <w:rPr/>
        <w:t xml:space="preserve">Third, the utility blithely states that direct access customers will not pay for the utility’s procurement costs.  And just who, pray tell, is to determine exactly what those procurement costs are to be?  Could it possibly be the same utility who magnanimously offered a whopping PX Credit adder of two-one thousandths of a cent per kWh in its original filed testimony in this proceeding?  Direct access customers will be </w:t>
      </w:r>
      <w:r>
        <w:rPr>
          <w:u w:val="single"/>
        </w:rPr>
        <w:t>so</w:t>
      </w:r>
      <w:r>
        <w:rPr/>
        <w:t xml:space="preserve"> relieved to learn that Edison is looking out for their interests in its new rate stabilization plan filing.  Blanche Dubois may have been content to, “rely on the kindness of strangers,” but direct access customers have learned better than to rely on the kindness of Edison.</w:t>
      </w:r>
      <w:r>
        <w:rPr>
          <w:rStyle w:val="FootnoteCharacters"/>
        </w:rPr>
        <w:t xml:space="preserve"> </w:t>
      </w:r>
      <w:r>
        <w:rPr>
          <w:rStyle w:val="FootnoteCharacters"/>
          <w:rStyle w:val="FootnoteReference"/>
        </w:rPr>
        <w:footnoteReference w:id="8"/>
      </w:r>
    </w:p>
    <w:p>
      <w:pPr>
        <w:pStyle w:val="Normal"/>
        <w:spacing w:lineRule="auto" w:line="360"/>
        <w:ind w:firstLine="720" w:end="0"/>
        <w:jc w:val="both"/>
        <w:rPr/>
      </w:pPr>
      <w:r>
        <w:rPr/>
        <w:t>Fourth, once again, ARM notes that we have just spent over a year in a very lengthy proceeding to determine what an appropriate PX Credit adder should be.  If the efforts of parties in this proceeding to resolve this issue in this proceeding were to be disregarded, as Edison proposes, it will simply result in further protracted litigation on exactly the same subject at a later date.  To suggest that all of this effort was to no avail and that now Edison is going to simply take care of this issue on its own is ludicrous.  Moreover, it is wasteful of the time and resources of both the Commission and all those parties who have acted in good faith to resolve the PX Credit issue in this proceeding.  Edison’s motion would lead to a protracted re-litigation of exactly the same issue, delaying further the ability of direct access customers to avoid paying for services they do not receive.</w:t>
      </w:r>
    </w:p>
    <w:p>
      <w:pPr>
        <w:pStyle w:val="sub1"/>
        <w:ind w:firstLine="720" w:end="0"/>
        <w:jc w:val="both"/>
        <w:rPr>
          <w:rFonts w:ascii="Times New Roman;Times New Roman" w:hAnsi="Times New Roman;Times New Roman" w:eastAsia="Times New Roman;Times New Roman" w:cs="Times New Roman;Times New Roman"/>
          <w:b/>
          <w:bCs/>
          <w:sz w:val="24"/>
          <w:szCs w:val="24"/>
        </w:rPr>
      </w:pPr>
      <w:r>
        <w:rPr>
          <w:rFonts w:eastAsia="Times New Roman;Times New Roman" w:cs="Times New Roman;Times New Roman" w:ascii="Times New Roman;Times New Roman" w:hAnsi="Times New Roman;Times New Roman"/>
          <w:b/>
          <w:bCs/>
          <w:sz w:val="24"/>
          <w:szCs w:val="24"/>
        </w:rPr>
      </w:r>
    </w:p>
    <w:p>
      <w:pPr>
        <w:pStyle w:val="sub1"/>
        <w:ind w:firstLine="720" w:end="0"/>
        <w:jc w:val="both"/>
        <w:rPr>
          <w:rFonts w:ascii="Times New Roman;Times New Roman" w:hAnsi="Times New Roman;Times New Roman" w:eastAsia="Times New Roman;Times New Roman" w:cs="Times New Roman;Times New Roman"/>
          <w:sz w:val="24"/>
          <w:szCs w:val="24"/>
        </w:rPr>
      </w:pPr>
      <w:r>
        <w:rPr>
          <w:rFonts w:eastAsia="Times New Roman;Times New Roman" w:cs="Times New Roman;Times New Roman" w:ascii="Times New Roman;Times New Roman" w:hAnsi="Times New Roman;Times New Roman"/>
          <w:b/>
          <w:bCs/>
          <w:sz w:val="24"/>
          <w:szCs w:val="24"/>
        </w:rPr>
        <w:t>III.  CONCLUSION</w:t>
      </w:r>
    </w:p>
    <w:p>
      <w:pPr>
        <w:pStyle w:val="sub2"/>
        <w:widowControl/>
        <w:ind w:firstLine="72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While the Edison motion may win style points for its sheer effrontery and outrageous chutzpah, it is sadly lacking in fundamental fairness to direct access customers.  It also ignores (and thereby diminishes) the long hours of effort which this proceeding’s many participants have devoted to resolution of the PX Credit issue.  The Edison Motion should be denied for the following reasons:</w:t>
      </w:r>
    </w:p>
    <w:p>
      <w:pPr>
        <w:pStyle w:val="sub2"/>
        <w:widowControl/>
        <w:numPr>
          <w:ilvl w:val="0"/>
          <w:numId w:val="7"/>
        </w:numPr>
        <w:tabs>
          <w:tab w:val="clear" w:pos="720"/>
          <w:tab w:val="left" w:pos="0" w:leader="none"/>
        </w:tabs>
        <w:ind w:hanging="720" w:start="144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It harms the interest of direct access customers and frustrates the development of retail competition;</w:t>
      </w:r>
    </w:p>
    <w:p>
      <w:pPr>
        <w:pStyle w:val="sub2"/>
        <w:widowControl/>
        <w:numPr>
          <w:ilvl w:val="0"/>
          <w:numId w:val="7"/>
        </w:numPr>
        <w:tabs>
          <w:tab w:val="clear" w:pos="720"/>
          <w:tab w:val="left" w:pos="0" w:leader="none"/>
        </w:tabs>
        <w:ind w:hanging="720" w:start="144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It inaccurately suggests that the utility’s rate stabilization application will be resolved quickly when the truth of the matter is that it raises many issues of a highly controversial and contentious nature which will be hotly litigated;</w:t>
      </w:r>
    </w:p>
    <w:p>
      <w:pPr>
        <w:pStyle w:val="sub2"/>
        <w:widowControl/>
        <w:numPr>
          <w:ilvl w:val="0"/>
          <w:numId w:val="7"/>
        </w:numPr>
        <w:tabs>
          <w:tab w:val="clear" w:pos="720"/>
          <w:tab w:val="left" w:pos="0" w:leader="none"/>
        </w:tabs>
        <w:ind w:hanging="720" w:start="144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The utility relies on its inaccurate contention that the rate freeze has ended, even though the Commission has not acted to value its remaining generation assets;</w:t>
      </w:r>
    </w:p>
    <w:p>
      <w:pPr>
        <w:pStyle w:val="sub2"/>
        <w:widowControl/>
        <w:numPr>
          <w:ilvl w:val="0"/>
          <w:numId w:val="7"/>
        </w:numPr>
        <w:tabs>
          <w:tab w:val="clear" w:pos="720"/>
          <w:tab w:val="left" w:pos="0" w:leader="none"/>
        </w:tabs>
        <w:ind w:hanging="720" w:start="144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Approval of the Motion would violate the direction in the Scoping Memo that this proceeding is to be completed within eighteen months of its commencement;</w:t>
      </w:r>
    </w:p>
    <w:p>
      <w:pPr>
        <w:pStyle w:val="sub2"/>
        <w:widowControl/>
        <w:numPr>
          <w:ilvl w:val="0"/>
          <w:numId w:val="7"/>
        </w:numPr>
        <w:tabs>
          <w:tab w:val="clear" w:pos="720"/>
          <w:tab w:val="left" w:pos="0" w:leader="none"/>
        </w:tabs>
        <w:ind w:hanging="360" w:start="144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 xml:space="preserve">The Motion would cause the issue of an appropriate credit for the utility’s procurement and related </w:t>
      </w:r>
      <w:r>
        <w:rPr>
          <w:rFonts w:eastAsia="Times New Roman;Times New Roman" w:cs="Times New Roman;Times New Roman" w:ascii="Times New Roman;Times New Roman" w:hAnsi="Times New Roman;Times New Roman"/>
          <w:sz w:val="24"/>
          <w:szCs w:val="24"/>
        </w:rPr>
        <w:t>associated retail marketing and customer service functions to be re-litigated, which would be wasteful of the time and resources of the Commission and the other parties to this proceeding.</w:t>
      </w:r>
    </w:p>
    <w:p>
      <w:pPr>
        <w:pStyle w:val="sub2"/>
        <w:widowControl/>
        <w:ind w:firstLine="720" w:end="0"/>
        <w:jc w:val="both"/>
        <w:rPr/>
      </w:pPr>
      <w:r>
        <w:rPr>
          <w:rFonts w:eastAsia="Times New Roman;Times New Roman" w:cs="Times New Roman;Times New Roman" w:ascii="Times New Roman;Times New Roman" w:hAnsi="Times New Roman;Times New Roman"/>
          <w:spacing w:val="-3"/>
          <w:sz w:val="24"/>
          <w:szCs w:val="24"/>
        </w:rPr>
        <w:t xml:space="preserve">Edison’s request that the Commission defer decision on the PX Credit adder should be rejected.  Approval of the request would violate </w:t>
      </w:r>
      <w:r>
        <w:rPr>
          <w:rFonts w:eastAsia="Times New Roman;Times New Roman" w:cs="Times New Roman;Times New Roman" w:ascii="Times New Roman;Times New Roman" w:hAnsi="Times New Roman;Times New Roman"/>
          <w:sz w:val="24"/>
          <w:szCs w:val="24"/>
        </w:rPr>
        <w:t xml:space="preserve">the eighteen month time limit specified in Rule 6(e), </w:t>
      </w:r>
      <w:r>
        <w:rPr>
          <w:rFonts w:eastAsia="Times New Roman;Times New Roman" w:cs="Times New Roman;Times New Roman" w:ascii="Times New Roman;Times New Roman" w:hAnsi="Times New Roman;Times New Roman"/>
          <w:spacing w:val="-3"/>
          <w:sz w:val="24"/>
          <w:szCs w:val="24"/>
        </w:rPr>
        <w:t xml:space="preserve">cause direct access customers </w:t>
      </w:r>
      <w:r>
        <w:rPr>
          <w:rFonts w:eastAsia="Times New Roman;Times New Roman" w:cs="Times New Roman;Times New Roman" w:ascii="Times New Roman;Times New Roman" w:hAnsi="Times New Roman;Times New Roman"/>
          <w:sz w:val="24"/>
          <w:szCs w:val="24"/>
        </w:rPr>
        <w:t xml:space="preserve">to wait additional years to receive the PX credit adder to which they are entitled and constitute a wholly unjustified delay in the implementation of action to promote competitive markets.  </w:t>
      </w:r>
    </w:p>
    <w:p>
      <w:pPr>
        <w:pStyle w:val="sub2"/>
        <w:widowControl/>
        <w:ind w:firstLine="720" w:end="0"/>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t>For the aforementioned reasons, ARM respectfully requests that the Commission reject the Edison Motion, with prejudice, and issue its final decision in this proceeding as soon as possible.</w:t>
      </w:r>
    </w:p>
    <w:p>
      <w:pPr>
        <w:pStyle w:val="sub1"/>
        <w:widowControl/>
        <w:jc w:val="both"/>
        <w:rPr>
          <w:rFonts w:ascii="Times New Roman;Times New Roman" w:hAnsi="Times New Roman;Times New Roman" w:eastAsia="Times New Roman;Times New Roman" w:cs="Times New Roman;Times New Roman"/>
          <w:spacing w:val="-3"/>
          <w:sz w:val="24"/>
          <w:szCs w:val="24"/>
        </w:rPr>
      </w:pPr>
      <w:r>
        <w:rPr>
          <w:rFonts w:eastAsia="Times New Roman;Times New Roman" w:cs="Times New Roman;Times New Roman" w:ascii="Times New Roman;Times New Roman" w:hAnsi="Times New Roman;Times New Roman"/>
          <w:spacing w:val="-3"/>
          <w:sz w:val="24"/>
          <w:szCs w:val="24"/>
        </w:rPr>
      </w:r>
    </w:p>
    <w:p>
      <w:pPr>
        <w:pStyle w:val="Normal"/>
        <w:tabs>
          <w:tab w:val="clear" w:pos="720"/>
          <w:tab w:val="left" w:pos="-720" w:leader="none"/>
        </w:tabs>
        <w:suppressAutoHyphens w:val="true"/>
        <w:spacing w:lineRule="auto" w:line="480"/>
        <w:ind w:start="1509" w:end="0"/>
        <w:jc w:val="both"/>
        <w:rPr/>
      </w:pPr>
      <w:r>
        <w:rPr/>
        <w:tab/>
        <w:tab/>
        <w:tab/>
        <w:tab/>
      </w:r>
      <w:r>
        <w:rPr>
          <w:spacing w:val="-3"/>
        </w:rPr>
        <w:t>Respectfully submitted,</w:t>
        <w:tab/>
        <w:tab/>
        <w:tab/>
        <w:tab/>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r>
    </w:p>
    <w:p>
      <w:pPr>
        <w:pStyle w:val="Normal"/>
        <w:tabs>
          <w:tab w:val="clear" w:pos="720"/>
          <w:tab w:val="left" w:pos="-720" w:leader="none"/>
        </w:tabs>
        <w:suppressAutoHyphens w:val="true"/>
        <w:jc w:val="both"/>
        <w:rPr>
          <w:spacing w:val="-3"/>
        </w:rPr>
      </w:pPr>
      <w:r>
        <w:rPr>
          <w:spacing w:val="-3"/>
        </w:rPr>
        <w:tab/>
        <w:tab/>
        <w:tab/>
        <w:tab/>
        <w:tab/>
        <w:tab/>
        <w:t>________________________________</w:t>
      </w:r>
    </w:p>
    <w:p>
      <w:pPr>
        <w:pStyle w:val="Normal"/>
        <w:tabs>
          <w:tab w:val="clear" w:pos="720"/>
          <w:tab w:val="left" w:pos="-720" w:leader="none"/>
        </w:tabs>
        <w:suppressAutoHyphens w:val="true"/>
        <w:jc w:val="both"/>
        <w:rPr>
          <w:spacing w:val="-3"/>
        </w:rPr>
      </w:pPr>
      <w:r>
        <w:rPr>
          <w:spacing w:val="-3"/>
        </w:rPr>
        <w:tab/>
        <w:tab/>
        <w:tab/>
        <w:tab/>
        <w:tab/>
        <w:tab/>
        <w:t>Daniel W. Douglass</w:t>
      </w:r>
    </w:p>
    <w:p>
      <w:pPr>
        <w:pStyle w:val="Normal"/>
        <w:jc w:val="both"/>
        <w:rPr/>
      </w:pPr>
      <w:r>
        <w:rPr>
          <w:spacing w:val="-3"/>
        </w:rPr>
        <w:tab/>
        <w:tab/>
        <w:tab/>
        <w:tab/>
        <w:tab/>
        <w:tab/>
      </w:r>
      <w:r>
        <w:rPr/>
        <w:t>Arter &amp; Hadden LLP</w:t>
      </w:r>
    </w:p>
    <w:p>
      <w:pPr>
        <w:pStyle w:val="Normal"/>
        <w:jc w:val="both"/>
        <w:rPr/>
      </w:pPr>
      <w:r>
        <w:rPr/>
      </w:r>
    </w:p>
    <w:p>
      <w:pPr>
        <w:pStyle w:val="Normal"/>
        <w:jc w:val="both"/>
        <w:rPr/>
      </w:pPr>
      <w:r>
        <w:rPr/>
        <w:tab/>
        <w:tab/>
        <w:tab/>
        <w:tab/>
        <w:tab/>
        <w:tab/>
        <w:t>5959 Topanga Canyon Boulevard, Suite 244</w:t>
      </w:r>
    </w:p>
    <w:p>
      <w:pPr>
        <w:pStyle w:val="Normal"/>
        <w:jc w:val="both"/>
        <w:rPr/>
      </w:pPr>
      <w:r>
        <w:rPr/>
        <w:tab/>
        <w:tab/>
        <w:tab/>
        <w:tab/>
        <w:tab/>
        <w:tab/>
        <w:t>Woodland Hills, CA 91367</w:t>
      </w:r>
    </w:p>
    <w:p>
      <w:pPr>
        <w:pStyle w:val="Normal"/>
        <w:jc w:val="both"/>
        <w:rPr/>
      </w:pPr>
      <w:r>
        <w:rPr/>
        <w:tab/>
        <w:tab/>
        <w:tab/>
        <w:tab/>
        <w:tab/>
        <w:tab/>
        <w:t>Telephone: (818) 596-2201</w:t>
      </w:r>
    </w:p>
    <w:p>
      <w:pPr>
        <w:pStyle w:val="Normal"/>
        <w:jc w:val="both"/>
        <w:rPr/>
      </w:pPr>
      <w:r>
        <w:rPr/>
        <w:tab/>
        <w:tab/>
        <w:tab/>
        <w:tab/>
        <w:tab/>
        <w:tab/>
        <w:t>Facsimile: (818) 346-6502</w:t>
      </w:r>
    </w:p>
    <w:p>
      <w:pPr>
        <w:pStyle w:val="Normal"/>
        <w:jc w:val="both"/>
        <w:rPr/>
      </w:pPr>
      <w:r>
        <w:rPr/>
        <w:tab/>
        <w:tab/>
        <w:tab/>
        <w:tab/>
        <w:tab/>
        <w:tab/>
        <w:t>E-mail: douglass@arterhadden.com</w:t>
      </w:r>
    </w:p>
    <w:p>
      <w:pPr>
        <w:pStyle w:val="Normal"/>
        <w:jc w:val="both"/>
        <w:rPr/>
      </w:pPr>
      <w:r>
        <w:rPr/>
      </w:r>
    </w:p>
    <w:p>
      <w:pPr>
        <w:pStyle w:val="Normal"/>
        <w:jc w:val="both"/>
        <w:rPr/>
      </w:pPr>
      <w:r>
        <w:rPr/>
        <w:tab/>
        <w:tab/>
        <w:tab/>
        <w:tab/>
        <w:tab/>
        <w:tab/>
        <w:t>Counsel for the Alliance for Retail Markets</w:t>
      </w:r>
    </w:p>
    <w:p>
      <w:pPr>
        <w:pStyle w:val="Normal"/>
        <w:jc w:val="both"/>
        <w:rPr/>
      </w:pPr>
      <w:r>
        <w:rPr/>
      </w:r>
    </w:p>
    <w:p>
      <w:pPr>
        <w:pStyle w:val="Normal"/>
        <w:jc w:val="both"/>
        <w:rPr/>
      </w:pPr>
      <w:r>
        <w:rPr/>
      </w:r>
    </w:p>
    <w:p>
      <w:pPr>
        <w:pStyle w:val="Normal"/>
        <w:rPr/>
      </w:pPr>
      <w:r>
        <w:rPr/>
        <w:t>December 1, 2000</w:t>
      </w:r>
    </w:p>
    <w:p>
      <w:pPr>
        <w:sectPr>
          <w:footerReference w:type="default" r:id="rId6"/>
          <w:footerReference w:type="first" r:id="rId7"/>
          <w:footnotePr>
            <w:numFmt w:val="decimal"/>
          </w:footnotePr>
          <w:type w:val="nextPage"/>
          <w:pgSz w:w="12240" w:h="15840"/>
          <w:pgMar w:left="1440" w:right="1440" w:gutter="0" w:header="0" w:top="1440" w:footer="576" w:bottom="1440"/>
          <w:pgNumType w:start="0" w:fmt="decimal"/>
          <w:formProt w:val="false"/>
          <w:titlePg/>
          <w:textDirection w:val="lrTb"/>
        </w:sectPr>
      </w:pPr>
    </w:p>
    <w:p>
      <w:pPr>
        <w:pStyle w:val="Normal"/>
        <w:tabs>
          <w:tab w:val="clear" w:pos="720"/>
          <w:tab w:val="left" w:pos="-1440" w:leader="none"/>
          <w:tab w:val="left" w:pos="-720" w:leader="none"/>
        </w:tabs>
        <w:jc w:val="center"/>
        <w:rPr>
          <w:b/>
          <w:bCs/>
        </w:rPr>
      </w:pPr>
      <w:r>
        <w:rPr>
          <w:b/>
          <w:bCs/>
        </w:rPr>
        <w:t>CERTIFICATE OF SERVICE</w:t>
      </w:r>
    </w:p>
    <w:p>
      <w:pPr>
        <w:pStyle w:val="Normal"/>
        <w:tabs>
          <w:tab w:val="clear" w:pos="720"/>
          <w:tab w:val="left" w:pos="-1440" w:leader="none"/>
          <w:tab w:val="left" w:pos="-720" w:leader="none"/>
        </w:tabs>
        <w:jc w:val="both"/>
        <w:rPr/>
      </w:pPr>
      <w:r>
        <w:rPr/>
      </w:r>
    </w:p>
    <w:p>
      <w:pPr>
        <w:pStyle w:val="Normal"/>
        <w:tabs>
          <w:tab w:val="clear" w:pos="720"/>
          <w:tab w:val="left" w:pos="-1440" w:leader="none"/>
          <w:tab w:val="left" w:pos="-720" w:leader="none"/>
        </w:tabs>
        <w:jc w:val="both"/>
        <w:rPr/>
      </w:pPr>
      <w:r>
        <w:rPr/>
      </w:r>
    </w:p>
    <w:p>
      <w:pPr>
        <w:pStyle w:val="Normal"/>
        <w:widowControl/>
        <w:ind w:firstLine="720" w:end="0"/>
        <w:jc w:val="both"/>
        <w:rPr/>
      </w:pPr>
      <w:r>
        <w:rPr/>
        <w:t>I hereby certify that I have this day served a copy of the</w:t>
      </w:r>
      <w:r>
        <w:rPr>
          <w:b/>
          <w:bCs/>
        </w:rPr>
        <w:t xml:space="preserve"> COMMENTS OF THE ALLIANCE FOR RETAIL MARKETS ON THE MOTION OF SOUTHERN CALIFORNIA EDISON TO SEVER THE PX CREDIT ISSUE FROM THE COMMISSION’S DECISION</w:t>
      </w:r>
      <w:r>
        <w:rPr/>
        <w:t xml:space="preserve"> on all parties of record Application 99-08-022, et al., by mailing a properly addressed copy by first-class mail with postage prepaid to each party.</w:t>
      </w:r>
    </w:p>
    <w:p>
      <w:pPr>
        <w:pStyle w:val="Normal"/>
        <w:suppressAutoHyphens w:val="true"/>
        <w:ind w:firstLine="720" w:end="0"/>
        <w:jc w:val="both"/>
        <w:rPr/>
      </w:pPr>
      <w:r>
        <w:rPr/>
      </w:r>
    </w:p>
    <w:p>
      <w:pPr>
        <w:pStyle w:val="Normal"/>
        <w:suppressAutoHyphens w:val="true"/>
        <w:ind w:firstLine="720" w:end="0"/>
        <w:jc w:val="both"/>
        <w:rPr/>
      </w:pPr>
      <w:r>
        <w:rPr/>
        <w:t>Executed on December 1, 2000, at Woodland Hills, California.</w:t>
      </w:r>
    </w:p>
    <w:p>
      <w:pPr>
        <w:pStyle w:val="Normal"/>
        <w:tabs>
          <w:tab w:val="clear" w:pos="720"/>
          <w:tab w:val="left" w:pos="-1440" w:leader="none"/>
          <w:tab w:val="left" w:pos="-720" w:leader="none"/>
        </w:tabs>
        <w:spacing w:lineRule="auto" w:line="480"/>
        <w:jc w:val="both"/>
        <w:rPr/>
      </w:pPr>
      <w:r>
        <w:rPr/>
      </w:r>
    </w:p>
    <w:p>
      <w:pPr>
        <w:pStyle w:val="Normal"/>
        <w:tabs>
          <w:tab w:val="clear" w:pos="720"/>
          <w:tab w:val="left" w:pos="-1440" w:leader="none"/>
          <w:tab w:val="left" w:pos="-720" w:leader="none"/>
        </w:tabs>
        <w:spacing w:lineRule="auto" w:line="480"/>
        <w:jc w:val="both"/>
        <w:rPr/>
      </w:pPr>
      <w:r>
        <w:rPr/>
        <w:tab/>
        <w:tab/>
        <w:tab/>
        <w:tab/>
        <w:tab/>
        <w:tab/>
        <w:tab/>
        <w:t>_______________________________</w:t>
      </w:r>
    </w:p>
    <w:tbl>
      <w:tblPr>
        <w:tblW w:w="9090" w:type="dxa"/>
        <w:jc w:val="start"/>
        <w:tblInd w:w="0" w:type="dxa"/>
        <w:tblLayout w:type="fixed"/>
        <w:tblCellMar>
          <w:top w:w="0" w:type="dxa"/>
          <w:start w:w="0" w:type="dxa"/>
          <w:bottom w:w="0" w:type="dxa"/>
          <w:end w:w="0" w:type="dxa"/>
        </w:tblCellMar>
      </w:tblPr>
      <w:tblGrid>
        <w:gridCol w:w="4320"/>
        <w:gridCol w:w="4770"/>
      </w:tblGrid>
      <w:tr>
        <w:trPr/>
        <w:tc>
          <w:tcPr>
            <w:tcW w:w="4320" w:type="dxa"/>
            <w:tcBorders/>
          </w:tcPr>
          <w:p>
            <w:pPr>
              <w:pStyle w:val="Normal"/>
              <w:tabs>
                <w:tab w:val="clear" w:pos="720"/>
                <w:tab w:val="left" w:pos="-1440" w:leader="none"/>
                <w:tab w:val="left" w:pos="-720" w:leader="none"/>
              </w:tabs>
              <w:snapToGrid w:val="false"/>
              <w:jc w:val="both"/>
              <w:rPr/>
            </w:pPr>
            <w:r>
              <w:rPr/>
            </w:r>
          </w:p>
        </w:tc>
        <w:tc>
          <w:tcPr>
            <w:tcW w:w="4770" w:type="dxa"/>
            <w:tcBorders/>
          </w:tcPr>
          <w:p>
            <w:pPr>
              <w:pStyle w:val="Normal"/>
              <w:tabs>
                <w:tab w:val="clear" w:pos="720"/>
                <w:tab w:val="left" w:pos="-1440" w:leader="none"/>
                <w:tab w:val="left" w:pos="-720" w:leader="none"/>
              </w:tabs>
              <w:jc w:val="both"/>
              <w:rPr/>
            </w:pPr>
            <w:r>
              <w:rPr/>
              <w:tab/>
              <w:t xml:space="preserve">                  Michelle Dangott</w:t>
            </w:r>
          </w:p>
        </w:tc>
      </w:tr>
    </w:tbl>
    <w:p>
      <w:pPr>
        <w:pStyle w:val="Normal"/>
        <w:jc w:val="both"/>
        <w:rPr/>
      </w:pPr>
      <w:r>
        <w:rPr/>
      </w:r>
    </w:p>
    <w:p>
      <w:pPr>
        <w:pStyle w:val="Normal"/>
        <w:jc w:val="both"/>
        <w:rPr/>
      </w:pPr>
      <w:r>
        <w:rPr/>
      </w:r>
    </w:p>
    <w:p>
      <w:pPr>
        <w:pStyle w:val="Normal"/>
        <w:jc w:val="both"/>
        <w:rPr/>
      </w:pPr>
      <w:r>
        <w:rPr/>
      </w:r>
    </w:p>
    <w:p>
      <w:pPr>
        <w:pStyle w:val="Normal"/>
        <w:widowControl/>
        <w:tabs>
          <w:tab w:val="clear" w:pos="720"/>
          <w:tab w:val="left" w:pos="-720" w:leader="none"/>
        </w:tabs>
        <w:suppressAutoHyphens w:val="true"/>
        <w:ind w:start="1509" w:end="0"/>
        <w:jc w:val="both"/>
        <w:rPr/>
      </w:pPr>
      <w:r>
        <w:rPr/>
      </w:r>
    </w:p>
    <w:sectPr>
      <w:footerReference w:type="default" r:id="rId8"/>
      <w:footerReference w:type="first" r:id="rId9"/>
      <w:footnotePr>
        <w:numFmt w:val="decimal"/>
      </w:footnotePr>
      <w:type w:val="nextPage"/>
      <w:pgSz w:w="12240" w:h="15840"/>
      <w:pgMar w:left="1584" w:right="1584" w:gutter="0" w:header="0" w:top="1584" w:footer="720"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ourier">
    <w:altName w:val="Courier New"/>
    <w:charset w:val="01"/>
    <w:family w:val="modern"/>
    <w:pitch w:val="default"/>
  </w:font>
  <w:font w:name="PALATINO">
    <w:altName w:val="Book Antiqua"/>
    <w:charset w:val="01"/>
    <w:family w:val="roman"/>
    <w:pitch w:val="default"/>
  </w:font>
  <w:font w:name="NEWCENTURYSCHLBK">
    <w:altName w:val="Century Schoolbook"/>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widowControl/>
            <w:snapToGrid w:val="false"/>
            <w:rPr/>
          </w:pPr>
          <w:r>
            <w:rPr/>
          </w:r>
        </w:p>
      </w:tc>
      <w:tc>
        <w:tcPr>
          <w:tcW w:w="1987" w:type="dxa"/>
          <w:tcBorders/>
        </w:tcPr>
        <w:p>
          <w:pPr>
            <w:pStyle w:val="Normal"/>
            <w:widowControl/>
            <w:snapToGrid w:val="false"/>
            <w:jc w:val="center"/>
            <w:rPr/>
          </w:pPr>
          <w:r>
            <w:rPr/>
          </w:r>
        </w:p>
      </w:tc>
      <w:tc>
        <w:tcPr>
          <w:tcW w:w="3686" w:type="dxa"/>
          <w:tcBorders/>
        </w:tcPr>
        <w:p>
          <w:pPr>
            <w:pStyle w:val="Normal"/>
            <w:widowControl/>
            <w:snapToGrid w:val="false"/>
            <w:jc w:val="end"/>
            <w:rPr/>
          </w:pPr>
          <w:r>
            <w:rPr/>
          </w:r>
        </w:p>
      </w:tc>
    </w:tr>
  </w:tbl>
  <w:p>
    <w:pPr>
      <w:pStyle w:val="Footer"/>
      <w:widowContro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snapToGrid w:val="false"/>
            <w:rPr/>
          </w:pPr>
          <w:r>
            <w:rPr/>
          </w:r>
        </w:p>
      </w:tc>
      <w:tc>
        <w:tcPr>
          <w:tcW w:w="1987" w:type="dxa"/>
          <w:tcBorders/>
        </w:tcPr>
        <w:p>
          <w:pPr>
            <w:pStyle w:val="Normal"/>
            <w:jc w:val="center"/>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7</w:t>
          </w:r>
          <w:r>
            <w:rPr>
              <w:rStyle w:val="PageNumber"/>
              <w:sz w:val="24"/>
              <w:szCs w:val="24"/>
            </w:rPr>
            <w:fldChar w:fldCharType="end"/>
          </w:r>
        </w:p>
      </w:tc>
      <w:tc>
        <w:tcPr>
          <w:tcW w:w="3690" w:type="dxa"/>
          <w:tcBorders/>
        </w:tcPr>
        <w:p>
          <w:pPr>
            <w:pStyle w:val="Normal"/>
            <w:snapToGrid w:val="false"/>
            <w:jc w:val="end"/>
            <w:rPr/>
          </w:pPr>
          <w:r>
            <w:rPr/>
          </w:r>
        </w:p>
      </w:tc>
    </w:tr>
  </w:tbl>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3802"/>
      <w:gridCol w:w="1987"/>
      <w:gridCol w:w="3686"/>
    </w:tblGrid>
    <w:tr>
      <w:trPr/>
      <w:tc>
        <w:tcPr>
          <w:tcW w:w="3802" w:type="dxa"/>
          <w:tcBorders/>
        </w:tcPr>
        <w:p>
          <w:pPr>
            <w:pStyle w:val="FooterTxt"/>
            <w:snapToGrid w:val="false"/>
            <w:rPr/>
          </w:pPr>
          <w:r>
            <w:rPr/>
          </w:r>
        </w:p>
      </w:tc>
      <w:tc>
        <w:tcPr>
          <w:tcW w:w="1987" w:type="dxa"/>
          <w:tcBorders/>
        </w:tcPr>
        <w:p>
          <w:pPr>
            <w:pStyle w:val="Normal"/>
            <w:snapToGrid w:val="false"/>
            <w:jc w:val="center"/>
            <w:rPr/>
          </w:pPr>
          <w:r>
            <w:rPr/>
          </w:r>
        </w:p>
      </w:tc>
      <w:tc>
        <w:tcPr>
          <w:tcW w:w="3686" w:type="dxa"/>
          <w:tcBorders/>
        </w:tcPr>
        <w:p>
          <w:pPr>
            <w:pStyle w:val="Normal"/>
            <w:snapToGrid w:val="false"/>
            <w:jc w:val="end"/>
            <w:rPr/>
          </w:pPr>
          <w:r>
            <w:rPr/>
          </w:r>
        </w:p>
      </w:tc>
    </w:tr>
  </w:tbl>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rPr>
        <w:sz w:val="16"/>
        <w:szCs w:val="16"/>
      </w:rPr>
    </w:pPr>
    <w:r>
      <w:rPr>
        <w:sz w:val="16"/>
        <w:szCs w:val="16"/>
      </w:rPr>
      <w:t>72341/97099</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widowControl/>
                            <w:rPr>
                              <w:rStyle w:val="PageNumber"/>
                              <w:sz w:val="24"/>
                              <w:szCs w:val="24"/>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widowControl/>
                      <w:rPr>
                        <w:rStyle w:val="PageNumber"/>
                        <w:sz w:val="24"/>
                        <w:szCs w:val="24"/>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sz w:val="24"/>
          <w:szCs w:val="24"/>
        </w:rPr>
        <w:tab/>
      </w:r>
      <w:r>
        <w:rPr>
          <w:rStyle w:val="FootnoteCharacters"/>
        </w:rPr>
        <w:t>?</w:t>
      </w:r>
      <w:r>
        <w:rPr/>
        <w:t xml:space="preserve"> </w:t>
        <w:tab/>
        <w:t xml:space="preserve">Motion of Southern California Edison Company (U-338E) to Sever the PX Credit Issue from the Commission’s Decision (“Edison Motion”), at pp. 1-2. </w:t>
      </w:r>
    </w:p>
  </w:footnote>
  <w:footnote w:id="3">
    <w:p>
      <w:pPr>
        <w:pStyle w:val="FootnoteText"/>
        <w:rPr/>
      </w:pPr>
      <w:r>
        <w:rPr>
          <w:rStyle w:val="FootnoteCharacters"/>
        </w:rPr>
        <w:footnoteRef/>
      </w:r>
      <w:r>
        <w:rPr/>
        <w:tab/>
      </w:r>
      <w:r>
        <w:rPr>
          <w:rStyle w:val="FootnoteCharacters"/>
        </w:rPr>
        <w:t>?</w:t>
      </w:r>
      <w:r>
        <w:rPr/>
        <w:t xml:space="preserve"> </w:t>
      </w:r>
      <w:bookmarkStart w:id="0" w:name="zImInFootnote"/>
      <w:bookmarkEnd w:id="0"/>
      <w:r>
        <w:rPr/>
        <w:tab/>
        <w:t>Proposed Decision of ALJ Barnett at p.5.</w:t>
      </w:r>
    </w:p>
  </w:footnote>
  <w:footnote w:id="4">
    <w:p>
      <w:pPr>
        <w:pStyle w:val="FootnoteText"/>
        <w:rPr/>
      </w:pPr>
      <w:r>
        <w:rPr>
          <w:rStyle w:val="FootnoteCharacters"/>
        </w:rPr>
        <w:footnoteRef/>
      </w:r>
      <w:r>
        <w:rPr>
          <w:sz w:val="24"/>
          <w:szCs w:val="24"/>
        </w:rPr>
        <w:tab/>
      </w:r>
      <w:r>
        <w:rPr>
          <w:rStyle w:val="FootnoteCharacters"/>
        </w:rPr>
        <w:t>?</w:t>
      </w:r>
      <w:r>
        <w:rPr/>
        <w:t xml:space="preserve"> </w:t>
        <w:tab/>
        <w:t>D.99-10-057 at p. 16.</w:t>
      </w:r>
    </w:p>
    <w:p>
      <w:pPr>
        <w:pStyle w:val="FootnoteText"/>
        <w:rPr/>
      </w:pPr>
      <w:r>
        <w:rPr/>
      </w:r>
    </w:p>
  </w:footnote>
  <w:footnote w:id="5">
    <w:p>
      <w:pPr>
        <w:pStyle w:val="FootnoteText"/>
        <w:rPr/>
      </w:pPr>
      <w:r>
        <w:rPr>
          <w:rStyle w:val="FootnoteCharacters"/>
        </w:rPr>
        <w:footnoteRef/>
      </w:r>
      <w:r>
        <w:rPr>
          <w:sz w:val="24"/>
          <w:szCs w:val="24"/>
        </w:rPr>
        <w:tab/>
      </w:r>
      <w:r>
        <w:rPr>
          <w:rStyle w:val="FootnoteCharacters"/>
        </w:rPr>
        <w:t>?</w:t>
      </w:r>
      <w:r>
        <w:rPr/>
        <w:t xml:space="preserve"> </w:t>
        <w:tab/>
        <w:t>Ibid. at p. 17.</w:t>
      </w:r>
    </w:p>
  </w:footnote>
  <w:footnote w:id="6">
    <w:p>
      <w:pPr>
        <w:pStyle w:val="FootnoteText"/>
        <w:rPr/>
      </w:pPr>
      <w:r>
        <w:rPr>
          <w:rStyle w:val="FootnoteCharacters"/>
        </w:rPr>
        <w:footnoteRef/>
      </w:r>
      <w:r>
        <w:rPr>
          <w:sz w:val="24"/>
          <w:szCs w:val="24"/>
        </w:rPr>
        <w:tab/>
      </w:r>
      <w:r>
        <w:rPr>
          <w:rStyle w:val="FootnoteCharacters"/>
        </w:rPr>
        <w:t>?</w:t>
      </w:r>
      <w:r>
        <w:rPr/>
        <w:t xml:space="preserve"> </w:t>
        <w:tab/>
        <w:t>Ibid. at p. 18.</w:t>
      </w:r>
    </w:p>
  </w:footnote>
  <w:footnote w:id="7">
    <w:p>
      <w:pPr>
        <w:pStyle w:val="FootnoteText"/>
        <w:rPr/>
      </w:pPr>
      <w:r>
        <w:rPr>
          <w:rStyle w:val="FootnoteCharacters"/>
        </w:rPr>
        <w:footnoteRef/>
      </w:r>
      <w:r>
        <w:rPr>
          <w:sz w:val="24"/>
          <w:szCs w:val="24"/>
        </w:rPr>
        <w:tab/>
      </w:r>
      <w:r>
        <w:rPr>
          <w:rStyle w:val="FootnoteCharacters"/>
        </w:rPr>
        <w:t>?</w:t>
      </w:r>
      <w:r>
        <w:rPr/>
        <w:t xml:space="preserve"> </w:t>
        <w:tab/>
        <w:t>Edison Motion at p. 3.</w:t>
      </w:r>
    </w:p>
  </w:footnote>
  <w:footnote w:id="8">
    <w:p>
      <w:pPr>
        <w:pStyle w:val="FootnoteText"/>
        <w:jc w:val="both"/>
        <w:rPr/>
      </w:pPr>
      <w:r>
        <w:rPr>
          <w:rStyle w:val="FootnoteCharacters"/>
        </w:rPr>
        <w:footnoteRef/>
      </w:r>
      <w:r>
        <w:rPr>
          <w:sz w:val="24"/>
          <w:szCs w:val="24"/>
        </w:rPr>
        <w:tab/>
      </w:r>
      <w:r>
        <w:rPr>
          <w:rStyle w:val="FootnoteCharacters"/>
        </w:rPr>
        <w:t>?</w:t>
      </w:r>
      <w:r>
        <w:rPr/>
        <w:t xml:space="preserve"> </w:t>
        <w:tab/>
        <w:t xml:space="preserve">Ms. Dubois uttered her immortal line that, “I have always depended on the kindness of strangers” as she is taken off to a mental institution.  </w:t>
      </w:r>
      <w:r>
        <w:rPr>
          <w:i/>
          <w:iCs/>
        </w:rPr>
        <w:t>“A Streetcar Named Desire”</w:t>
      </w:r>
      <w:r>
        <w:rPr/>
        <w:t xml:space="preserve"> by Tennessee Williams, 1947.  Should the Edison Motion be approved, however, direct access customers will instead be taken off to the cleaners.</w:t>
      </w:r>
    </w:p>
    <w:p>
      <w:pPr>
        <w:pStyle w:val="FootnoteText"/>
        <w:jc w:val="both"/>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i/>
        <w:i/>
        <w:iCs/>
      </w:rPr>
    </w:pPr>
    <w:r>
      <w:rPr>
        <w:i/>
        <w:iCs/>
      </w:rPr>
    </w:r>
  </w:p>
  <w:p>
    <w:pPr>
      <w:pStyle w:val="Header"/>
      <w:rPr>
        <w:i/>
        <w:i/>
        <w:iCs/>
      </w:rPr>
    </w:pPr>
    <w:r>
      <w:rPr>
        <w:i/>
        <w:iC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5"/>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8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Times New Roman" w:hAnsi="Times New Roman;Times New Roman" w:eastAsia="Times New Roman;Times New Roman" w:cs="Times New Roman;Times New Roman"/>
      <w:color w:val="auto"/>
      <w:sz w:val="24"/>
      <w:szCs w:val="24"/>
      <w:lang w:val="en-US" w:eastAsia="zh-CN" w:bidi="hi-IN"/>
    </w:rPr>
  </w:style>
  <w:style w:type="paragraph" w:styleId="Heading1">
    <w:name w:val="heading 1"/>
    <w:basedOn w:val="Normal"/>
    <w:next w:val="Normal"/>
    <w:qFormat/>
    <w:pPr>
      <w:keepNext w:val="true"/>
      <w:keepLines/>
      <w:numPr>
        <w:ilvl w:val="0"/>
        <w:numId w:val="1"/>
      </w:numPr>
      <w:jc w:val="center"/>
      <w:outlineLvl w:val="0"/>
    </w:pPr>
    <w:rPr>
      <w:b/>
      <w:bCs/>
    </w:rPr>
  </w:style>
  <w:style w:type="paragraph" w:styleId="Heading2">
    <w:name w:val="heading 2"/>
    <w:basedOn w:val="Normal"/>
    <w:next w:val="Normal"/>
    <w:qFormat/>
    <w:pPr>
      <w:numPr>
        <w:ilvl w:val="1"/>
        <w:numId w:val="1"/>
      </w:numPr>
      <w:ind w:hanging="720" w:start="1440" w:end="0"/>
      <w:outlineLvl w:val="1"/>
    </w:pPr>
    <w:rPr>
      <w:b/>
      <w:bCs/>
    </w:rPr>
  </w:style>
  <w:style w:type="paragraph" w:styleId="Heading3">
    <w:name w:val="heading 3"/>
    <w:basedOn w:val="Normal"/>
    <w:next w:val="Normal"/>
    <w:qFormat/>
    <w:pPr>
      <w:numPr>
        <w:ilvl w:val="2"/>
        <w:numId w:val="1"/>
      </w:numPr>
      <w:ind w:hanging="720" w:start="2160" w:end="0"/>
      <w:outlineLvl w:val="2"/>
    </w:pPr>
    <w:rPr>
      <w:b/>
      <w:bCs/>
    </w:rPr>
  </w:style>
  <w:style w:type="paragraph" w:styleId="Heading4">
    <w:name w:val="heading 4"/>
    <w:basedOn w:val="Normal"/>
    <w:next w:val="Normal"/>
    <w:qFormat/>
    <w:pPr>
      <w:numPr>
        <w:ilvl w:val="3"/>
        <w:numId w:val="1"/>
      </w:numPr>
      <w:ind w:hanging="720" w:start="2880" w:end="0"/>
      <w:outlineLvl w:val="3"/>
    </w:pPr>
    <w:rPr>
      <w:b/>
      <w:bCs/>
    </w:rPr>
  </w:style>
  <w:style w:type="paragraph" w:styleId="Heading5">
    <w:name w:val="heading 5"/>
    <w:basedOn w:val="Normal"/>
    <w:next w:val="Normal"/>
    <w:qFormat/>
    <w:pPr>
      <w:numPr>
        <w:ilvl w:val="4"/>
        <w:numId w:val="1"/>
      </w:numPr>
      <w:ind w:hanging="720" w:start="3600" w:end="0"/>
      <w:outlineLvl w:val="4"/>
    </w:pPr>
    <w:rPr>
      <w:b/>
      <w:bCs/>
    </w:rPr>
  </w:style>
  <w:style w:type="paragraph" w:styleId="Heading6">
    <w:name w:val="heading 6"/>
    <w:basedOn w:val="Normal"/>
    <w:next w:val="Normal"/>
    <w:qFormat/>
    <w:pPr>
      <w:numPr>
        <w:ilvl w:val="5"/>
        <w:numId w:val="1"/>
      </w:numPr>
      <w:ind w:hanging="720" w:start="4320" w:end="0"/>
      <w:outlineLvl w:val="5"/>
    </w:pPr>
    <w:rPr>
      <w:b/>
      <w:bCs/>
    </w:rPr>
  </w:style>
  <w:style w:type="paragraph" w:styleId="Heading7">
    <w:name w:val="heading 7"/>
    <w:basedOn w:val="Normal"/>
    <w:next w:val="Normal"/>
    <w:qFormat/>
    <w:pPr>
      <w:numPr>
        <w:ilvl w:val="6"/>
        <w:numId w:val="1"/>
      </w:numPr>
      <w:ind w:hanging="720" w:start="5040" w:end="0"/>
      <w:outlineLvl w:val="6"/>
    </w:pPr>
    <w:rPr>
      <w:b/>
      <w:bCs/>
    </w:rPr>
  </w:style>
  <w:style w:type="paragraph" w:styleId="Heading8">
    <w:name w:val="heading 8"/>
    <w:basedOn w:val="Normal"/>
    <w:next w:val="Normal"/>
    <w:qFormat/>
    <w:pPr>
      <w:numPr>
        <w:ilvl w:val="7"/>
        <w:numId w:val="1"/>
      </w:numPr>
      <w:ind w:hanging="720" w:start="5760" w:end="0"/>
      <w:outlineLvl w:val="7"/>
    </w:pPr>
    <w:rPr>
      <w:b/>
      <w:bCs/>
    </w:rPr>
  </w:style>
  <w:style w:type="paragraph" w:styleId="Heading9">
    <w:name w:val="heading 9"/>
    <w:basedOn w:val="Normal"/>
    <w:next w:val="Normal"/>
    <w:qFormat/>
    <w:pPr>
      <w:numPr>
        <w:ilvl w:val="8"/>
        <w:numId w:val="1"/>
      </w:numPr>
      <w:ind w:hanging="720" w:start="648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Bold">
    <w:name w:val="Bold"/>
    <w:basedOn w:val="DefaultParagraphFont"/>
    <w:qFormat/>
    <w:rPr>
      <w:b/>
      <w:bCs/>
      <w:sz w:val="20"/>
      <w:szCs w:val="20"/>
    </w:rPr>
  </w:style>
  <w:style w:type="character" w:styleId="BoldUnd">
    <w:name w:val="BoldUnd"/>
    <w:basedOn w:val="DefaultParagraphFont"/>
    <w:qFormat/>
    <w:rPr>
      <w:b/>
      <w:bCs/>
      <w:sz w:val="20"/>
      <w:szCs w:val="20"/>
      <w:u w:val="single"/>
    </w:rPr>
  </w:style>
  <w:style w:type="character" w:styleId="Underline">
    <w:name w:val="Underline"/>
    <w:basedOn w:val="DefaultParagraphFont"/>
    <w:qFormat/>
    <w:rPr>
      <w:sz w:val="20"/>
      <w:szCs w:val="20"/>
      <w:u w:val="single"/>
    </w:rPr>
  </w:style>
  <w:style w:type="character" w:styleId="FieldMark">
    <w:name w:val="FieldMark"/>
    <w:basedOn w:val="DefaultParagraphFont"/>
    <w:qFormat/>
    <w:rPr>
      <w:b/>
      <w:bCs/>
      <w:color w:val="0000FF"/>
      <w:sz w:val="20"/>
      <w:szCs w:val="20"/>
    </w:rPr>
  </w:style>
  <w:style w:type="character" w:styleId="OptionalParas">
    <w:name w:val="OptionalParas"/>
    <w:basedOn w:val="DefaultParagraphFont"/>
    <w:qFormat/>
    <w:rPr>
      <w:color w:val="0000FF"/>
      <w:sz w:val="20"/>
      <w:szCs w:val="20"/>
    </w:rPr>
  </w:style>
  <w:style w:type="character" w:styleId="DocTitle">
    <w:name w:val="DocTitle"/>
    <w:basedOn w:val="DefaultParagraphFont"/>
    <w:qFormat/>
    <w:rPr>
      <w:b/>
      <w:bCs/>
      <w:sz w:val="20"/>
      <w:szCs w:val="20"/>
    </w:rPr>
  </w:style>
  <w:style w:type="character" w:styleId="CommentReference">
    <w:name w:val="Comment Reference"/>
    <w:basedOn w:val="DefaultParagraphFont"/>
    <w:qFormat/>
    <w:rPr>
      <w:sz w:val="16"/>
      <w:szCs w:val="16"/>
    </w:rPr>
  </w:style>
  <w:style w:type="character" w:styleId="HTMLMarkup">
    <w:name w:val="HTML Markup"/>
    <w:qFormat/>
    <w:rPr>
      <w:vanish/>
      <w:color w:val="FF0000"/>
      <w:sz w:val="20"/>
      <w:szCs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rPr>
  </w:style>
  <w:style w:type="paragraph" w:styleId="FootnoteText">
    <w:name w:val="footnote text"/>
    <w:basedOn w:val="Normal"/>
    <w:pPr>
      <w:tabs>
        <w:tab w:val="clear" w:pos="720"/>
        <w:tab w:val="left" w:pos="1080" w:leader="none"/>
      </w:tabs>
      <w:ind w:firstLine="720" w:start="0" w:end="0"/>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UnknownStyle8">
    <w:name w:val="Unknown Style8"/>
    <w:basedOn w:val="Normal"/>
    <w:qFormat/>
    <w:pPr>
      <w:jc w:val="center"/>
    </w:pPr>
    <w:rPr>
      <w:rFonts w:ascii="Courier;Courier New" w:hAnsi="Courier;Courier New" w:eastAsia="Courier;Courier New" w:cs="Courier;Courier New"/>
      <w:b/>
      <w:bCs/>
    </w:rPr>
  </w:style>
  <w:style w:type="paragraph" w:styleId="Body1">
    <w:name w:val="Body1"/>
    <w:basedOn w:val="Normal"/>
    <w:qFormat/>
    <w:pPr>
      <w:spacing w:before="0" w:after="240"/>
      <w:ind w:firstLine="1440" w:start="0" w:end="0"/>
    </w:pPr>
    <w:rPr/>
  </w:style>
  <w:style w:type="paragraph" w:styleId="TxBrp11">
    <w:name w:val="TxBr_p11"/>
    <w:basedOn w:val="Normal"/>
    <w:qFormat/>
    <w:pPr>
      <w:spacing w:lineRule="atLeast" w:line="289"/>
    </w:pPr>
    <w:rPr/>
  </w:style>
  <w:style w:type="paragraph" w:styleId="TxBrp6">
    <w:name w:val="TxBr_p6"/>
    <w:basedOn w:val="Normal"/>
    <w:qFormat/>
    <w:pPr>
      <w:tabs>
        <w:tab w:val="clear" w:pos="720"/>
        <w:tab w:val="left" w:pos="1842" w:leader="none"/>
      </w:tabs>
      <w:spacing w:lineRule="atLeast" w:line="289"/>
      <w:ind w:hanging="0" w:start="402" w:end="0"/>
    </w:pPr>
    <w:rPr/>
  </w:style>
  <w:style w:type="paragraph" w:styleId="PlainText">
    <w:name w:val="Plain Text"/>
    <w:basedOn w:val="Normal"/>
    <w:qFormat/>
    <w:pPr>
      <w:spacing w:lineRule="auto" w:line="360"/>
      <w:ind w:firstLine="720" w:start="0" w:end="0"/>
      <w:jc w:val="both"/>
    </w:pPr>
    <w:rPr/>
  </w:style>
  <w:style w:type="paragraph" w:styleId="QA">
    <w:name w:val="Q/A"/>
    <w:basedOn w:val="NormalIndent"/>
    <w:qFormat/>
    <w:pPr>
      <w:spacing w:before="0" w:after="0"/>
      <w:ind w:hanging="360" w:start="360" w:end="0"/>
    </w:pPr>
    <w:rPr/>
  </w:style>
  <w:style w:type="paragraph" w:styleId="BodyTextIndent2">
    <w:name w:val="Body Text Indent 2"/>
    <w:basedOn w:val="Normal"/>
    <w:qFormat/>
    <w:pPr>
      <w:ind w:firstLine="720" w:start="-360" w:end="0"/>
    </w:pPr>
    <w:rPr/>
  </w:style>
  <w:style w:type="paragraph" w:styleId="BodyTextIndent3">
    <w:name w:val="Body Text Indent 3"/>
    <w:basedOn w:val="Normal"/>
    <w:qFormat/>
    <w:pPr>
      <w:ind w:hanging="360" w:start="1800" w:end="0"/>
    </w:pPr>
    <w:rPr/>
  </w:style>
  <w:style w:type="paragraph" w:styleId="sub2">
    <w:name w:val="sub2"/>
    <w:basedOn w:val="Normal"/>
    <w:qFormat/>
    <w:pPr>
      <w:spacing w:lineRule="auto" w:line="360"/>
      <w:ind w:firstLine="2160" w:start="0" w:end="0"/>
    </w:pPr>
    <w:rPr>
      <w:rFonts w:ascii="PALATINO;Book Antiqua" w:hAnsi="PALATINO;Book Antiqua" w:eastAsia="PALATINO;Book Antiqua" w:cs="PALATINO;Book Antiqua"/>
      <w:sz w:val="26"/>
      <w:szCs w:val="26"/>
    </w:rPr>
  </w:style>
  <w:style w:type="paragraph" w:styleId="BodyText22">
    <w:name w:val="Body Text 22"/>
    <w:basedOn w:val="Normal"/>
    <w:qFormat/>
    <w:pPr>
      <w:ind w:hanging="0" w:start="720" w:end="0"/>
      <w:jc w:val="both"/>
    </w:pPr>
    <w:rPr/>
  </w:style>
  <w:style w:type="paragraph" w:styleId="BlockQuotation">
    <w:name w:val="Block Quotation"/>
    <w:basedOn w:val="Normal"/>
    <w:qFormat/>
    <w:pPr>
      <w:ind w:hanging="0" w:start="720" w:end="720"/>
    </w:pPr>
    <w:rPr>
      <w:sz w:val="20"/>
      <w:szCs w:val="20"/>
    </w:rPr>
  </w:style>
  <w:style w:type="paragraph" w:styleId="standard">
    <w:name w:val="standard"/>
    <w:basedOn w:val="Normal"/>
    <w:qFormat/>
    <w:pPr>
      <w:spacing w:lineRule="auto" w:line="360"/>
      <w:ind w:firstLine="720" w:start="0" w:end="0"/>
    </w:pPr>
    <w:rPr>
      <w:rFonts w:ascii="PALATINO;Book Antiqua" w:hAnsi="PALATINO;Book Antiqua" w:eastAsia="PALATINO;Book Antiqua" w:cs="PALATINO;Book Antiqua"/>
      <w:sz w:val="26"/>
      <w:szCs w:val="26"/>
    </w:rPr>
  </w:style>
  <w:style w:type="paragraph" w:styleId="num1">
    <w:name w:val="num1"/>
    <w:basedOn w:val="Normal"/>
    <w:qFormat/>
    <w:pPr>
      <w:numPr>
        <w:ilvl w:val="0"/>
        <w:numId w:val="2"/>
      </w:numPr>
      <w:tabs>
        <w:tab w:val="clear" w:pos="720"/>
        <w:tab w:val="left" w:pos="-720" w:leader="none"/>
      </w:tabs>
      <w:suppressAutoHyphens w:val="true"/>
      <w:spacing w:lineRule="auto" w:line="360"/>
      <w:ind w:firstLine="360" w:start="0" w:end="0"/>
    </w:pPr>
    <w:rPr>
      <w:rFonts w:ascii="PALATINO;Book Antiqua" w:hAnsi="PALATINO;Book Antiqua" w:eastAsia="PALATINO;Book Antiqua" w:cs="PALATINO;Book Antiqua"/>
      <w:sz w:val="26"/>
      <w:szCs w:val="26"/>
    </w:rPr>
  </w:style>
  <w:style w:type="paragraph" w:styleId="CommentText">
    <w:name w:val="Comment Text"/>
    <w:basedOn w:val="Normal"/>
    <w:qFormat/>
    <w:pPr/>
    <w:rPr>
      <w:sz w:val="20"/>
      <w:szCs w:val="20"/>
    </w:rPr>
  </w:style>
  <w:style w:type="paragraph" w:styleId="TableTitle">
    <w:name w:val="Table Title"/>
    <w:basedOn w:val="Normal"/>
    <w:qFormat/>
    <w:pPr>
      <w:jc w:val="center"/>
    </w:pPr>
    <w:rPr>
      <w:b/>
      <w:bCs/>
    </w:rPr>
  </w:style>
  <w:style w:type="paragraph" w:styleId="H1">
    <w:name w:val="H1"/>
    <w:basedOn w:val="Normal"/>
    <w:next w:val="Normal"/>
    <w:qFormat/>
    <w:pPr>
      <w:keepNext w:val="true"/>
      <w:spacing w:before="100" w:after="100"/>
    </w:pPr>
    <w:rPr>
      <w:b/>
      <w:bCs/>
      <w:kern w:val="2"/>
      <w:sz w:val="48"/>
      <w:szCs w:val="48"/>
    </w:rPr>
  </w:style>
  <w:style w:type="paragraph" w:styleId="Text">
    <w:name w:val="Text"/>
    <w:basedOn w:val="Normal"/>
    <w:qFormat/>
    <w:pPr>
      <w:tabs>
        <w:tab w:val="clear" w:pos="720"/>
        <w:tab w:val="left" w:pos="1620" w:leader="none"/>
      </w:tabs>
      <w:spacing w:lineRule="auto" w:line="480"/>
    </w:pPr>
    <w:rPr/>
  </w:style>
  <w:style w:type="paragraph" w:styleId="BlockText">
    <w:name w:val="Block Text"/>
    <w:basedOn w:val="Normal"/>
    <w:qFormat/>
    <w:pPr>
      <w:spacing w:lineRule="auto" w:line="480"/>
      <w:ind w:hanging="720" w:start="720" w:end="994"/>
      <w:jc w:val="both"/>
    </w:pPr>
    <w:rPr/>
  </w:style>
  <w:style w:type="paragraph" w:styleId="BodyText21">
    <w:name w:val="Body Text 21"/>
    <w:basedOn w:val="Normal"/>
    <w:qFormat/>
    <w:pPr>
      <w:ind w:hanging="0" w:start="720" w:end="0"/>
      <w:jc w:val="both"/>
    </w:pPr>
    <w:rPr/>
  </w:style>
  <w:style w:type="paragraph" w:styleId="sub1">
    <w:name w:val="sub1"/>
    <w:basedOn w:val="Normal"/>
    <w:qFormat/>
    <w:pPr>
      <w:spacing w:lineRule="auto" w:line="360"/>
      <w:ind w:firstLine="1080" w:start="0" w:end="0"/>
    </w:pPr>
    <w:rPr>
      <w:rFonts w:ascii="PALATINO;Book Antiqua" w:hAnsi="PALATINO;Book Antiqua" w:eastAsia="PALATINO;Book Antiqua" w:cs="PALATINO;Book Antiqua"/>
      <w:sz w:val="26"/>
      <w:szCs w:val="26"/>
    </w:rPr>
  </w:style>
  <w:style w:type="paragraph" w:styleId="PleadingText">
    <w:name w:val="Pleading Text"/>
    <w:basedOn w:val="Normal"/>
    <w:qFormat/>
    <w:pPr>
      <w:spacing w:lineRule="exact" w:line="480"/>
    </w:pPr>
    <w:rPr>
      <w:rFonts w:ascii="NEWCENTURYSCHLBK;Century Schoolbook" w:hAnsi="NEWCENTURYSCHLBK;Century Schoolbook" w:eastAsia="NEWCENTURYSCHLBK;Century Schoolbook" w:cs="NEWCENTURYSCHLBK;Century Schoolbook"/>
      <w:color w:val="000000"/>
    </w:rPr>
  </w:style>
  <w:style w:type="paragraph" w:styleId="Quote1">
    <w:name w:val="Quote1"/>
    <w:basedOn w:val="Normal"/>
    <w:qFormat/>
    <w:pPr>
      <w:spacing w:before="120" w:after="240"/>
      <w:ind w:hanging="0" w:start="1080" w:end="1260"/>
    </w:pPr>
    <w:rPr>
      <w:rFonts w:ascii="PALATINO;Book Antiqua" w:hAnsi="PALATINO;Book Antiqua" w:eastAsia="PALATINO;Book Antiqua" w:cs="PALATINO;Book Antiqua"/>
      <w:sz w:val="26"/>
      <w:szCs w:val="26"/>
    </w:rPr>
  </w:style>
  <w:style w:type="paragraph" w:styleId="BodyText3">
    <w:name w:val="Body Text 3"/>
    <w:basedOn w:val="Normal"/>
    <w:qFormat/>
    <w:pPr/>
    <w:rPr/>
  </w:style>
  <w:style w:type="paragraph" w:styleId="BodyTextIndent">
    <w:name w:val="Body Text Indent"/>
    <w:basedOn w:val="Normal"/>
    <w:pPr>
      <w:spacing w:lineRule="auto" w:line="360"/>
      <w:ind w:firstLine="720" w:start="0" w:end="0"/>
      <w:jc w:val="both"/>
    </w:pPr>
    <w:rPr/>
  </w:style>
  <w:style w:type="paragraph" w:styleId="quote">
    <w:name w:val="quote"/>
    <w:basedOn w:val="standard"/>
    <w:next w:val="standard"/>
    <w:qFormat/>
    <w:pPr>
      <w:spacing w:lineRule="auto" w:line="240" w:before="120" w:after="240"/>
      <w:ind w:hanging="0" w:start="720" w:end="7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536" w:leader="none"/>
        <w:tab w:val="right" w:pos="9072" w:leader="none"/>
      </w:tabs>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2000-12-01T17:26:00Z</dcterms:created>
  <dc:creator>Arter &amp; Hadden</dc:creator>
  <dc:description/>
  <dc:language>en-CA</dc:language>
  <cp:lastModifiedBy>Arter &amp; Hadden</cp:lastModifiedBy>
  <cp:lastPrinted>2000-12-01T09:14:00Z</cp:lastPrinted>
  <dcterms:modified xsi:type="dcterms:W3CDTF">2000-12-01T17:45:00Z</dcterms:modified>
  <cp:revision>5</cp:revision>
  <dc:subject/>
  <dc:title>BEFORE THE PUBLIC UTILITES COMMISSION OF THE STATE OF CALIFORNIA</dc:title>
</cp:coreProperties>
</file>