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spacing w:before="0" w:after="120"/>
        <w:jc w:val="both"/>
        <w:rPr/>
      </w:pPr>
      <w:r>
        <w:rPr>
          <w:b/>
        </w:rPr>
        <w:t>Exhibit A page 7, Electric Transmission –</w:t>
      </w:r>
      <w:r>
        <w:rPr/>
        <w:t xml:space="preserve"> The first sentence in this section does not make sense.  This section should address the following:</w:t>
      </w:r>
    </w:p>
    <w:p>
      <w:pPr>
        <w:pStyle w:val="Normal"/>
        <w:numPr>
          <w:ilvl w:val="1"/>
          <w:numId w:val="1"/>
        </w:numPr>
        <w:spacing w:before="0" w:after="120"/>
        <w:jc w:val="both"/>
        <w:rPr/>
      </w:pPr>
      <w:r>
        <w:rPr/>
        <w:t xml:space="preserve">The Cities will be Network transmission customers of Entergy.  EPMI will use this Network service to serve the cities’ loads and will arrange for any other transmission service with Entergy or others that is required to serve the Cities’ loads or sell power from the Cities’ resources. </w:t>
      </w:r>
    </w:p>
    <w:p>
      <w:pPr>
        <w:pStyle w:val="Normal"/>
        <w:numPr>
          <w:ilvl w:val="1"/>
          <w:numId w:val="1"/>
        </w:numPr>
        <w:spacing w:before="0" w:after="120"/>
        <w:jc w:val="both"/>
        <w:rPr/>
      </w:pPr>
      <w:r>
        <w:rPr/>
        <w:t>Unless otherwise agreed to by the Cities, when EPMI replaces one of the Cities’ existing Network Resources with an alternate resource it will do so in a manner that does not jeopardize the reliability of service to the Cities.  This would normally be accomplished by having the replacement resources become designate as a Network Resource, or having sufficient local quick-start generation available to address the curtailment of a non-Network Resource.</w:t>
      </w:r>
    </w:p>
    <w:p>
      <w:pPr>
        <w:pStyle w:val="Normal"/>
        <w:numPr>
          <w:ilvl w:val="0"/>
          <w:numId w:val="1"/>
        </w:numPr>
        <w:spacing w:before="0" w:after="120"/>
        <w:jc w:val="both"/>
        <w:rPr/>
      </w:pPr>
      <w:r>
        <w:rPr>
          <w:b/>
        </w:rPr>
        <w:t>Exhibit A page 7, Structure –</w:t>
      </w:r>
      <w:r>
        <w:rPr/>
        <w:t xml:space="preserve"> We need to define the on-peak and off-peak periods (hours, days, and months).</w:t>
      </w:r>
      <w:r>
        <w:rPr>
          <w:b/>
        </w:rPr>
        <w:t xml:space="preserve"> </w:t>
      </w:r>
    </w:p>
    <w:p>
      <w:pPr>
        <w:pStyle w:val="Normal"/>
        <w:numPr>
          <w:ilvl w:val="0"/>
          <w:numId w:val="1"/>
        </w:numPr>
        <w:spacing w:before="0" w:after="120"/>
        <w:jc w:val="both"/>
        <w:rPr/>
      </w:pPr>
      <w:r>
        <w:rPr>
          <w:b/>
        </w:rPr>
        <w:t>Exhibit A page 7, Structure –</w:t>
      </w:r>
      <w:r>
        <w:rPr/>
        <w:t xml:space="preserve"> We need to define the “profit” that is being split 40/60.</w:t>
      </w:r>
      <w:r>
        <w:rPr>
          <w:b/>
        </w:rPr>
        <w:t xml:space="preserve">  </w:t>
      </w:r>
      <w:r>
        <w:rPr/>
        <w:t>When power is sold, it should probably be defined as revenues received net of all costs incurred in making the sale.  When the “profit” is associated with the replacement of the cities’ generation with a more cost effective resource or as the result of an outage, the profit should probably be the difference between the avoided cost of generating the power by the cities resource (using an appropriate heat rate and agreed upon index for gas costs) and the total cost of the replacement resource, including all losses, transmission, and other costs.  In addition, the “profit” to be split should be zero if the cost of a replacement resource exceeds the cost of the Cities’ resource being replaced.  Also, are we dealing with an hourly calculation?</w:t>
      </w:r>
    </w:p>
    <w:p>
      <w:pPr>
        <w:pStyle w:val="Normal"/>
        <w:numPr>
          <w:ilvl w:val="0"/>
          <w:numId w:val="1"/>
        </w:numPr>
        <w:spacing w:before="0" w:after="120"/>
        <w:jc w:val="both"/>
        <w:rPr/>
      </w:pPr>
      <w:r>
        <w:rPr>
          <w:b/>
        </w:rPr>
        <w:t>Exhibit A page 7, Structure –</w:t>
      </w:r>
      <w:r>
        <w:rPr/>
        <w:t xml:space="preserve"> It should be clearer with regard to what it means to exclude must run periods from the profit calculation.  Since the Cities’ generation that is must run is not being replaced, it seems like it would automatically be excluded from the profit calculation.</w:t>
      </w:r>
    </w:p>
    <w:p>
      <w:pPr>
        <w:pStyle w:val="Normal"/>
        <w:numPr>
          <w:ilvl w:val="0"/>
          <w:numId w:val="1"/>
        </w:numPr>
        <w:spacing w:before="0" w:after="120"/>
        <w:jc w:val="both"/>
        <w:rPr/>
      </w:pPr>
      <w:r>
        <w:rPr>
          <w:b/>
        </w:rPr>
        <w:t>Exhibit A page 8 –</w:t>
      </w:r>
      <w:r>
        <w:rPr/>
        <w:t xml:space="preserve"> Availability requirement of 95% is too high.  There should be on-peak and off-peak forced outage rates that apply.  Also, we need to define what it means for the Cities to “guarantee” these rates, i.e., what is the consequence if the rates are exceeded?</w:t>
      </w:r>
    </w:p>
    <w:p>
      <w:pPr>
        <w:pStyle w:val="Normal"/>
        <w:numPr>
          <w:ilvl w:val="0"/>
          <w:numId w:val="1"/>
        </w:numPr>
        <w:spacing w:before="0" w:after="120"/>
        <w:jc w:val="both"/>
        <w:rPr/>
      </w:pPr>
      <w:r>
        <w:rPr>
          <w:b/>
        </w:rPr>
        <w:t>Exhibit A page 8, Power Manager –</w:t>
      </w:r>
      <w:r>
        <w:rPr/>
        <w:t xml:space="preserve">  In addition to what is stated the document should say that, as Power Manager EPMI will:</w:t>
      </w:r>
    </w:p>
    <w:p>
      <w:pPr>
        <w:pStyle w:val="Normal"/>
        <w:numPr>
          <w:ilvl w:val="1"/>
          <w:numId w:val="1"/>
        </w:numPr>
        <w:spacing w:before="0" w:after="120"/>
        <w:jc w:val="both"/>
        <w:rPr/>
      </w:pPr>
      <w:r>
        <w:rPr/>
        <w:t>Arrange for all control, scheduling, and ancillary services.</w:t>
      </w:r>
    </w:p>
    <w:p>
      <w:pPr>
        <w:pStyle w:val="Normal"/>
        <w:numPr>
          <w:ilvl w:val="1"/>
          <w:numId w:val="1"/>
        </w:numPr>
        <w:spacing w:before="0" w:after="120"/>
        <w:jc w:val="both"/>
        <w:rPr/>
      </w:pPr>
      <w:r>
        <w:rPr/>
        <w:t>Economically commit and dispatch the Cities resources and other available purchase opportunities with the goal of minimizing the resulting net power supply costs of the Cities.</w:t>
      </w:r>
    </w:p>
    <w:p>
      <w:pPr>
        <w:pStyle w:val="Normal"/>
        <w:numPr>
          <w:ilvl w:val="1"/>
          <w:numId w:val="1"/>
        </w:numPr>
        <w:spacing w:before="0" w:after="120"/>
        <w:jc w:val="both"/>
        <w:rPr/>
      </w:pPr>
      <w:r>
        <w:rPr/>
        <w:t>Arrange for all back up and replacement resources.</w:t>
      </w:r>
    </w:p>
    <w:p>
      <w:pPr>
        <w:pStyle w:val="BodyTextIndent"/>
        <w:rPr/>
      </w:pPr>
      <w:r>
        <w:rPr/>
        <w:t>Section should also note that Cities have final approval over actions taken by EPMI, and EPMI will provide the Cities with sufficient information to allow for an informed decision.</w:t>
      </w:r>
    </w:p>
    <w:p>
      <w:pPr>
        <w:pStyle w:val="Normal"/>
        <w:numPr>
          <w:ilvl w:val="0"/>
          <w:numId w:val="1"/>
        </w:numPr>
        <w:spacing w:before="0" w:after="120"/>
        <w:jc w:val="both"/>
        <w:rPr/>
      </w:pPr>
      <w:r>
        <w:rPr>
          <w:b/>
        </w:rPr>
        <w:t>Exhibit A page 9, Default Power Index –</w:t>
      </w:r>
      <w:r>
        <w:rPr/>
        <w:t xml:space="preserve">  What is this used for?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20"/>
      <w:jc w:val="center"/>
      <w:rPr>
        <w:b/>
        <w:sz w:val="28"/>
      </w:rPr>
    </w:pPr>
    <w:r>
      <w:rPr>
        <w:b/>
        <w:sz w:val="28"/>
      </w:rPr>
      <w:t>Beck Comments on EPMI Letter of Intent</w:t>
    </w:r>
  </w:p>
  <w:p>
    <w:pPr>
      <w:pStyle w:val="Head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152"/>
        </w:tabs>
        <w:ind w:start="1152" w:hanging="432"/>
      </w:pPr>
      <w:rPr/>
    </w:lvl>
    <w:lvl w:ilvl="2">
      <w:start w:val="1"/>
      <w:numFmt w:val="lowerRoman"/>
      <w:lvlText w:val="%3)"/>
      <w:lvlJc w:val="start"/>
      <w:pPr>
        <w:tabs>
          <w:tab w:val="num" w:pos="1944"/>
        </w:tabs>
        <w:ind w:start="1656" w:hanging="432"/>
      </w:pPr>
      <w:rPr/>
    </w:lvl>
    <w:lvl w:ilvl="3">
      <w:start w:val="1"/>
      <w:numFmt w:val="bullet"/>
      <w:lvlText w:val=""/>
      <w:lvlJc w:val="start"/>
      <w:pPr>
        <w:tabs>
          <w:tab w:val="num" w:pos="1800"/>
        </w:tabs>
        <w:ind w:start="1440" w:hanging="0"/>
      </w:pPr>
      <w:rPr>
        <w:rFonts w:ascii="Symbol" w:hAnsi="Symbol" w:cs="Symbol" w:hint="default"/>
        <w:color w:val="auto"/>
      </w:r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US" w:eastAsia="zh-CN" w:bidi="hi-IN"/>
    </w:rPr>
  </w:style>
  <w:style w:type="character" w:styleId="WW8Num1z1">
    <w:name w:val="WW8Num1z1"/>
    <w:qFormat/>
    <w:rPr/>
  </w:style>
  <w:style w:type="character" w:styleId="WW8Num1z3">
    <w:name w:val="WW8Num1z3"/>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2001-03-06T13:18:00Z</dcterms:created>
  <dc:creator>Albert Malmsjo</dc:creator>
  <dc:description/>
  <dc:language>en-CA</dc:language>
  <cp:lastModifiedBy>Albert Malmsjo</cp:lastModifiedBy>
  <dcterms:modified xsi:type="dcterms:W3CDTF">2001-03-06T14:06:00Z</dcterms:modified>
  <cp:revision>7</cp:revision>
  <dc:subject/>
  <dc:title>Questions on Enron Proposal</dc:title>
</cp:coreProperties>
</file>