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BEFORE THE PUBLIC UTILITIES COMMISSION</w:t>
      </w:r>
    </w:p>
    <w:p>
      <w:pPr>
        <w:pStyle w:val="Heading"/>
        <w:rPr>
          <w:sz w:val="28"/>
        </w:rPr>
      </w:pPr>
      <w:r>
        <w:rPr>
          <w:sz w:val="28"/>
        </w:rPr>
        <w:t xml:space="preserve">OF THE </w:t>
      </w:r>
    </w:p>
    <w:p>
      <w:pPr>
        <w:pStyle w:val="Heading"/>
        <w:rPr>
          <w:sz w:val="28"/>
        </w:rPr>
      </w:pPr>
      <w:r>
        <w:rPr>
          <w:sz w:val="28"/>
        </w:rPr>
        <w:t>STATE OF CALIFORNIA</w:t>
      </w:r>
    </w:p>
    <w:p>
      <w:pPr>
        <w:pStyle w:val="Normal"/>
        <w:rPr>
          <w:sz w:val="28"/>
        </w:rPr>
      </w:pPr>
      <w:r>
        <w:rPr>
          <w:sz w:val="28"/>
        </w:rPr>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5058"/>
        <w:gridCol w:w="360"/>
        <w:gridCol w:w="3438"/>
      </w:tblGrid>
      <w:tr>
        <w:trPr/>
        <w:tc>
          <w:tcPr>
            <w:tcW w:w="5058" w:type="dxa"/>
            <w:tcBorders/>
          </w:tcPr>
          <w:p>
            <w:pPr>
              <w:pStyle w:val="Normal"/>
              <w:snapToGrid w:val="false"/>
              <w:spacing w:lineRule="exact" w:line="120"/>
              <w:rPr/>
            </w:pPr>
            <w:r>
              <w:rPr/>
            </w:r>
          </w:p>
          <w:p>
            <w:pPr>
              <w:pStyle w:val="Normal"/>
              <w:spacing w:before="0" w:after="58"/>
              <w:rPr/>
            </w:pPr>
            <w:r>
              <w:rPr/>
              <w:t>Application of Southern California Edison Company (U 338-E) for Authority to Institute a Rate Stabilization Plan with a Rate Increase and End of  Rate Freeze Tariffs.</w:t>
            </w:r>
          </w:p>
        </w:tc>
        <w:tc>
          <w:tcPr>
            <w:tcW w:w="360" w:type="dxa"/>
            <w:tcBorders>
              <w:end w:val="single" w:sz="4" w:space="0" w:color="000000"/>
            </w:tcBorders>
          </w:tcPr>
          <w:p>
            <w:pPr>
              <w:pStyle w:val="Normal"/>
              <w:snapToGrid w:val="false"/>
              <w:rPr/>
            </w:pPr>
            <w:r>
              <w:rPr/>
            </w:r>
          </w:p>
        </w:tc>
        <w:tc>
          <w:tcPr>
            <w:tcW w:w="3438" w:type="dxa"/>
            <w:tcBorders/>
          </w:tcPr>
          <w:p>
            <w:pPr>
              <w:pStyle w:val="Normal"/>
              <w:snapToGrid w:val="false"/>
              <w:rPr/>
            </w:pPr>
            <w:r>
              <w:rPr/>
            </w:r>
          </w:p>
          <w:p>
            <w:pPr>
              <w:pStyle w:val="Normal"/>
              <w:rPr/>
            </w:pPr>
            <w:r>
              <w:rPr/>
              <w:t>Application 00-11-038</w:t>
            </w:r>
          </w:p>
          <w:p>
            <w:pPr>
              <w:pStyle w:val="Normal"/>
              <w:ind w:start="342" w:end="0"/>
              <w:rPr/>
            </w:pPr>
            <w:r>
              <w:rPr/>
              <w:t>(Filed November 16, 2000)</w:t>
            </w:r>
          </w:p>
        </w:tc>
      </w:tr>
      <w:tr>
        <w:trPr/>
        <w:tc>
          <w:tcPr>
            <w:tcW w:w="5058" w:type="dxa"/>
            <w:tcBorders/>
          </w:tcPr>
          <w:p>
            <w:pPr>
              <w:pStyle w:val="Normal"/>
              <w:snapToGrid w:val="false"/>
              <w:spacing w:lineRule="exact" w:line="120"/>
              <w:rPr/>
            </w:pPr>
            <w:r>
              <w:rPr/>
            </w:r>
          </w:p>
          <w:p>
            <w:pPr>
              <w:pStyle w:val="Normal"/>
              <w:spacing w:before="0" w:after="58"/>
              <w:rPr/>
            </w:pPr>
            <w:r>
              <w:rPr/>
              <w:t>Emergency Application of Pacific Gas and Electric Company to Adopt a Rate Stabilization Plan.   (U 39 E)</w:t>
            </w:r>
          </w:p>
        </w:tc>
        <w:tc>
          <w:tcPr>
            <w:tcW w:w="360" w:type="dxa"/>
            <w:tcBorders>
              <w:end w:val="single" w:sz="4" w:space="0" w:color="000000"/>
            </w:tcBorders>
          </w:tcPr>
          <w:p>
            <w:pPr>
              <w:pStyle w:val="Normal"/>
              <w:snapToGrid w:val="false"/>
              <w:rPr/>
            </w:pPr>
            <w:r>
              <w:rPr/>
            </w:r>
          </w:p>
        </w:tc>
        <w:tc>
          <w:tcPr>
            <w:tcW w:w="3438" w:type="dxa"/>
            <w:tcBorders/>
          </w:tcPr>
          <w:p>
            <w:pPr>
              <w:pStyle w:val="Normal"/>
              <w:rPr/>
            </w:pPr>
            <w:r>
              <w:rPr/>
              <w:t>Application 00-11-056</w:t>
            </w:r>
          </w:p>
          <w:p>
            <w:pPr>
              <w:pStyle w:val="Normal"/>
              <w:rPr/>
            </w:pPr>
            <w:r>
              <w:rPr/>
              <w:t>(Filed November 22, 2000)</w:t>
            </w:r>
          </w:p>
        </w:tc>
      </w:tr>
      <w:tr>
        <w:trPr/>
        <w:tc>
          <w:tcPr>
            <w:tcW w:w="5058" w:type="dxa"/>
            <w:tcBorders>
              <w:bottom w:val="single" w:sz="4" w:space="0" w:color="000000"/>
            </w:tcBorders>
          </w:tcPr>
          <w:p>
            <w:pPr>
              <w:pStyle w:val="Normal"/>
              <w:snapToGrid w:val="false"/>
              <w:spacing w:lineRule="exact" w:line="120"/>
              <w:rPr/>
            </w:pPr>
            <w:r>
              <w:rPr/>
            </w:r>
          </w:p>
          <w:p>
            <w:pPr>
              <w:pStyle w:val="Normal"/>
              <w:spacing w:before="0" w:after="58"/>
              <w:rPr/>
            </w:pPr>
            <w:r>
              <w:rPr/>
              <w:t>Petition of THE UTILITY REFORM NETWORK for Modification of Resolution E-3527</w:t>
            </w:r>
          </w:p>
        </w:tc>
        <w:tc>
          <w:tcPr>
            <w:tcW w:w="360" w:type="dxa"/>
            <w:tcBorders>
              <w:bottom w:val="single" w:sz="4" w:space="0" w:color="000000"/>
              <w:end w:val="single" w:sz="4" w:space="0" w:color="000000"/>
            </w:tcBorders>
          </w:tcPr>
          <w:p>
            <w:pPr>
              <w:pStyle w:val="Normal"/>
              <w:snapToGrid w:val="false"/>
              <w:rPr/>
            </w:pPr>
            <w:r>
              <w:rPr/>
            </w:r>
          </w:p>
        </w:tc>
        <w:tc>
          <w:tcPr>
            <w:tcW w:w="3438" w:type="dxa"/>
            <w:tcBorders/>
          </w:tcPr>
          <w:p>
            <w:pPr>
              <w:pStyle w:val="Normal"/>
              <w:snapToGrid w:val="false"/>
              <w:spacing w:lineRule="exact" w:line="120"/>
              <w:rPr/>
            </w:pPr>
            <w:r>
              <w:rPr/>
            </w:r>
          </w:p>
          <w:p>
            <w:pPr>
              <w:pStyle w:val="Normal"/>
              <w:rPr/>
            </w:pPr>
            <w:r>
              <w:rPr/>
              <w:t>Application 00-10-028</w:t>
            </w:r>
          </w:p>
          <w:p>
            <w:pPr>
              <w:pStyle w:val="Normal"/>
              <w:spacing w:before="0" w:after="58"/>
              <w:rPr/>
            </w:pPr>
            <w:r>
              <w:rPr/>
              <w:t>(Filed October 17, 2000)</w:t>
            </w:r>
          </w:p>
        </w:tc>
      </w:tr>
    </w:tbl>
    <w:p>
      <w:pPr>
        <w:pStyle w:val="Normal"/>
        <w:rPr/>
      </w:pPr>
      <w:r>
        <w:rPr/>
      </w:r>
    </w:p>
    <w:p>
      <w:pPr>
        <w:pStyle w:val="Heading"/>
        <w:jc w:val="start"/>
        <w:rPr/>
      </w:pPr>
      <w:r>
        <w:rPr/>
      </w:r>
    </w:p>
    <w:p>
      <w:pPr>
        <w:pStyle w:val="Normal"/>
        <w:jc w:val="center"/>
        <w:rPr>
          <w:b/>
          <w:caps/>
        </w:rPr>
      </w:pPr>
      <w:r>
        <w:rPr>
          <w:b/>
          <w:caps/>
        </w:rPr>
        <w:t xml:space="preserve">COMMENTS OF THE CALIFORNIA LARGE ENERGY CONSUMERS ASSOCIATION, the California INdustrial users and the </w:t>
      </w:r>
    </w:p>
    <w:p>
      <w:pPr>
        <w:pStyle w:val="Normal"/>
        <w:jc w:val="center"/>
        <w:rPr>
          <w:b/>
          <w:caps/>
        </w:rPr>
      </w:pPr>
      <w:r>
        <w:rPr>
          <w:b/>
          <w:caps/>
        </w:rPr>
        <w:t xml:space="preserve">Silicon Valley Manufacturing group </w:t>
      </w:r>
    </w:p>
    <w:p>
      <w:pPr>
        <w:pStyle w:val="Normal"/>
        <w:jc w:val="center"/>
        <w:rPr>
          <w:b/>
          <w:caps/>
        </w:rPr>
      </w:pPr>
      <w:r>
        <w:rPr>
          <w:b/>
          <w:caps/>
        </w:rPr>
        <w:t>ON THE DRAFT DECISION OF ALJ PULSIFER</w:t>
      </w:r>
    </w:p>
    <w:p>
      <w:pPr>
        <w:pStyle w:val="Normal"/>
        <w:rPr>
          <w:b/>
          <w:caps/>
        </w:rPr>
      </w:pPr>
      <w:r>
        <w:rPr>
          <w:b/>
          <w:caps/>
        </w:rPr>
      </w:r>
    </w:p>
    <w:p>
      <w:pPr>
        <w:pStyle w:val="Normal"/>
        <w:rPr/>
      </w:pPr>
      <w:r>
        <w:rPr/>
      </w:r>
    </w:p>
    <w:p>
      <w:pPr>
        <w:pStyle w:val="BodyText6pt"/>
        <w:rPr/>
      </w:pPr>
      <w:r>
        <w:rPr/>
        <w:t xml:space="preserve">The California Large Energy Consumers Association (“CLECA”), the California Industrial Users (“CIU”) and the Silicon Valley Manufacturing Group (“SVMG”) hereby submit their joint Comments on the Draft Decision (“DD”) of ALJ Pulsifer regarding the DWR’s revenue requirement for the next two years and the allocation of such revenue requirement among the several utilities.  </w:t>
      </w:r>
    </w:p>
    <w:p>
      <w:pPr>
        <w:pStyle w:val="Normal"/>
        <w:rPr/>
      </w:pPr>
      <w:r>
        <w:rPr/>
      </w:r>
    </w:p>
    <w:p>
      <w:pPr>
        <w:pStyle w:val="Heading1"/>
        <w:ind w:hanging="0" w:start="0"/>
        <w:rPr/>
      </w:pPr>
      <w:r>
        <w:rPr/>
        <w:t>INTRODUCTION</w:t>
      </w:r>
    </w:p>
    <w:p>
      <w:pPr>
        <w:pStyle w:val="BodyText6pt"/>
        <w:rPr/>
      </w:pPr>
      <w:r>
        <w:rPr/>
        <w:t xml:space="preserve">CLECA, CIU and SVMG must state at the outset what is unfortunately becoming a standard part of their pleadings before the Commission: the process used by the Commission to decide matters of great import to Californians is unfair, inappropriate and seemingly designed to make impossible meaningful participation by customers.  The Commission is deciding on the propriety and allocation of more than $12 billion of DWR revenue requirement and </w:t>
      </w:r>
      <w:r>
        <w:rPr>
          <w:b/>
          <w:i/>
        </w:rPr>
        <w:t>it has not even held an evidentiary hearing.</w:t>
      </w:r>
      <w:r>
        <w:rPr/>
        <w:t xml:space="preserve">  Nor have customers been permitted to examine DWR’s figures, other than in the most restrictive and controlled manner,</w:t>
      </w:r>
      <w:r>
        <w:rPr>
          <w:rStyle w:val="FootnoteCharacters"/>
          <w:rStyle w:val="FootnoteReference"/>
        </w:rPr>
        <w:footnoteReference w:id="2"/>
      </w:r>
      <w:r>
        <w:rPr/>
        <w:t xml:space="preserve"> to determine what the costs were and are reasonably projected to be over the planning horizon, and how they should properly be allocated among the utilities.  </w:t>
      </w:r>
    </w:p>
    <w:p>
      <w:pPr>
        <w:pStyle w:val="BodyText6pt"/>
        <w:rPr/>
      </w:pPr>
      <w:r>
        <w:rPr/>
        <w:t>Until this year, this type of abbreviated process would have been unthinkable for a matter of this import.  The Commission commits legal error by failing to make available procedures which will permit parties to understand the basis for its decision and to help the Commission to make the correct decision.  It does not satisfy to hear that, once again, we have an emergency justifying an overly expedited proceeding with no opportunity to cross-examine the persons responsible for the figures the Commission plans to adopt.  We fervently urge the Commission to make its decision on these matters provisional and to set forth a reasonable schedule for discovery and evidentiary hearings over a period of several months that will permit the parties and the Commission to come to a reasoned, lawful and correct decision.  The way to accomplish that is to adopt a simple “postage stamp” pro rata allocation for now, and then hold the necessary further inquiry into cost allocation between the utilities.</w:t>
      </w:r>
    </w:p>
    <w:p>
      <w:pPr>
        <w:pStyle w:val="BodyText6pt"/>
        <w:rPr/>
      </w:pPr>
      <w:r>
        <w:rPr/>
        <w:t>CLECA, CIU and SVMG are very concerned about the DD’s proposed allocation of DWR power purchase costs among the three investor-owned utilities, PG&amp;E, Edison and SDG&amp;E.  The DD’s allocation results in an enormous difference in the total cost of power and in the cost per kWh delivered to each of the utilities.  Clearly, some differences in both per kWh cost and in total cost is to be expected, but the huge gap in the DD’s figures defies any logical explanation and its purported explanation of the allocation method used does not square with Commission practice or sound cost allocation principles.  It does not make sense, for example, that PG&amp;E and Edison, utilities with roughly the same annual sales and somewhat similar net short positions (33% v. 26%), should be allocated $6.5 billion and $4 billion, respectively, over the next two years.</w:t>
      </w:r>
      <w:r>
        <w:rPr>
          <w:rStyle w:val="FootnoteCharacters"/>
          <w:rStyle w:val="FootnoteReference"/>
        </w:rPr>
        <w:footnoteReference w:id="3"/>
      </w:r>
      <w:r>
        <w:rPr/>
        <w:t xml:space="preserve">  Nor does it make sense that the per kWh cost of DWR power provided to these utilities should be 13.987 cents and 10.029 cents respectively.</w:t>
      </w:r>
      <w:r>
        <w:rPr>
          <w:rStyle w:val="FootnoteCharacters"/>
          <w:rStyle w:val="FootnoteReference"/>
        </w:rPr>
        <w:footnoteReference w:id="4"/>
      </w:r>
      <w:r>
        <w:rPr/>
        <w:t xml:space="preserve">  There is no theoretical cost-of-service basis for such a large disparity and the few figures that have been made available clearly do not justify the difference.</w:t>
      </w:r>
    </w:p>
    <w:p>
      <w:pPr>
        <w:pStyle w:val="Heading1"/>
        <w:ind w:hanging="0" w:start="0"/>
        <w:rPr/>
      </w:pPr>
      <w:r>
        <w:rPr/>
        <w:t>the use of cost of service principles for allocation of the dwr revenue requirement is appropriate, but geography is not a cost-based allocator in these circumstances.</w:t>
      </w:r>
    </w:p>
    <w:p>
      <w:pPr>
        <w:pStyle w:val="BodyText6pt"/>
        <w:rPr/>
      </w:pPr>
      <w:r>
        <w:rPr/>
        <w:t>The DD states that it intends to follow cost-of-service ratemaking principles in developing the allocation.</w:t>
      </w:r>
    </w:p>
    <w:p>
      <w:pPr>
        <w:pStyle w:val="Quote"/>
        <w:rPr/>
      </w:pPr>
      <w:r>
        <w:rPr/>
        <w:t>Consistent with traditional utility ratemaking practice, we therefore adopt an allocation of the DWR revenue requirement that is based on the cost of service for each of the utilities’ service territories.</w:t>
      </w:r>
      <w:r>
        <w:rPr>
          <w:rStyle w:val="FootnoteCharacters"/>
          <w:rStyle w:val="FootnoteReference"/>
        </w:rPr>
        <w:footnoteReference w:id="5"/>
      </w:r>
    </w:p>
    <w:p>
      <w:pPr>
        <w:pStyle w:val="BodyText6pt"/>
        <w:ind w:hanging="0" w:end="0"/>
        <w:rPr/>
      </w:pPr>
      <w:r>
        <w:rPr/>
        <w:t xml:space="preserve">CLECA, CIU and SVMG agree that this is conceptually the appropriate basis for an allocation of the DWR costs.  In fact, CLECA and the California Manufacturers and Technology Association (“CMTA”) recommended such an approach in their earlier comments in this phase of the proceeding.  However, CLECA and CMTA (as well as the Federal Executive Agencies (“FEA”)) recommended such an allocation on a true cost-of-service basis, reflecting DWR purchase cost differences by time of use and by season.  We know that DWR purchased 7 by 24 power and 6 by 16 power, as well as short-term and spot power (the latter for a variety of different hours), all for different prices.  Thus, the load shapes of the net short positions of the three utilities would necessarily have caused DWR to purchase different portfolios of contracted and spot power for each utility, with different weighted average costs for each.  Reflection of such cost differences </w:t>
      </w:r>
      <w:r>
        <w:rPr>
          <w:b/>
          <w:i/>
        </w:rPr>
        <w:t>would be cost based</w:t>
      </w:r>
      <w:r>
        <w:rPr>
          <w:i/>
        </w:rPr>
        <w:t xml:space="preserve">.  </w:t>
      </w:r>
    </w:p>
    <w:p>
      <w:pPr>
        <w:pStyle w:val="BodyText6pt"/>
        <w:rPr/>
      </w:pPr>
      <w:r>
        <w:rPr/>
        <w:t>Unfortunately, immediately following its promise to rely on cost-of-service principles, the DD reveals that it will fail to do so by basing the allocation solely on a broad geographical factor: whether the DWR purchased the power in question from sources in either the SP 15 and NP 15 zones used by the ISO.</w:t>
      </w:r>
    </w:p>
    <w:p>
      <w:pPr>
        <w:pStyle w:val="Quote"/>
        <w:rPr/>
      </w:pPr>
      <w:r>
        <w:rPr/>
        <w:t>The change in net short energy provided for the customers of the respective utilities reflects a more precise assignment of DWR purchases in the major ISO zones, NP 15 (roughly the area served by PG&amp;E, which is North of Path 15) and SP 15 (roughly the area served by SCE and SDG&amp;E, which is south of Path 15).</w:t>
      </w:r>
      <w:r>
        <w:rPr>
          <w:rStyle w:val="FootnoteCharacters"/>
          <w:rStyle w:val="FootnoteReference"/>
        </w:rPr>
        <w:footnoteReference w:id="6"/>
      </w:r>
    </w:p>
    <w:p>
      <w:pPr>
        <w:pStyle w:val="BodyText6pt"/>
        <w:rPr/>
      </w:pPr>
      <w:r>
        <w:rPr/>
        <w:t xml:space="preserve">The problem with this statement is that </w:t>
      </w:r>
      <w:r>
        <w:rPr>
          <w:b/>
          <w:i/>
        </w:rPr>
        <w:t>it cannot be true</w:t>
      </w:r>
      <w:r>
        <w:rPr/>
        <w:t>.  First of all, the procurement of energy by ISO zone has nothing to do with the amount of the utility net short, or its timing.  The net short is the quantity of MWh procured for each utility because its customers’ demands exceed the production from the utility’s retained generating assets and contracts (“URG”).  This figure exists completely independently of the amount of DWR power purchased in the different zones.  The DD later goes on to state (at page 35) that it has allocated costs differently because of the existence of these zones.  Unfortunately, the DD presents no valid basis for this differentiation, almost certainly because there is no valid basis for such a conclusion.  Even if this assertion were true, however, the number of DWR-supplied MWh used by each of the utilities would not be affected.</w:t>
      </w:r>
    </w:p>
    <w:p>
      <w:pPr>
        <w:pStyle w:val="BodyText6pt"/>
        <w:rPr/>
      </w:pPr>
      <w:r>
        <w:rPr/>
        <w:t>Indeed, the DD cites an allocation methodology that is notably not based on cost of service, stating:</w:t>
      </w:r>
    </w:p>
    <w:p>
      <w:pPr>
        <w:pStyle w:val="Quote"/>
        <w:rPr/>
      </w:pPr>
      <w:r>
        <w:rPr/>
        <w:t>We will separately allocate energy procurement on a geographical basis, depending on whether the energy is delivered over facilities in northern California or southern California.  As the dividing point, we shall use what is commonly known as Transmission Path 15.  Energy sources procured north of Path 15 shall be allocated to PG&amp;E customers.  Energy sources procured south of Path 15 shall be allocated to customers of Edison and SDG&amp;E.</w:t>
      </w:r>
      <w:r>
        <w:rPr>
          <w:rStyle w:val="FootnoteCharacters"/>
          <w:rStyle w:val="FootnoteReference"/>
        </w:rPr>
        <w:footnoteReference w:id="7"/>
      </w:r>
      <w:r>
        <w:rPr/>
        <w:t xml:space="preserve">  </w:t>
      </w:r>
    </w:p>
    <w:p>
      <w:pPr>
        <w:pStyle w:val="BodyText6pt"/>
        <w:rPr/>
      </w:pPr>
      <w:r>
        <w:rPr/>
      </w:r>
    </w:p>
    <w:p>
      <w:pPr>
        <w:pStyle w:val="BodyText6pt"/>
        <w:rPr/>
      </w:pPr>
      <w:r>
        <w:rPr/>
        <w:t xml:space="preserve">The problem is that this method of allocation is </w:t>
      </w:r>
      <w:r>
        <w:rPr>
          <w:b/>
          <w:i/>
        </w:rPr>
        <w:t>not related to cost of service</w:t>
      </w:r>
      <w:r>
        <w:rPr>
          <w:b/>
        </w:rPr>
        <w:t>.</w:t>
      </w:r>
      <w:r>
        <w:rPr/>
        <w:t xml:space="preserve">  The use of delivery facilities as the basis of allocation would suggest that we are concerned with the allocation of transmission costs, which is clearly not the case here.  Transmission cost allocation is already accomplished by charging customers, not DWR, for utility transmission costs, and by doing so on a service-area basis.  Because, in the new competitive wholesale market, power is purchased from numerous suppliers at different locations, use of the grid is increasingly shared.  Indeed, for this reason there is a proceeding pending at the FERC to consider sharing of some transmission costs more regionally.  Once again, however, these costs would be charged directly to end use customers and are not relevant here.</w:t>
      </w:r>
    </w:p>
    <w:p>
      <w:pPr>
        <w:pStyle w:val="BodyText6pt"/>
        <w:rPr/>
      </w:pPr>
      <w:r>
        <w:rPr/>
        <w:t>The power purchased by DWR and delivered to load is not confined in a physical sense to one of the DD’s two arbitrary geographical regions.  It serves the whole state; the electrons go wherever the physics permit them to go.  Path 15 is only relevant at all when there is congestion, and then it directly affects the price of the power.  Furthermore, congestion can occur in either direction on Path 15 and thus can affect the price of power in either geographical region.  In addition, any power purchased from the ISO or PX would already include such congestion costs.</w:t>
      </w:r>
    </w:p>
    <w:p>
      <w:pPr>
        <w:pStyle w:val="BodyText6pt"/>
        <w:rPr/>
      </w:pPr>
      <w:r>
        <w:rPr/>
        <w:t xml:space="preserve">The mix and price of power that has been purchased from generating facilities in northern or southern California by DWR reflects its contracting practices.  The load is situated where the load is and has little or nothing to do with the DWR’s practices.  There is no evidence that DWR sought to purchase only northern California power for PG&amp;E customers and only southern California power for SCE and SDG&amp;E customers.  In fact, this would not have made any sense unless it was economically justified on an all-in basis.  DWR has not addressed either its purchasing strategy or the results of such strategy anywhere in this proceeding.  There is no evidence on the matter.  If the power that DWR bought from northern California suppliers were more expensive than that purchased from southern California suppliers, this fact would not justify assigning the more expensive power solely to PG&amp;E customers.  DWR has stated that it bought power to serve all utility net short load, not particular power for particular utilities.  </w:t>
      </w:r>
    </w:p>
    <w:p>
      <w:pPr>
        <w:pStyle w:val="BodyText6pt"/>
        <w:rPr/>
      </w:pPr>
      <w:r>
        <w:rPr/>
        <w:t>Power that has been purchased by DWR from suppliers situated outside of California and brought into different parts of the state cannot be allocated geographically either.  It all goes into the wires that comprise the entire grid.  At most, such imported power incurs congestion charges, and possibly wheeling charges from its out-of-state point of origin.  Purchases from BC Hydro are illustrative of this notion; it makes no sense to conclude that since the BC Hydro power originates north of the state that it was only used to serve the PG&amp;E net short and that none of it flowed to Los Angeles.</w:t>
      </w:r>
    </w:p>
    <w:p>
      <w:pPr>
        <w:pStyle w:val="BodyText6pt"/>
        <w:rPr/>
      </w:pPr>
      <w:r>
        <w:rPr/>
        <w:t>There are yet other failings involved in this so-called “allocation” methodology used in the PD.  First, PG&amp;E’s service area actually extends south of Path 15.  Indeed, Diablo Canyon is located south of Path 15.  Second, there is a third major CAISO zone, SP 26, reflecting those occasions when the system is separated for purchases of ancillary services at Path 26, which is located south of Path 15.  Third, the splitting of the ISO by zone is performed for the purchase of ancillary services and balancing energy, not day ahead or hour-ahead energy.  Indeed, there is no physical basis for associating energy with any of these areas.  Ancillary services are allocated for procurement purposes because of the intricacies of the congestion management protocol.</w:t>
      </w:r>
    </w:p>
    <w:p>
      <w:pPr>
        <w:pStyle w:val="BodyText6pt"/>
        <w:rPr/>
      </w:pPr>
      <w:r>
        <w:rPr/>
        <w:t>The allocation also fails to account for the utilities’ differing treatment of their ancillary services obligation.  The DD appears to accept without question the DWR’s assertions regarding its treatment of ancillary services.</w:t>
      </w:r>
    </w:p>
    <w:p>
      <w:pPr>
        <w:pStyle w:val="Quote"/>
        <w:rPr/>
      </w:pPr>
      <w:r>
        <w:rPr/>
        <w:t>DWR states that its revenue requirement is based on reasonable forecasts and proposes to work with PG&amp;E and Edison to seek a balance between self-provisioning of ancillary services and their respective net short energy and ancillary service costs.</w:t>
      </w:r>
      <w:r>
        <w:rPr>
          <w:rStyle w:val="FootnoteCharacters"/>
          <w:rStyle w:val="FootnoteReference"/>
        </w:rPr>
        <w:footnoteReference w:id="8"/>
      </w:r>
    </w:p>
    <w:p>
      <w:pPr>
        <w:pStyle w:val="BodyText6pt"/>
        <w:rPr/>
      </w:pPr>
      <w:r>
        <w:rPr/>
        <w:t>DWR admits that it assumed an ancillary services cost at 6 percent of total energy purchased and has not made any adjustments for actual self-provision of such services.  As a result, PG&amp;E’s self-provision of ancillary services is not reflected in the allocation of such costs to its customers, leading to a greater-than-appropriate cost allocation for these customers.  DWR’s argument, stated in the DD, “that such cost trade-offs would be reflected in future adjustments of its revenue requirement” results in an unduly high DWR rate component for PG&amp;E customers now and continuing until next summer, the date of the next revision of the allocation.  Since it is already clear that the DWR allocation is wrong, PG&amp;E’s customers should not have to wait until next summer to see an adjustment, in that they will not be protected by any rate freeze.</w:t>
      </w:r>
    </w:p>
    <w:p>
      <w:pPr>
        <w:pStyle w:val="BodyText6pt"/>
        <w:rPr/>
      </w:pPr>
      <w:r>
        <w:rPr/>
      </w:r>
    </w:p>
    <w:p>
      <w:pPr>
        <w:pStyle w:val="Heading1"/>
        <w:ind w:hanging="0" w:start="0"/>
        <w:rPr/>
      </w:pPr>
      <w:r>
        <w:rPr>
          <w:caps w:val="false"/>
          <w:smallCaps w:val="false"/>
        </w:rPr>
        <w:t>T</w:t>
      </w:r>
      <w:r>
        <w:rPr/>
        <w:t>he limited data provided by the dwr and by the energy division raise more questions about the value and precision of the proposed allocation.</w:t>
      </w:r>
    </w:p>
    <w:p>
      <w:pPr>
        <w:pStyle w:val="BodyText6pt"/>
        <w:rPr/>
      </w:pPr>
      <w:r>
        <w:rPr/>
        <w:t xml:space="preserve">The DD states that the “summary” information that was provided by the DWR allowed the Commission’s Energy Division to in effect “ratify” the allocation.  </w:t>
      </w:r>
    </w:p>
    <w:p>
      <w:pPr>
        <w:pStyle w:val="Quote"/>
        <w:rPr/>
      </w:pPr>
      <w:r>
        <w:rPr/>
        <w:t>DWR has provided summary information that allowed the Commission’s Energy Division to calculate the amount of energy costs that were allocated to each utility service area before the DWR combined these costs for its “postage stamp” calculations.  These energy costs consist of contract power, residual net short purchases, and ancillary services, and are based on DWR‘s estimates of contract volumes and residual net short volumes in each utility service area.</w:t>
      </w:r>
      <w:r>
        <w:rPr>
          <w:rStyle w:val="FootnoteCharacters"/>
          <w:rStyle w:val="FootnoteReference"/>
        </w:rPr>
        <w:footnoteReference w:id="9"/>
      </w:r>
    </w:p>
    <w:p>
      <w:pPr>
        <w:pStyle w:val="BodyText6pt"/>
        <w:rPr/>
      </w:pPr>
      <w:r>
        <w:rPr/>
        <w:t xml:space="preserve">CLECA, CIU and SVMG have reviewed the information sent to parties very late on Friday, September 7, in response to numerous calls for workpapers supporting the DD’s adopted allocation.  This information is set forth at a highly aggregate level and </w:t>
      </w:r>
      <w:r>
        <w:rPr>
          <w:b/>
          <w:i/>
        </w:rPr>
        <w:t>provides no indication of how purchases were assigned to the three utilities</w:t>
      </w:r>
      <w:r>
        <w:rPr/>
        <w:t xml:space="preserve">.  Correspondence with Energy Division staff indicates that the NP15/SP15 allocation referenced above was used for purposes of energy allocation.  </w:t>
      </w:r>
    </w:p>
    <w:p>
      <w:pPr>
        <w:pStyle w:val="BodyText6pt"/>
        <w:rPr/>
      </w:pPr>
      <w:r>
        <w:rPr/>
        <w:t>The results in the table provided by the Energy Division indicate just how inappropriate the results of this allocation are.  At the simplest level, the total contract plus residual net short energy allocated to PG&amp;E for the two years 2001 and 2002 is 65,878 GWh.  The retail sales for PG&amp;E are 55,417 GWh.  The DWR power allocated to PG&amp;E is thus 19 percent greater than the indicated sales of DWR power to PG&amp;E for the period.  This enormous differential cannot be accounted for by losses.  Instead, this simple calculation makes it clear that some of this power went south and should have been allocated to the southern California utilities.  Since much of this power was and is very expensive, shifting responsibility for the power to PG&amp;E also shifts a lot of costs to PG&amp;E and its ratepayers.  This is simply not appropriate.</w:t>
      </w:r>
    </w:p>
    <w:p>
      <w:pPr>
        <w:pStyle w:val="BodyText6pt"/>
        <w:rPr/>
      </w:pPr>
      <w:r>
        <w:rPr/>
        <w:t xml:space="preserve">Indeed, a review of the ratios of contract power allocated to PG&amp;E and the southern California utilities compared to net short and total retail sales shows wildly varying results.  In the third quarter of 2002, contract sales to PG&amp;E are projected to be 106% of retail sales, with another 48% of retail sales in spot sales to PG&amp;E (a total of 154% of PG&amp;E sales), while the contract sales figure is 70.5% for SCE and 74.8% for SDG&amp;E.  These results make no sense. DWR’s purchases for PG&amp;E cannot equal 154% of the retail sales by DWR.  The results must be an artifact of the allocation methodology.  Furthermore, if the variation in contract sales among the three utilities is a function of any rational purchasing strategy, it is not apparent.  </w:t>
      </w:r>
    </w:p>
    <w:p>
      <w:pPr>
        <w:pStyle w:val="BodyText6pt"/>
        <w:rPr/>
      </w:pPr>
      <w:r>
        <w:rPr/>
        <w:t>Looking at an historical period which does not involve forecasting, the second quarter of 2001, the percentages of contract vs. spot for the three utilities were 71/29 for PG&amp;E, 65/35 for SCE, and 59/41 for SDG&amp;E.  Even accounting for losses resulting in a total greater than 100% for combined contract and residual net short (aka spot) purchases, these variations make no sense outside of the use of a severely flawed allocator of contract and residual net short costs on the basis of geography.</w:t>
      </w:r>
    </w:p>
    <w:p>
      <w:pPr>
        <w:pStyle w:val="BodyText6pt"/>
        <w:rPr/>
      </w:pPr>
      <w:r>
        <w:rPr/>
        <w:t>The DD does state that that the bond proceeds have been allocated using the same allocator as the total DWR costs.  Again, one must question the appropriateness of such an allocation.  There is no evidence that the use of bond proceeds tracks energy and ancillary services purchases.  Indeed, as stated elsewhere in the PD (pp. 31-32), DWR intended to allocate bond funds in excess of repayment of general fund and interim-funding debt to subsidize utility customers in the short run to avoid possible rate increases.  The main reason PG&amp;E faces rate increases as a result of this decision is precisely because of the decision’s non-cost-based allocation of power and ancillary services costs.</w:t>
      </w:r>
    </w:p>
    <w:p>
      <w:pPr>
        <w:pStyle w:val="Normal"/>
        <w:rPr/>
      </w:pPr>
      <w:r>
        <w:rPr/>
      </w:r>
    </w:p>
    <w:p>
      <w:pPr>
        <w:pStyle w:val="Heading1"/>
        <w:ind w:hanging="0" w:start="0"/>
        <w:rPr/>
      </w:pPr>
      <w:r>
        <w:rPr/>
        <w:t>conclusion</w:t>
      </w:r>
    </w:p>
    <w:p>
      <w:pPr>
        <w:pStyle w:val="BodyText6pt"/>
        <w:rPr/>
      </w:pPr>
      <w:r>
        <w:rPr/>
        <w:t>The Commission is faced with a serious problem.  The DWR has made it clear that it needs to have a decision on its revenue requirements quickly so that it can successfully issue bonds to generate revenue to re-pay the general fund.  No one has been permitted to test that proposition, but it seems to be accepted as fact by decision makers.  The problem is that this record does not support approval of any particular revenue requirement for DWR and it certainly does not support the allocation proposed in the DD.  If the Commission must act quickly, then it must act provisionally and set for further hearings the many questions identified here and, we suspect, in the comments of many other interested parties concerning the basis of the allocation among the utilities.</w:t>
      </w:r>
    </w:p>
    <w:p>
      <w:pPr>
        <w:pStyle w:val="Normal"/>
        <w:rPr/>
      </w:pPr>
      <w:r>
        <w:rPr/>
      </w:r>
    </w:p>
    <w:p>
      <w:pPr>
        <w:pStyle w:val="Normal"/>
        <w:rPr/>
      </w:pPr>
      <w:r>
        <w:rPr/>
        <w:t>Dated:</w:t>
        <w:tab/>
        <w:t>September 11, 2001</w:t>
      </w:r>
    </w:p>
    <w:p>
      <w:pPr>
        <w:pStyle w:val="Normal"/>
        <w:ind w:firstLine="720" w:start="4320" w:end="0"/>
        <w:rPr/>
      </w:pPr>
      <w:r>
        <w:rPr/>
        <w:t>Respectfully submitted,</w:t>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rPr/>
            </w:pPr>
            <w:r>
              <w:rPr/>
              <w:t>Daniel L.Carroll</w:t>
            </w:r>
          </w:p>
          <w:p>
            <w:pPr>
              <w:pStyle w:val="Normal"/>
              <w:rPr/>
            </w:pPr>
            <w:r>
              <w:rPr/>
              <w:t xml:space="preserve">Philip A. Stohr </w:t>
            </w:r>
          </w:p>
          <w:p>
            <w:pPr>
              <w:pStyle w:val="Normal"/>
              <w:rPr/>
            </w:pPr>
            <w:r>
              <w:rPr/>
              <w:t>Downey, Brand, Seymour &amp; Rohwer</w:t>
            </w:r>
          </w:p>
          <w:p>
            <w:pPr>
              <w:pStyle w:val="Normal"/>
              <w:rPr/>
            </w:pPr>
            <w:r>
              <w:rPr/>
              <w:t>555 Capitol Mall, 10</w:t>
            </w:r>
            <w:r>
              <w:rPr>
                <w:vertAlign w:val="superscript"/>
              </w:rPr>
              <w:t>th</w:t>
            </w:r>
            <w:r>
              <w:rPr/>
              <w:t xml:space="preserve"> Floor</w:t>
            </w:r>
          </w:p>
          <w:p>
            <w:pPr>
              <w:pStyle w:val="Normal"/>
              <w:rPr/>
            </w:pPr>
            <w:r>
              <w:rPr/>
              <w:t>Sacramento, CA 95814</w:t>
            </w:r>
          </w:p>
          <w:p>
            <w:pPr>
              <w:pStyle w:val="Normal"/>
              <w:rPr/>
            </w:pPr>
            <w:r>
              <w:rPr/>
              <w:t>Tel: (916) 441-0131</w:t>
            </w:r>
          </w:p>
          <w:p>
            <w:pPr>
              <w:pStyle w:val="Normal"/>
              <w:rPr/>
            </w:pPr>
            <w:r>
              <w:rPr/>
            </w:r>
          </w:p>
          <w:p>
            <w:pPr>
              <w:pStyle w:val="Normal"/>
              <w:rPr/>
            </w:pPr>
            <w:r>
              <w:rPr/>
            </w:r>
          </w:p>
          <w:p>
            <w:pPr>
              <w:pStyle w:val="Normal"/>
              <w:rPr/>
            </w:pPr>
            <w:r>
              <w:rPr/>
            </w:r>
          </w:p>
          <w:p>
            <w:pPr>
              <w:pStyle w:val="Normal"/>
              <w:rPr/>
            </w:pPr>
            <w:r>
              <w:rPr/>
              <w:t>Justin Bradley, Director of Energy Programs</w:t>
            </w:r>
          </w:p>
          <w:p>
            <w:pPr>
              <w:pStyle w:val="Normal"/>
              <w:rPr/>
            </w:pPr>
            <w:r>
              <w:rPr/>
              <w:t>Silicon Valley Manufacturers Association</w:t>
            </w:r>
          </w:p>
          <w:p>
            <w:pPr>
              <w:pStyle w:val="Normal"/>
              <w:rPr/>
            </w:pPr>
            <w:r>
              <w:rPr/>
              <w:t>226 Airport Parkway, Suite 190</w:t>
            </w:r>
          </w:p>
          <w:p>
            <w:pPr>
              <w:pStyle w:val="Normal"/>
              <w:rPr/>
            </w:pPr>
            <w:r>
              <w:rPr/>
              <w:t>San Jose, CA 95110</w:t>
            </w:r>
          </w:p>
          <w:p>
            <w:pPr>
              <w:pStyle w:val="Normal"/>
              <w:rPr/>
            </w:pPr>
            <w:r>
              <w:rPr/>
              <w:t>Tel: (408) 501-7852</w:t>
            </w:r>
          </w:p>
        </w:tc>
        <w:tc>
          <w:tcPr>
            <w:tcW w:w="4518" w:type="dxa"/>
            <w:tcBorders/>
          </w:tcPr>
          <w:p>
            <w:pPr>
              <w:pStyle w:val="Normal"/>
              <w:rPr/>
            </w:pPr>
            <w:r>
              <w:rPr/>
              <w:t>William H. Booth</w:t>
            </w:r>
          </w:p>
          <w:p>
            <w:pPr>
              <w:pStyle w:val="Normal"/>
              <w:rPr/>
            </w:pPr>
            <w:r>
              <w:rPr/>
              <w:t>Law Offices of William H. Booth</w:t>
            </w:r>
          </w:p>
          <w:p>
            <w:pPr>
              <w:pStyle w:val="Normal"/>
              <w:rPr/>
            </w:pPr>
            <w:r>
              <w:rPr/>
              <w:t>1500 Newell Ave., 5</w:t>
            </w:r>
            <w:r>
              <w:rPr>
                <w:vertAlign w:val="superscript"/>
              </w:rPr>
              <w:t>th</w:t>
            </w:r>
            <w:r>
              <w:rPr/>
              <w:t xml:space="preserve"> Floor</w:t>
            </w:r>
          </w:p>
          <w:p>
            <w:pPr>
              <w:pStyle w:val="Normal"/>
              <w:rPr/>
            </w:pPr>
            <w:r>
              <w:rPr/>
              <w:t>Walnut Creek, CA 94596</w:t>
            </w:r>
          </w:p>
          <w:p>
            <w:pPr>
              <w:pStyle w:val="Normal"/>
              <w:rPr/>
            </w:pPr>
            <w:r>
              <w:rPr/>
              <w:t>Tel: (925) 296-2460</w:t>
            </w:r>
          </w:p>
          <w:p>
            <w:pPr>
              <w:pStyle w:val="Normal"/>
              <w:rPr/>
            </w:pPr>
            <w:r>
              <w:rPr/>
              <w:t>Fax: (925) 296-2464</w:t>
            </w:r>
          </w:p>
        </w:tc>
      </w:tr>
    </w:tbl>
    <w:p>
      <w:pPr>
        <w:pStyle w:val="Normal"/>
        <w:rPr/>
      </w:pPr>
      <w:r>
        <w:rPr/>
      </w:r>
    </w:p>
    <w:p>
      <w:pPr>
        <w:pStyle w:val="Normal"/>
        <w:rPr>
          <w:sz w:val="16"/>
        </w:rPr>
      </w:pPr>
      <w:r>
        <w:rPr>
          <w:sz w:val="16"/>
        </w:rPr>
        <w:t>CLECA/052/PLEADINGS/COMMENTS ON DWR REV REQ 9.10.01</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limited “workshop” did not provide answers to parties’ legitimate questions regarding the DWR figures, and DWR appeared entirely unprepared to discuss the basis for its figures.</w:t>
      </w:r>
    </w:p>
  </w:footnote>
  <w:footnote w:id="3">
    <w:p>
      <w:pPr>
        <w:pStyle w:val="FootnoteText"/>
        <w:rPr/>
      </w:pPr>
      <w:r>
        <w:rPr>
          <w:rStyle w:val="FootnoteCharacters"/>
        </w:rPr>
        <w:footnoteRef/>
      </w:r>
      <w:r>
        <w:rPr/>
        <w:t xml:space="preserve"> </w:t>
      </w:r>
      <w:r>
        <w:rPr/>
        <w:t>DD at Appendix C.</w:t>
      </w:r>
    </w:p>
  </w:footnote>
  <w:footnote w:id="4">
    <w:p>
      <w:pPr>
        <w:pStyle w:val="FootnoteText"/>
        <w:rPr/>
      </w:pPr>
      <w:r>
        <w:rPr>
          <w:rStyle w:val="FootnoteCharacters"/>
        </w:rPr>
        <w:footnoteRef/>
      </w:r>
      <w:r>
        <w:rPr/>
        <w:t xml:space="preserve"> </w:t>
      </w:r>
      <w:r>
        <w:rPr/>
        <w:t>DD at Table A-8, line 8.</w:t>
      </w:r>
    </w:p>
  </w:footnote>
  <w:footnote w:id="5">
    <w:p>
      <w:pPr>
        <w:pStyle w:val="FootnoteText"/>
        <w:rPr/>
      </w:pPr>
      <w:r>
        <w:rPr>
          <w:rStyle w:val="FootnoteCharacters"/>
        </w:rPr>
        <w:footnoteRef/>
      </w:r>
      <w:r>
        <w:rPr/>
        <w:t xml:space="preserve"> </w:t>
      </w:r>
      <w:r>
        <w:rPr/>
        <w:t>Ibid., at p. 24.</w:t>
      </w:r>
    </w:p>
  </w:footnote>
  <w:footnote w:id="6">
    <w:p>
      <w:pPr>
        <w:pStyle w:val="FootnoteText"/>
        <w:rPr/>
      </w:pPr>
      <w:r>
        <w:rPr>
          <w:rStyle w:val="FootnoteCharacters"/>
        </w:rPr>
        <w:footnoteRef/>
      </w:r>
      <w:r>
        <w:rPr/>
        <w:t xml:space="preserve"> </w:t>
      </w:r>
      <w:r>
        <w:rPr/>
        <w:t>Id.</w:t>
      </w:r>
    </w:p>
  </w:footnote>
  <w:footnote w:id="7">
    <w:p>
      <w:pPr>
        <w:pStyle w:val="FootnoteText"/>
        <w:rPr/>
      </w:pPr>
      <w:r>
        <w:rPr>
          <w:rStyle w:val="FootnoteCharacters"/>
        </w:rPr>
        <w:footnoteRef/>
      </w:r>
      <w:r>
        <w:rPr/>
        <w:t xml:space="preserve"> </w:t>
      </w:r>
      <w:r>
        <w:rPr/>
        <w:t>Ibid., at p. 35.</w:t>
      </w:r>
    </w:p>
  </w:footnote>
  <w:footnote w:id="8">
    <w:p>
      <w:pPr>
        <w:pStyle w:val="FootnoteText"/>
        <w:rPr/>
      </w:pPr>
      <w:r>
        <w:rPr>
          <w:rStyle w:val="FootnoteCharacters"/>
        </w:rPr>
        <w:footnoteRef/>
      </w:r>
      <w:r>
        <w:rPr/>
        <w:t xml:space="preserve"> </w:t>
      </w:r>
      <w:r>
        <w:rPr/>
        <w:t>Ibid., at p. 25.</w:t>
      </w:r>
    </w:p>
  </w:footnote>
  <w:footnote w:id="9">
    <w:p>
      <w:pPr>
        <w:pStyle w:val="FootnoteText"/>
        <w:rPr/>
      </w:pPr>
      <w:r>
        <w:rPr>
          <w:rStyle w:val="FootnoteCharacters"/>
        </w:rPr>
        <w:footnoteRef/>
      </w:r>
      <w:r>
        <w:rPr/>
        <w:t xml:space="preserve"> </w:t>
      </w:r>
      <w:r>
        <w:rPr/>
        <w:t>Ibid., at pp. 35-36.</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z w:val="24"/>
        <w:i w:val="false"/>
        <w:b/>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b/>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caps/>
    </w:rPr>
  </w:style>
  <w:style w:type="paragraph" w:styleId="Heading2">
    <w:name w:val="heading 2"/>
    <w:basedOn w:val="Normal"/>
    <w:next w:val="Normal"/>
    <w:qFormat/>
    <w:pPr>
      <w:numPr>
        <w:ilvl w:val="1"/>
        <w:numId w:val="1"/>
      </w:numPr>
      <w:spacing w:before="120" w:after="120"/>
      <w:outlineLvl w:val="1"/>
    </w:pPr>
    <w:rPr>
      <w:b/>
    </w:rPr>
  </w:style>
  <w:style w:type="paragraph" w:styleId="Heading3">
    <w:name w:val="heading 3"/>
    <w:basedOn w:val="Normal"/>
    <w:next w:val="Normal"/>
    <w:qFormat/>
    <w:pPr>
      <w:keepNext w:val="true"/>
      <w:numPr>
        <w:ilvl w:val="2"/>
        <w:numId w:val="1"/>
      </w:numPr>
      <w:spacing w:before="120" w:after="120"/>
      <w:outlineLvl w:val="2"/>
    </w:pPr>
    <w:rPr>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rFonts w:ascii="Times New Roman" w:hAnsi="Times New Roman" w:cs="Times New Roman"/>
      <w:b/>
      <w:i w:val="false"/>
      <w:sz w:val="24"/>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widowControl w:val="false"/>
      <w:spacing w:lineRule="exact" w:line="42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ind w:hanging="720" w:start="720" w:end="0"/>
    </w:pPr>
    <w:rPr>
      <w:caps/>
    </w:rPr>
  </w:style>
  <w:style w:type="paragraph" w:styleId="BodyText6pt">
    <w:name w:val="Body Text 6pt"/>
    <w:basedOn w:val="Normal"/>
    <w:qFormat/>
    <w:pPr>
      <w:spacing w:lineRule="exact" w:line="480" w:before="0" w:after="12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at12pt">
    <w:name w:val="Body Text at 12pt"/>
    <w:basedOn w:val="Normal"/>
    <w:qFormat/>
    <w:pPr>
      <w:spacing w:lineRule="exact" w:line="480" w:before="0" w:after="240"/>
      <w:ind w:firstLine="720" w:start="0" w:end="0"/>
    </w:pPr>
    <w:rPr/>
  </w:style>
  <w:style w:type="paragraph" w:styleId="FootnoteText">
    <w:name w:val="footnote text"/>
    <w:basedOn w:val="Normal"/>
    <w:pPr>
      <w:keepLines/>
      <w:spacing w:lineRule="exact" w:line="240"/>
    </w:pPr>
    <w:rPr>
      <w:sz w:val="20"/>
    </w:rPr>
  </w:style>
  <w:style w:type="paragraph" w:styleId="BodyTextw0pt">
    <w:name w:val="Body Text w/ 0 pt"/>
    <w:basedOn w:val="Normal"/>
    <w:qFormat/>
    <w:pPr>
      <w:spacing w:lineRule="exact" w:line="480"/>
      <w:ind w:firstLine="720" w:start="0" w:end="0"/>
    </w:pPr>
    <w:rPr/>
  </w:style>
  <w:style w:type="paragraph" w:styleId="Quote">
    <w:name w:val="Quote"/>
    <w:basedOn w:val="Normal"/>
    <w:next w:val="Normal"/>
    <w:qFormat/>
    <w:pPr>
      <w:spacing w:before="240" w:after="240"/>
      <w:ind w:hanging="0" w:start="1440" w:end="720"/>
    </w:pPr>
    <w:rPr/>
  </w:style>
  <w:style w:type="paragraph" w:styleId="TOC2">
    <w:name w:val="toc 2"/>
    <w:basedOn w:val="Normal"/>
    <w:next w:val="Normal"/>
    <w:pPr>
      <w:spacing w:before="120" w:after="120"/>
      <w:ind w:hanging="720" w:start="1440" w:end="0"/>
    </w:pPr>
    <w:rPr/>
  </w:style>
  <w:style w:type="paragraph" w:styleId="TOC3">
    <w:name w:val="toc 3"/>
    <w:basedOn w:val="Normal"/>
    <w:next w:val="Normal"/>
    <w:pPr>
      <w:spacing w:before="120" w:after="120"/>
      <w:ind w:hanging="720" w:start="2160" w:end="0"/>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Brief.dot</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2001-09-10T16:05:00Z</dcterms:created>
  <dc:creator>cbooth</dc:creator>
  <dc:description/>
  <dc:language>en-CA</dc:language>
  <cp:lastModifiedBy>wbooth</cp:lastModifiedBy>
  <cp:lastPrinted>2001-09-10T18:04:00Z</cp:lastPrinted>
  <dcterms:modified xsi:type="dcterms:W3CDTF">2001-09-10T22:35:00Z</dcterms:modified>
  <cp:revision>12</cp:revision>
  <dc:subject/>
  <dc:title>BEFORE THE PUBLIC UTILITIES COMMISSION</dc:title>
</cp:coreProperties>
</file>