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Comments on Bliley amendment to Largent amendment</w:t>
      </w:r>
    </w:p>
    <w:p>
      <w:pPr>
        <w:pStyle w:val="Normal"/>
        <w:rPr>
          <w:sz w:val="28"/>
        </w:rPr>
      </w:pPr>
      <w:r>
        <w:rPr>
          <w:sz w:val="28"/>
        </w:rPr>
      </w:r>
    </w:p>
    <w:p>
      <w:pPr>
        <w:pStyle w:val="Normal"/>
        <w:rPr>
          <w:b/>
          <w:sz w:val="28"/>
        </w:rPr>
      </w:pPr>
      <w:r>
        <w:rPr>
          <w:b/>
          <w:sz w:val="28"/>
        </w:rPr>
        <w:t>Subsection (g)(1):</w:t>
      </w:r>
    </w:p>
    <w:p>
      <w:pPr>
        <w:pStyle w:val="Normal"/>
        <w:rPr>
          <w:b/>
          <w:sz w:val="28"/>
        </w:rPr>
      </w:pPr>
      <w:r>
        <w:rPr>
          <w:b/>
          <w:sz w:val="28"/>
        </w:rPr>
      </w:r>
    </w:p>
    <w:p>
      <w:pPr>
        <w:pStyle w:val="Normal"/>
        <w:numPr>
          <w:ilvl w:val="0"/>
          <w:numId w:val="2"/>
        </w:numPr>
        <w:tabs>
          <w:tab w:val="clear" w:pos="720"/>
          <w:tab w:val="left" w:pos="1080" w:leader="none"/>
        </w:tabs>
        <w:spacing w:lineRule="auto" w:line="480"/>
        <w:ind w:hanging="360" w:start="1080" w:end="0"/>
        <w:rPr>
          <w:sz w:val="28"/>
        </w:rPr>
      </w:pPr>
      <w:r>
        <w:rPr>
          <w:sz w:val="28"/>
        </w:rPr>
        <w:t xml:space="preserve">The subsection separates the terms “terms and conditions” from the terms “rates and charges”.  The unbundling requirement appears to apply only to rates and charges and the nondiscriminatory requirement appears to apply only to terms and conditions.  Under Order 888 rates terms and conditions are already supposed to be nondiscriminatory, but they are not . . .  that’s why Congress has to step in.  The problem is that the transmission bundled in the utility sale is superior to that which is available to competitors.  Transmission rates, terms and conditions must all be fully unbundled </w:t>
      </w:r>
      <w:r>
        <w:rPr>
          <w:i/>
          <w:sz w:val="28"/>
        </w:rPr>
        <w:t>and</w:t>
      </w:r>
      <w:r>
        <w:rPr>
          <w:sz w:val="28"/>
        </w:rPr>
        <w:t xml:space="preserve"> nondiscriminatory.  </w:t>
      </w:r>
      <w:r>
        <w:rPr>
          <w:b/>
          <w:sz w:val="28"/>
        </w:rPr>
        <w:t>Solution:</w:t>
      </w:r>
      <w:r>
        <w:rPr>
          <w:sz w:val="28"/>
        </w:rPr>
        <w:t xml:space="preserve">  use a single phrase, “rates, terms and conditions” and require that they be both unbundled and nondiscriminatory.</w:t>
      </w:r>
    </w:p>
    <w:p>
      <w:pPr>
        <w:pStyle w:val="Normal"/>
        <w:numPr>
          <w:ilvl w:val="0"/>
          <w:numId w:val="2"/>
        </w:numPr>
        <w:tabs>
          <w:tab w:val="clear" w:pos="720"/>
          <w:tab w:val="left" w:pos="1080" w:leader="none"/>
        </w:tabs>
        <w:spacing w:lineRule="auto" w:line="480"/>
        <w:ind w:hanging="360" w:start="1080" w:end="0"/>
        <w:rPr>
          <w:sz w:val="28"/>
        </w:rPr>
      </w:pPr>
      <w:r>
        <w:rPr>
          <w:sz w:val="28"/>
        </w:rPr>
        <w:t xml:space="preserve">I think we should remove the word “unduly” and simply require that rates terms and conditions be neither discriminatory nor preferential.  I can understand why Congress would not use the term “same” as applied to rates, terms and conditions, but I would not think Congress would like to leave it to FERC (or the states) to decide that some amount of anticompetitive discrimination is OK.  </w:t>
      </w:r>
      <w:r>
        <w:rPr>
          <w:b/>
          <w:sz w:val="28"/>
        </w:rPr>
        <w:t xml:space="preserve">Solution: </w:t>
      </w:r>
      <w:r>
        <w:rPr>
          <w:sz w:val="28"/>
        </w:rPr>
        <w:t>remove the term “unduly”.</w:t>
      </w:r>
    </w:p>
    <w:p>
      <w:pPr>
        <w:pStyle w:val="Normal"/>
        <w:spacing w:lineRule="auto" w:line="480"/>
        <w:rPr>
          <w:b/>
          <w:sz w:val="28"/>
        </w:rPr>
      </w:pPr>
      <w:r>
        <w:rPr>
          <w:b/>
          <w:sz w:val="28"/>
        </w:rPr>
        <w:t>Subsection (g)(2):</w:t>
      </w:r>
    </w:p>
    <w:p>
      <w:pPr>
        <w:pStyle w:val="Normal"/>
        <w:numPr>
          <w:ilvl w:val="0"/>
          <w:numId w:val="3"/>
        </w:numPr>
        <w:tabs>
          <w:tab w:val="clear" w:pos="720"/>
          <w:tab w:val="left" w:pos="1080" w:leader="none"/>
        </w:tabs>
        <w:spacing w:lineRule="auto" w:line="480"/>
        <w:ind w:hanging="360" w:start="1080" w:end="0"/>
        <w:rPr>
          <w:sz w:val="28"/>
        </w:rPr>
      </w:pPr>
      <w:r>
        <w:rPr>
          <w:sz w:val="28"/>
        </w:rPr>
        <w:t xml:space="preserve">The subsection does not deal explicitly with what happens if a state does not file or if the Commission “disapproves” the state’s certification.  Presumably the utility still has the obligation to comply, but that obligation appears to be concurrent with the state’s deadline for filing.  </w:t>
      </w:r>
      <w:r>
        <w:rPr>
          <w:b/>
          <w:sz w:val="28"/>
        </w:rPr>
        <w:t xml:space="preserve">Solution: </w:t>
      </w:r>
      <w:r>
        <w:rPr>
          <w:sz w:val="28"/>
        </w:rPr>
        <w:t xml:space="preserve">require the utility to consult with the state regulator and give the state regulator the opportunity to concur with the utility’s filing or submit proposed changes to bring the utility into compliance.  FERC then rules on the filing with the benefit of the utility’s filing and the state’s views on that filing.  FERC has to rule </w:t>
      </w:r>
      <w:r>
        <w:rPr>
          <w:i/>
          <w:sz w:val="28"/>
        </w:rPr>
        <w:t xml:space="preserve">and put the new tariff into effect </w:t>
      </w:r>
      <w:r>
        <w:rPr>
          <w:sz w:val="28"/>
        </w:rPr>
        <w:t xml:space="preserve"> within 18 months of the effective date of the act.</w:t>
      </w:r>
    </w:p>
    <w:p>
      <w:pPr>
        <w:pStyle w:val="Normal"/>
        <w:spacing w:lineRule="auto" w:line="480"/>
        <w:rPr>
          <w:b/>
          <w:sz w:val="28"/>
        </w:rPr>
      </w:pPr>
      <w:r>
        <w:rPr>
          <w:b/>
          <w:sz w:val="28"/>
        </w:rPr>
        <w:t>Subsection (g)(3):</w:t>
      </w:r>
    </w:p>
    <w:p>
      <w:pPr>
        <w:pStyle w:val="Normal"/>
        <w:numPr>
          <w:ilvl w:val="0"/>
          <w:numId w:val="4"/>
        </w:numPr>
        <w:tabs>
          <w:tab w:val="clear" w:pos="720"/>
          <w:tab w:val="left" w:pos="1080" w:leader="none"/>
        </w:tabs>
        <w:spacing w:lineRule="auto" w:line="480"/>
        <w:ind w:hanging="360" w:start="1080" w:end="0"/>
        <w:rPr>
          <w:b/>
          <w:sz w:val="28"/>
        </w:rPr>
      </w:pPr>
      <w:r>
        <w:rPr>
          <w:sz w:val="28"/>
        </w:rPr>
        <w:t xml:space="preserve">The subsection requires a filing only for “the transmission of electric energy in interstate commerce that was </w:t>
      </w:r>
      <w:r>
        <w:rPr>
          <w:i/>
          <w:sz w:val="28"/>
        </w:rPr>
        <w:t xml:space="preserve">not regulated by the Commission prior to such date.”  </w:t>
      </w:r>
      <w:r>
        <w:rPr>
          <w:sz w:val="28"/>
        </w:rPr>
        <w:t xml:space="preserve">Unfortunately, the problems in the electric grid today extend not only to the transmission the commission hasn’t asserted jurisdiction over, but to existing unbundled transmission which has proved wholly inadequate in timely meeting the reliability and economic demands of customers and competitors.  In other words, the existing unbundled transmission rates, terms and conditions need to be overhauled through filings with the commission to make them workable. [Recall that utilities in Maryland pointed out to their state commission the inadequacy of the FERC’s existing unbundled “open access” tariff for meeting the needs of Maryland customers taking service from competitive providers.  </w:t>
      </w:r>
      <w:r>
        <w:rPr>
          <w:b/>
          <w:sz w:val="28"/>
        </w:rPr>
        <w:t xml:space="preserve">Solution: </w:t>
      </w:r>
      <w:r>
        <w:rPr>
          <w:sz w:val="28"/>
        </w:rPr>
        <w:t>require the utility filing to include nondiscriminatory rates, terms and conditions for all transmission.</w:t>
      </w:r>
    </w:p>
    <w:p>
      <w:pPr>
        <w:pStyle w:val="Normal"/>
        <w:numPr>
          <w:ilvl w:val="0"/>
          <w:numId w:val="3"/>
        </w:numPr>
        <w:tabs>
          <w:tab w:val="clear" w:pos="720"/>
          <w:tab w:val="left" w:pos="1080" w:leader="none"/>
        </w:tabs>
        <w:spacing w:lineRule="auto" w:line="480"/>
        <w:ind w:hanging="360" w:start="1080" w:end="0"/>
        <w:rPr>
          <w:sz w:val="28"/>
        </w:rPr>
      </w:pPr>
      <w:r>
        <w:rPr>
          <w:sz w:val="28"/>
        </w:rPr>
        <w:t xml:space="preserve">The subsection provides for a “remand” to the utility.  This creates the opportunity for a “do loop” with the utility submitting one insufficient proposal after another, all the while delaying true reliable, competitive open access.  </w:t>
      </w:r>
      <w:r>
        <w:rPr>
          <w:b/>
          <w:sz w:val="28"/>
        </w:rPr>
        <w:t xml:space="preserve">Solution:  </w:t>
      </w:r>
      <w:r>
        <w:rPr>
          <w:sz w:val="28"/>
        </w:rPr>
        <w:t>change “remand” to “modify” (and make conforming changes) to give the Commission the authority to bring the rates, terms and conditions into compliance.</w:t>
      </w:r>
    </w:p>
    <w:p>
      <w:pPr>
        <w:pStyle w:val="Normal"/>
        <w:spacing w:lineRule="auto" w:line="480"/>
        <w:rPr>
          <w:sz w:val="28"/>
        </w:rPr>
      </w:pPr>
      <w:r>
        <w:rPr>
          <w:b/>
          <w:sz w:val="28"/>
        </w:rPr>
        <w:t>Other required provisions:</w:t>
      </w:r>
    </w:p>
    <w:p>
      <w:pPr>
        <w:pStyle w:val="Normal"/>
        <w:numPr>
          <w:ilvl w:val="0"/>
          <w:numId w:val="1"/>
        </w:numPr>
        <w:tabs>
          <w:tab w:val="clear" w:pos="720"/>
          <w:tab w:val="left" w:pos="1080" w:leader="none"/>
        </w:tabs>
        <w:spacing w:lineRule="auto" w:line="480"/>
        <w:ind w:hanging="360" w:start="1080" w:end="0"/>
        <w:rPr>
          <w:sz w:val="28"/>
        </w:rPr>
      </w:pPr>
      <w:r>
        <w:rPr>
          <w:sz w:val="28"/>
        </w:rPr>
        <w:t>TVA and BPA should be brought under the unbundling, functional separation, and nondiscriminatory requirements of the act.</w:t>
      </w:r>
    </w:p>
    <w:p>
      <w:pPr>
        <w:pStyle w:val="Normal"/>
        <w:numPr>
          <w:ilvl w:val="0"/>
          <w:numId w:val="1"/>
        </w:numPr>
        <w:tabs>
          <w:tab w:val="clear" w:pos="720"/>
          <w:tab w:val="left" w:pos="1080" w:leader="none"/>
        </w:tabs>
        <w:spacing w:lineRule="auto" w:line="480"/>
        <w:ind w:hanging="360" w:start="1080" w:end="0"/>
        <w:rPr>
          <w:sz w:val="28"/>
        </w:rPr>
      </w:pPr>
      <w:r>
        <w:rPr>
          <w:sz w:val="28"/>
        </w:rPr>
        <w:t>Interconnection has to be nondiscriminatory and timely.</w:t>
      </w:r>
    </w:p>
    <w:p>
      <w:pPr>
        <w:pStyle w:val="Normal"/>
        <w:numPr>
          <w:ilvl w:val="0"/>
          <w:numId w:val="1"/>
        </w:numPr>
        <w:tabs>
          <w:tab w:val="clear" w:pos="720"/>
          <w:tab w:val="left" w:pos="1080" w:leader="none"/>
        </w:tabs>
        <w:spacing w:lineRule="auto" w:line="480"/>
        <w:ind w:hanging="360" w:start="1080" w:end="0"/>
        <w:rPr>
          <w:sz w:val="28"/>
        </w:rPr>
      </w:pPr>
      <w:r>
        <w:rPr>
          <w:sz w:val="28"/>
        </w:rPr>
        <w:t>Operational separation, at a minimum, must be provided for.</w:t>
      </w:r>
    </w:p>
    <w:p>
      <w:pPr>
        <w:pStyle w:val="Normal"/>
        <w:numPr>
          <w:ilvl w:val="0"/>
          <w:numId w:val="1"/>
        </w:numPr>
        <w:tabs>
          <w:tab w:val="clear" w:pos="720"/>
          <w:tab w:val="left" w:pos="1080" w:leader="none"/>
        </w:tabs>
        <w:spacing w:lineRule="auto" w:line="480"/>
        <w:ind w:hanging="360" w:start="1080" w:end="0"/>
        <w:rPr>
          <w:sz w:val="28"/>
        </w:rPr>
      </w:pPr>
      <w:r>
        <w:rPr>
          <w:sz w:val="28"/>
        </w:rPr>
        <w:t>FERC should have the authority to order RTO formation for reliability and competitive purposes.  If not, than the bill should be silent so as not to limit the FERC’s existing authority to remedy discrimination.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2000-07-20T00:29:00Z</dcterms:created>
  <dc:creator>skean</dc:creator>
  <dc:description/>
  <dc:language>en-CA</dc:language>
  <cp:lastModifiedBy>skean</cp:lastModifiedBy>
  <dcterms:modified xsi:type="dcterms:W3CDTF">2000-07-20T01:17:00Z</dcterms:modified>
  <cp:revision>1</cp:revision>
  <dc:subject/>
  <dc:title>Comments on Bliley amendment to Largent amendment</dc:title>
</cp:coreProperties>
</file>