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ate"/>
        <w:spacing w:lineRule="auto" w:line="240" w:before="1920" w:after="0"/>
        <w:jc w:val="center"/>
        <w:rPr/>
      </w:pPr>
      <w:bookmarkStart w:id="0" w:name="zDATE"/>
      <w:bookmarkEnd w:id="0"/>
      <w:r>
        <w:rPr/>
        <w:t>March 19, 2001</w:t>
      </w:r>
    </w:p>
    <w:p>
      <w:pPr>
        <w:pStyle w:val="Confidentiality"/>
        <w:rPr/>
      </w:pPr>
      <w:r>
        <w:rPr/>
      </w:r>
    </w:p>
    <w:tbl>
      <w:tblPr>
        <w:tblW w:w="10218" w:type="dxa"/>
        <w:jc w:val="start"/>
        <w:tblInd w:w="0" w:type="dxa"/>
        <w:tblLayout w:type="fixed"/>
        <w:tblCellMar>
          <w:top w:w="0" w:type="dxa"/>
          <w:start w:w="108" w:type="dxa"/>
          <w:bottom w:w="0" w:type="dxa"/>
          <w:end w:w="108" w:type="dxa"/>
        </w:tblCellMar>
      </w:tblPr>
      <w:tblGrid>
        <w:gridCol w:w="5943"/>
        <w:gridCol w:w="4275"/>
      </w:tblGrid>
      <w:tr>
        <w:trPr/>
        <w:tc>
          <w:tcPr>
            <w:tcW w:w="5943" w:type="dxa"/>
            <w:tcBorders/>
          </w:tcPr>
          <w:p>
            <w:pPr>
              <w:pStyle w:val="Delivery"/>
              <w:snapToGrid w:val="false"/>
              <w:rPr/>
            </w:pPr>
            <w:r>
              <w:rPr/>
            </w:r>
            <w:bookmarkStart w:id="1" w:name="zPRIVCONFID"/>
            <w:bookmarkStart w:id="2" w:name="zCONFID"/>
            <w:bookmarkStart w:id="3" w:name="zAUTHORDID"/>
            <w:bookmarkStart w:id="4" w:name="zPRIVCONFID"/>
            <w:bookmarkStart w:id="5" w:name="zCONFID"/>
            <w:bookmarkStart w:id="6" w:name="zAUTHORDID"/>
            <w:bookmarkEnd w:id="4"/>
            <w:bookmarkEnd w:id="5"/>
            <w:bookmarkEnd w:id="6"/>
          </w:p>
        </w:tc>
        <w:tc>
          <w:tcPr>
            <w:tcW w:w="4275" w:type="dxa"/>
            <w:tcBorders/>
          </w:tcPr>
          <w:p>
            <w:pPr>
              <w:pStyle w:val="AttyName"/>
              <w:rPr/>
            </w:pPr>
            <w:bookmarkStart w:id="7" w:name="zAUTHORID"/>
            <w:bookmarkEnd w:id="7"/>
            <w:r>
              <w:rPr/>
              <w:t>Carol A. Smoots</w:t>
            </w:r>
          </w:p>
        </w:tc>
      </w:tr>
      <w:tr>
        <w:trPr/>
        <w:tc>
          <w:tcPr>
            <w:tcW w:w="5943" w:type="dxa"/>
            <w:tcBorders/>
          </w:tcPr>
          <w:p>
            <w:pPr>
              <w:pStyle w:val="Delivery"/>
              <w:rPr/>
            </w:pPr>
            <w:r>
              <w:rPr/>
              <w:t>VIA HAND DELIVERY</w:t>
            </w:r>
          </w:p>
        </w:tc>
        <w:tc>
          <w:tcPr>
            <w:tcW w:w="4275" w:type="dxa"/>
            <w:tcBorders/>
          </w:tcPr>
          <w:p>
            <w:pPr>
              <w:pStyle w:val="AttyName"/>
              <w:rPr>
                <w:b w:val="false"/>
              </w:rPr>
            </w:pPr>
            <w:r>
              <w:rPr>
                <w:b w:val="false"/>
              </w:rPr>
              <w:t>202-496-7196</w:t>
            </w:r>
          </w:p>
        </w:tc>
      </w:tr>
      <w:tr>
        <w:trPr/>
        <w:tc>
          <w:tcPr>
            <w:tcW w:w="5943" w:type="dxa"/>
            <w:tcBorders/>
          </w:tcPr>
          <w:p>
            <w:pPr>
              <w:pStyle w:val="Delivery"/>
              <w:snapToGrid w:val="false"/>
              <w:rPr>
                <w:b w:val="false"/>
              </w:rPr>
            </w:pPr>
            <w:r>
              <w:rPr>
                <w:b w:val="false"/>
              </w:rPr>
            </w:r>
          </w:p>
        </w:tc>
        <w:tc>
          <w:tcPr>
            <w:tcW w:w="4275" w:type="dxa"/>
            <w:tcBorders/>
          </w:tcPr>
          <w:p>
            <w:pPr>
              <w:pStyle w:val="AttyName"/>
              <w:rPr>
                <w:b w:val="false"/>
              </w:rPr>
            </w:pPr>
            <w:r>
              <w:rPr>
                <w:b w:val="false"/>
              </w:rPr>
              <w:t>carol_smoots@mckennacuneo.com</w:t>
            </w:r>
          </w:p>
        </w:tc>
      </w:tr>
    </w:tbl>
    <w:p>
      <w:pPr>
        <w:pStyle w:val="AddresseeName"/>
        <w:rPr/>
      </w:pPr>
      <w:r>
        <w:rPr/>
      </w:r>
      <w:bookmarkStart w:id="8" w:name="Address"/>
      <w:bookmarkStart w:id="9" w:name="company"/>
      <w:bookmarkStart w:id="10" w:name="Name"/>
      <w:bookmarkStart w:id="11" w:name="ADDRESSEE"/>
      <w:bookmarkStart w:id="12" w:name="Address"/>
      <w:bookmarkStart w:id="13" w:name="company"/>
      <w:bookmarkStart w:id="14" w:name="Name"/>
      <w:bookmarkStart w:id="15" w:name="ADDRESSEE"/>
      <w:bookmarkEnd w:id="12"/>
      <w:bookmarkEnd w:id="13"/>
      <w:bookmarkEnd w:id="14"/>
      <w:bookmarkEnd w:id="15"/>
    </w:p>
    <w:p>
      <w:pPr>
        <w:pStyle w:val="AddresseeName"/>
        <w:rPr/>
      </w:pPr>
      <w:r>
        <w:rPr/>
      </w:r>
    </w:p>
    <w:p>
      <w:pPr>
        <w:pStyle w:val="AddresseeName"/>
        <w:rPr/>
      </w:pPr>
      <w:r>
        <w:rPr/>
        <w:t>Chairman Curt Hebert, Jr.</w:t>
      </w:r>
    </w:p>
    <w:p>
      <w:pPr>
        <w:pStyle w:val="Plain"/>
        <w:rPr/>
      </w:pPr>
      <w:r>
        <w:rPr/>
        <w:t>Commissioner William L. Massey</w:t>
      </w:r>
    </w:p>
    <w:p>
      <w:pPr>
        <w:pStyle w:val="Plain"/>
        <w:rPr/>
      </w:pPr>
      <w:r>
        <w:rPr/>
        <w:t>Commissioner Linda Breathitt</w:t>
      </w:r>
    </w:p>
    <w:p>
      <w:pPr>
        <w:pStyle w:val="Plain"/>
        <w:rPr/>
      </w:pPr>
      <w:r>
        <w:rPr/>
        <w:t>Federal Energy Regulatory Commission</w:t>
        <w:br/>
        <w:t>888 First Street, N. E.</w:t>
        <w:br/>
        <w:t>Washington, D. C. 20426</w:t>
      </w:r>
    </w:p>
    <w:p>
      <w:pPr>
        <w:pStyle w:val="zRELine"/>
        <w:rPr/>
      </w:pPr>
      <w:bookmarkStart w:id="16" w:name="zRELINE"/>
      <w:bookmarkEnd w:id="16"/>
      <w:r>
        <w:rPr/>
        <w:t>Re:</w:t>
        <w:tab/>
        <w:t>Comments of Ridgewood Power LLC;                         Docket No. EL01-47-000</w:t>
      </w:r>
    </w:p>
    <w:p>
      <w:pPr>
        <w:pStyle w:val="zSalutation"/>
        <w:rPr/>
      </w:pPr>
      <w:r>
        <w:rPr/>
        <w:t xml:space="preserve">Dear </w:t>
      </w:r>
      <w:bookmarkStart w:id="17" w:name="DEAR"/>
      <w:bookmarkEnd w:id="17"/>
      <w:r>
        <w:rPr/>
        <w:t>Mr. Chairman and Commissioners:</w:t>
      </w:r>
    </w:p>
    <w:p>
      <w:pPr>
        <w:pStyle w:val="zSalutation"/>
        <w:ind w:firstLine="720" w:end="0"/>
        <w:rPr/>
      </w:pPr>
      <w:r>
        <w:rPr/>
        <w:t>In the Commission's Order of March 14, 2001, issued in the above-referenced docket,</w:t>
      </w:r>
      <w:r>
        <w:rPr>
          <w:rStyle w:val="FootnoteCharacters"/>
          <w:rStyle w:val="FootnoteReference"/>
        </w:rPr>
        <w:footnoteReference w:id="2"/>
      </w:r>
      <w:r>
        <w:rPr/>
        <w:t xml:space="preserve"> interested parties were asked to provide Comments on what additional measures are needed to improve the supply/demand balance in California and the West. Ridgewood Power LLC is the owner and operator of four qualifying facilities ("QF") located in California, and thus can speak with considerable experience concerning the current problems faced by QFs in the State of California ("State").</w:t>
      </w:r>
    </w:p>
    <w:p>
      <w:pPr>
        <w:pStyle w:val="zSalutation"/>
        <w:rPr/>
      </w:pPr>
      <w:r>
        <w:rPr/>
        <w:tab/>
        <w:t>As Ridgewood recently explained in its filing in the California Proceeding dockets,</w:t>
      </w:r>
      <w:r>
        <w:rPr>
          <w:rStyle w:val="FootnoteCharacters"/>
          <w:rStyle w:val="FootnoteReference"/>
        </w:rPr>
        <w:footnoteReference w:id="3"/>
      </w:r>
      <w:r>
        <w:rPr/>
        <w:t xml:space="preserve"> unless the Commission goes beyond the relief it previously ordered for QFs (and just extended), the State could soon lose up to 10,000 MWs of critically needed, in-State generation.  The urgency of this needed relief cannot be over-stated:  As late as last Thursday, the California ISO issued urgent appeals for load reductions and asked utilities to also implement voluntary load curtailment programs.</w:t>
      </w:r>
      <w:r>
        <w:rPr>
          <w:rStyle w:val="FootnoteCharacters"/>
          <w:rStyle w:val="FootnoteReference"/>
        </w:rPr>
        <w:footnoteReference w:id="4"/>
      </w:r>
      <w:r>
        <w:rPr/>
        <w:t xml:space="preserve">  Although Ridgewood applauds the Commission's decision to extend the waiver of its QF efficiency, operating and fuel use rules, circumstances have so changed that, without more, this extension will do little to keep QF generation on-line in California.  Although both this issue and our proposed solution are set out in more detail in the attached Request For Emergency Relief, the crux of the issue is this:  Because Pacific Gas and Electric Company ("PG&amp;E") and Southern California Edison Company ("Edison") have not paid QFs for their power production, and are unlikely to do so for the indefinite future, it is imperative that QFs be permitted to sell all of their electrical output to any creditworthy and willing purchaser in the State for a limited period.</w:t>
      </w:r>
      <w:r>
        <w:rPr>
          <w:rStyle w:val="FootnoteCharacters"/>
          <w:rStyle w:val="FootnoteReference"/>
        </w:rPr>
        <w:footnoteReference w:id="5"/>
      </w:r>
      <w:r>
        <w:rPr/>
        <w:t xml:space="preserve">  Without this relief, most QFs will be forced to close-down within the next few weeks.</w:t>
      </w:r>
    </w:p>
    <w:p>
      <w:pPr>
        <w:pStyle w:val="zSalutation"/>
        <w:rPr/>
      </w:pPr>
      <w:r>
        <w:rPr/>
        <w:tab/>
        <w:t>Almost two weeks ago Mr. Jan Smutney-Jones, Executive Director of California's Independent Energy Producers Association, reportedly stated that "Nearly 1,200 MW of gas-fired cogeneration has been shut down because the QFs don't have the money to operate."</w:t>
      </w:r>
      <w:r>
        <w:rPr>
          <w:rStyle w:val="FootnoteCharacters"/>
          <w:rStyle w:val="FootnoteReference"/>
        </w:rPr>
        <w:footnoteReference w:id="6"/>
      </w:r>
      <w:r>
        <w:rPr/>
        <w:t xml:space="preserve">  Ridgewood's own filing documented almost 600 MWs of QF capacity that has gone off-line.  Ridgewood believes that currently over 1,200 to 1,500 MWs of QF generation have already ceased operation and that many more closings will soon follow.   It is simple economics that when QFs have no revenues, and have not been paid for almost four months, they cannot continue to operate.  Cogeneration facilities, in particular, simply cannot afford to spend millions of dollars each month to buy natural gas when they are not being paid.  There is a quiet crisis in California; it is QFs exhausting their credit, losing the ability to buy fuel and facing imminent shut-down.  Immediate FERC action is needed to stem this growing tide of plant closures and to prevent imminent harm to California consumers.</w:t>
      </w:r>
    </w:p>
    <w:p>
      <w:pPr>
        <w:pStyle w:val="zSalutation"/>
        <w:rPr/>
      </w:pPr>
      <w:r>
        <w:rPr/>
        <w:tab/>
        <w:t xml:space="preserve">It appears that some policymakers in California have concluded that if utilities can be financially rescued before summer, or legislation passed, the QF generation will be available when it is needed most and everything will be fine.  This is a grave mistake. </w:t>
      </w:r>
    </w:p>
    <w:p>
      <w:pPr>
        <w:pStyle w:val="zSalutation"/>
        <w:rPr/>
      </w:pPr>
      <w:r>
        <w:rPr/>
        <w:tab/>
        <w:t>What these policymakers fail to appreciate is that when QF shut-downs occur in circumstances such as these, it means their credit has been exhausted, that lenders will not fund any further obligations until past loans are brought current, and that gas suppliers are demanding payments on past due amounts before additional supplies of gas will be provided.  Further, the longer these debts increase, and the longer QFs remain shut-down or without revenue, the harder it is for them to obtain the capital, and sometimes employees, to restart.  To keep QF capacity on-line and available for the summer months, action must be taken now or the consequences to QFs and to the California market could be dire.</w:t>
      </w:r>
    </w:p>
    <w:p>
      <w:pPr>
        <w:pStyle w:val="zSalutation"/>
        <w:rPr/>
      </w:pPr>
      <w:r>
        <w:rPr/>
        <w:tab/>
        <w:t>Ridgewood appreciates that FERC cannot solve all of the energy problems in California.  It can, however, allow up to 10,000 MWs of trapped QF capacity to reach willing and creditworthy buyers for an interim period.  This temporary sales authority will allow QFs to earn revenues needed to pay outstanding obligations, provide desperately needed generation to California, and allow the State's major investor-owned utilities sufficient time to solve their financial problems.</w:t>
      </w:r>
    </w:p>
    <w:p>
      <w:pPr>
        <w:pStyle w:val="zSalutation"/>
        <w:rPr/>
      </w:pPr>
      <w:r>
        <w:rPr/>
        <w:tab/>
        <w:t>It is not, unfortunately, sufficient for FERC merely to authorize QF sales to willing, third-party buyers for an interim period.  Specific conditioning language is crucial to the success of this remedial measure because, to date, certain utilities have actively resisted QF sales to third parties, claiming they would violate the existing power purchase agreements.  Despite their own payment breach, these utilities have refused to respond to QF requests to sell and have threatened to terminate PPAs, seek damages, or deny legislative relief to any QF that tries to use the authority granted by FERC in its December 8 and 15</w:t>
      </w:r>
      <w:r>
        <w:rPr>
          <w:vertAlign w:val="superscript"/>
        </w:rPr>
        <w:t>th</w:t>
      </w:r>
      <w:r>
        <w:rPr/>
        <w:t xml:space="preserve"> QF Waiver Orders.  Thus, to be effective, it is critical that any FERC Order both state that this temporary authorization will not modify or terminate any existing power purchase agreement (and is in the nature of mitigation), and that no utility can seek to frustrate this Commission authorization by raising contract impediments, refusing to transmit or refusing to schedule this power.</w:t>
      </w:r>
    </w:p>
    <w:p>
      <w:pPr>
        <w:pStyle w:val="zSalutation"/>
        <w:rPr/>
      </w:pPr>
      <w:r>
        <w:rPr/>
        <w:tab/>
        <w:t>To ensure that all QF power in California is immediately available to consumers the Commission should:</w:t>
      </w:r>
    </w:p>
    <w:p>
      <w:pPr>
        <w:pStyle w:val="BodyTextNumber"/>
        <w:numPr>
          <w:ilvl w:val="0"/>
          <w:numId w:val="13"/>
        </w:numPr>
        <w:spacing w:before="0" w:after="0"/>
        <w:rPr/>
      </w:pPr>
      <w:bookmarkStart w:id="18" w:name="zSTART"/>
      <w:bookmarkStart w:id="19" w:name="zAutoNum"/>
      <w:bookmarkEnd w:id="18"/>
      <w:bookmarkEnd w:id="19"/>
      <w:r>
        <w:rPr/>
        <w:t>Clarify that, to the extent any California utility has failed to pay in full for power production provided by its QF supplier since December 8, 2000, such QF shall be permitted to sell up to 100 percent of its power output to any third-party buyer in the State at negotiated rates. Any such temporary QF sales authority shall extend through October 31, 2001, so that QFs and their third-party buyers can form and rely on bilateral contracts throughout the peak period.  After October 31, 2001, the parties will be left in the same position as they were prior to the issuance of this Order.</w:t>
      </w:r>
    </w:p>
    <w:p>
      <w:pPr>
        <w:pStyle w:val="BodyTextNumber"/>
        <w:numPr>
          <w:ilvl w:val="0"/>
          <w:numId w:val="0"/>
        </w:numPr>
        <w:spacing w:before="0" w:after="0"/>
        <w:ind w:hanging="0" w:start="720" w:end="0"/>
        <w:rPr/>
      </w:pPr>
      <w:r>
        <w:rPr/>
      </w:r>
    </w:p>
    <w:p>
      <w:pPr>
        <w:pStyle w:val="BodyTextNumber"/>
        <w:numPr>
          <w:ilvl w:val="0"/>
          <w:numId w:val="13"/>
        </w:numPr>
        <w:spacing w:before="0" w:after="0"/>
        <w:rPr/>
      </w:pPr>
      <w:r>
        <w:rPr/>
        <w:t>Clarify that any revenue received by QFs, pursuant to the third-party sales authorized herein, shall not relieve the utilities from their past or future financial obligations under the PPAs but shall mitigate the utilities’ damage liability during the period that the third-party sales take place.  Although these QF sales will not relieve utilities of their payment obligations under the PPAs, consistent with traditional mitigation principles, to the extent any revenues are received from these short-term QF sales, they will be applied to reduce utility payment obligations for the period of such third-party sales.</w:t>
      </w:r>
    </w:p>
    <w:p>
      <w:pPr>
        <w:pStyle w:val="BodyTextNumber"/>
        <w:numPr>
          <w:ilvl w:val="0"/>
          <w:numId w:val="0"/>
        </w:numPr>
        <w:spacing w:before="0" w:after="0"/>
        <w:ind w:hanging="0" w:start="0"/>
        <w:rPr/>
      </w:pPr>
      <w:r>
        <w:rPr/>
      </w:r>
    </w:p>
    <w:p>
      <w:pPr>
        <w:pStyle w:val="BodyTextNumber"/>
        <w:numPr>
          <w:ilvl w:val="0"/>
          <w:numId w:val="13"/>
        </w:numPr>
        <w:spacing w:before="0" w:after="0"/>
        <w:rPr/>
      </w:pPr>
      <w:r>
        <w:rPr/>
        <w:t>Clarify that California utilities cannot deny transmission access to QFs or otherwise frustrate, condition or refuse to schedule or deliver any generation sold by QFs to third-party buyers.</w:t>
      </w:r>
    </w:p>
    <w:p>
      <w:pPr>
        <w:pStyle w:val="BodyTextNumber"/>
        <w:numPr>
          <w:ilvl w:val="0"/>
          <w:numId w:val="0"/>
        </w:numPr>
        <w:spacing w:before="0" w:after="0"/>
        <w:ind w:hanging="0" w:start="0"/>
        <w:rPr/>
      </w:pPr>
      <w:r>
        <w:rPr/>
      </w:r>
    </w:p>
    <w:p>
      <w:pPr>
        <w:pStyle w:val="BodyTextNumber"/>
        <w:numPr>
          <w:ilvl w:val="0"/>
          <w:numId w:val="13"/>
        </w:numPr>
        <w:spacing w:before="0" w:after="0"/>
        <w:rPr/>
      </w:pPr>
      <w:r>
        <w:rPr/>
        <w:t>Clarify that nothing in the Commission’s emergency relief Orders is intended to modify or terminate any existing PPA and that no utility shall block or interrupt any QF sale to a third-party purchaser by threatening a breach of the PPA, or by asserting any other PPA right, defense or impairment.</w:t>
      </w:r>
      <w:r>
        <w:rPr>
          <w:u w:val="single"/>
        </w:rPr>
        <w:t xml:space="preserve">  </w:t>
      </w:r>
    </w:p>
    <w:p>
      <w:pPr>
        <w:pStyle w:val="BodyTextNumber"/>
        <w:numPr>
          <w:ilvl w:val="0"/>
          <w:numId w:val="0"/>
        </w:numPr>
        <w:spacing w:before="0" w:after="0"/>
        <w:ind w:hanging="0" w:start="720" w:end="0"/>
        <w:rPr/>
      </w:pPr>
      <w:r>
        <w:rPr/>
      </w:r>
    </w:p>
    <w:p>
      <w:pPr>
        <w:pStyle w:val="BodyTextNumber"/>
        <w:numPr>
          <w:ilvl w:val="0"/>
          <w:numId w:val="13"/>
        </w:numPr>
        <w:spacing w:before="0" w:after="0"/>
        <w:rPr/>
      </w:pPr>
      <w:r>
        <w:rPr/>
        <w:t>Clarify that all QF sales pursuant to the waiver are strictly voluntary.</w:t>
      </w:r>
    </w:p>
    <w:p>
      <w:pPr>
        <w:pStyle w:val="Normal"/>
        <w:rPr/>
      </w:pPr>
      <w:r>
        <w:rPr/>
      </w:r>
    </w:p>
    <w:p>
      <w:pPr>
        <w:pStyle w:val="Normal"/>
        <w:ind w:firstLine="720" w:end="0"/>
        <w:rPr/>
      </w:pPr>
      <w:r>
        <w:rPr/>
        <w:t>As set out in more detail in the attached pleading, the FERC has ample authority to grant this relief.  By this letter Ridgewood urges the Commission to consider this important matter on an expedited basis.</w:t>
      </w:r>
    </w:p>
    <w:p>
      <w:pPr>
        <w:pStyle w:val="zClosing"/>
        <w:spacing w:lineRule="auto" w:line="240"/>
        <w:rPr/>
      </w:pPr>
      <w:r>
        <w:rPr/>
      </w:r>
      <w:bookmarkStart w:id="20" w:name="zCLOSING"/>
      <w:bookmarkStart w:id="21" w:name="zCLOSING"/>
      <w:bookmarkEnd w:id="21"/>
    </w:p>
    <w:p>
      <w:pPr>
        <w:pStyle w:val="zClosing"/>
        <w:spacing w:lineRule="auto" w:line="240"/>
        <w:rPr/>
      </w:pPr>
      <w:r>
        <w:rPr/>
        <w:t>Sincerely,</w:t>
      </w:r>
      <w:bookmarkStart w:id="22" w:name="zAUTHORNAME"/>
      <w:bookmarkEnd w:id="22"/>
    </w:p>
    <w:p>
      <w:pPr>
        <w:pStyle w:val="zClosing"/>
        <w:spacing w:lineRule="auto" w:line="240"/>
        <w:rPr/>
      </w:pPr>
      <w:r>
        <w:rPr/>
      </w:r>
    </w:p>
    <w:p>
      <w:pPr>
        <w:pStyle w:val="zClosing"/>
        <w:spacing w:lineRule="auto" w:line="240"/>
        <w:rPr/>
      </w:pPr>
      <w:r>
        <w:rPr/>
      </w:r>
    </w:p>
    <w:p>
      <w:pPr>
        <w:pStyle w:val="zClosing"/>
        <w:spacing w:lineRule="auto" w:line="240"/>
        <w:rPr/>
      </w:pPr>
      <w:r>
        <w:rPr/>
      </w:r>
    </w:p>
    <w:p>
      <w:pPr>
        <w:pStyle w:val="zClosing"/>
        <w:spacing w:lineRule="auto" w:line="240"/>
        <w:rPr/>
      </w:pPr>
      <w:r>
        <w:rPr/>
        <w:t>Carol A. Smoots                                             Ilia Levitine                                         Attorneys for                                       Ridgewood Power LLC</w:t>
      </w:r>
    </w:p>
    <w:p>
      <w:pPr>
        <w:pStyle w:val="zClosing"/>
        <w:spacing w:lineRule="auto" w:line="240"/>
        <w:rPr/>
      </w:pPr>
      <w:r>
        <w:rPr/>
      </w:r>
    </w:p>
    <w:p>
      <w:pPr>
        <w:pStyle w:val="zClosing"/>
        <w:spacing w:lineRule="auto" w:line="240"/>
        <w:rPr/>
      </w:pPr>
      <w:r>
        <w:rPr/>
      </w:r>
    </w:p>
    <w:p>
      <w:pPr>
        <w:pStyle w:val="zClosing"/>
        <w:spacing w:lineRule="auto" w:line="240"/>
        <w:ind w:start="0" w:end="0"/>
        <w:rPr/>
      </w:pPr>
      <w:r>
        <w:rPr/>
        <w:t xml:space="preserve">CC:  Docket No. EL01-47-000 </w:t>
      </w:r>
    </w:p>
    <w:p>
      <w:pPr>
        <w:pStyle w:val="zClosing"/>
        <w:spacing w:lineRule="auto" w:line="240"/>
        <w:ind w:start="0" w:end="0"/>
        <w:rPr/>
      </w:pPr>
      <w:r>
        <w:rPr>
          <w:rFonts w:eastAsia="Century Schoolbook"/>
        </w:rPr>
        <w:t xml:space="preserve">        </w:t>
      </w:r>
      <w:r>
        <w:rPr/>
        <w:t>All Parties of Record</w:t>
      </w:r>
    </w:p>
    <w:p>
      <w:pPr>
        <w:pStyle w:val="zInitials"/>
        <w:rPr/>
      </w:pPr>
      <w:bookmarkStart w:id="23" w:name="zINITIALS"/>
      <w:bookmarkEnd w:id="23"/>
      <w:r>
        <w:rPr/>
        <w:t>CAS/lm/Enclosure</w:t>
      </w:r>
    </w:p>
    <w:sectPr>
      <w:headerReference w:type="default" r:id="rId2"/>
      <w:headerReference w:type="first" r:id="rId3"/>
      <w:footnotePr>
        <w:numFmt w:val="decimal"/>
      </w:footnotePr>
      <w:type w:val="nextPage"/>
      <w:pgSz w:w="12240" w:h="15840"/>
      <w:pgMar w:left="1440" w:right="1440" w:gutter="0" w:header="720" w:top="1440" w:footer="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entury Schoolbook">
    <w:charset w:val="00" w:characterSet="windows-1252"/>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240"/>
        <w:rPr/>
      </w:pPr>
      <w:r>
        <w:rPr>
          <w:rStyle w:val="FootnoteCharacters"/>
        </w:rPr>
        <w:footnoteRef/>
      </w:r>
      <w:r>
        <w:rPr/>
        <w:t xml:space="preserve"> </w:t>
      </w:r>
      <w:r>
        <w:rPr/>
        <w:t>"Order Removing Obstacles To Increased Electric Generation And Natural Gas Supply In The Western United States And Requesting Comments On Further Actions To Increase Energy Supply And Decrease Energy Consumption."</w:t>
      </w:r>
    </w:p>
  </w:footnote>
  <w:footnote w:id="3">
    <w:p>
      <w:pPr>
        <w:pStyle w:val="FootnoteText"/>
        <w:spacing w:before="0" w:after="240"/>
        <w:rPr/>
      </w:pPr>
      <w:r>
        <w:rPr>
          <w:rStyle w:val="FootnoteCharacters"/>
        </w:rPr>
        <w:footnoteRef/>
      </w:r>
      <w:r>
        <w:rPr/>
        <w:t xml:space="preserve"> </w:t>
      </w:r>
      <w:r>
        <w:rPr>
          <w:u w:val="single"/>
        </w:rPr>
        <w:t>See</w:t>
      </w:r>
      <w:r>
        <w:rPr/>
        <w:t xml:space="preserve"> "Request For Emergency Relief And Extension Of Waiver Of Qualifying Facility Regulations Of Ridgewood Power LLC," Docket Nos. EL00-95-000 and EL00-98-000 (March 8, 2001).  This filing is attached, and by this reference we request that it be incorporated herein.</w:t>
      </w:r>
    </w:p>
  </w:footnote>
  <w:footnote w:id="4">
    <w:p>
      <w:pPr>
        <w:pStyle w:val="FootnoteText"/>
        <w:spacing w:before="0" w:after="240"/>
        <w:rPr/>
      </w:pPr>
      <w:r>
        <w:rPr>
          <w:rStyle w:val="FootnoteCharacters"/>
        </w:rPr>
        <w:footnoteRef/>
      </w:r>
      <w:r>
        <w:rPr/>
        <w:t xml:space="preserve"> </w:t>
      </w:r>
      <w:r>
        <w:rPr/>
        <w:t>PR Newswire, "Cal-ISO Directs SCE to Curtail Load for Some Customers," March 15, 2001.</w:t>
      </w:r>
    </w:p>
  </w:footnote>
  <w:footnote w:id="5">
    <w:p>
      <w:pPr>
        <w:pStyle w:val="FootnoteText"/>
        <w:spacing w:before="0" w:after="240"/>
        <w:rPr/>
      </w:pPr>
      <w:r>
        <w:rPr>
          <w:rStyle w:val="FootnoteCharacters"/>
        </w:rPr>
        <w:footnoteRef/>
      </w:r>
      <w:r>
        <w:rPr/>
        <w:t xml:space="preserve"> </w:t>
      </w:r>
      <w:r>
        <w:rPr/>
        <w:t>Ridgewood takes no position concerning the other Western States.</w:t>
      </w:r>
    </w:p>
  </w:footnote>
  <w:footnote w:id="6">
    <w:p>
      <w:pPr>
        <w:pStyle w:val="FootnoteText"/>
        <w:spacing w:before="0" w:after="240"/>
        <w:rPr/>
      </w:pPr>
      <w:r>
        <w:rPr>
          <w:rStyle w:val="FootnoteCharacters"/>
        </w:rPr>
        <w:footnoteRef/>
      </w:r>
      <w:r>
        <w:rPr/>
        <w:t xml:space="preserve"> </w:t>
      </w:r>
      <w:r>
        <w:rPr/>
        <w:t>Mr. Smutney-Jones was quoted in Restructuring Today, March 9, 2001 at p. 3.</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1080" w:after="0"/>
      <w:rPr>
        <w:color w:val="0000FF"/>
      </w:rPr>
    </w:pPr>
    <w:r>
      <w:rPr>
        <w:color w:val="0000FF"/>
      </w:rPr>
    </w:r>
  </w:p>
  <w:p>
    <w:pPr>
      <w:pStyle w:val="Header"/>
      <w:rPr>
        <w:color w:val="0000FF"/>
      </w:rPr>
    </w:pPr>
    <w:r>
      <w:rPr>
        <w:color w:val="0000FF"/>
      </w:rPr>
    </w:r>
  </w:p>
  <w:p>
    <w:pPr>
      <w:pStyle w:val="Header"/>
      <w:spacing w:before="0" w:after="480"/>
      <w:rPr/>
    </w:pPr>
    <w:r>
      <w:rPr>
        <w:color w:val="0000FF"/>
      </w:rPr>
      <w:t xml:space="preserve">Page </w:t>
    </w:r>
    <w:r>
      <w:rPr>
        <w:color w:val="0000FF"/>
      </w:rPr>
      <w:fldChar w:fldCharType="begin"/>
    </w:r>
    <w:r>
      <w:rPr>
        <w:color w:val="0000FF"/>
      </w:rPr>
      <w:instrText xml:space="preserve"> PAGE \* ARABIC </w:instrText>
    </w:r>
    <w:r>
      <w:rPr>
        <w:color w:val="0000FF"/>
      </w:rPr>
      <w:fldChar w:fldCharType="separate"/>
    </w:r>
    <w:r>
      <w:rPr>
        <w:color w:val="0000FF"/>
      </w:rPr>
      <w:t>4</w:t>
    </w:r>
    <w:r>
      <w:rPr>
        <w:color w:val="0000FF"/>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rPr>
        <w:caps/>
        <w:outline w:val="false"/>
        <w:dstrike w:val="false"/>
        <w:strike w:val="false"/>
        <w:vertAlign w:val="baseline"/>
        <w:position w:val="0"/>
        <w:sz w:val="24"/>
        <w:shadow w:val="false"/>
        <w:u w:val="none"/>
        <w:vanish w:val="false"/>
        <w:rFonts w:ascii="Times New Roman" w:hAnsi="Times New Roman" w:cs="Times New Roman"/>
        <w:color w:val="auto"/>
      </w:rPr>
    </w:lvl>
    <w:lvl w:ilvl="1">
      <w:start w:val="1"/>
      <w:pStyle w:val="Heading2"/>
      <w:numFmt w:val="upperLetter"/>
      <w:lvlText w:val="%2."/>
      <w:lvlJc w:val="start"/>
      <w:pPr>
        <w:tabs>
          <w:tab w:val="num" w:pos="1440"/>
        </w:tabs>
        <w:ind w:start="1440" w:hanging="720"/>
      </w:pPr>
      <w:rPr>
        <w:u w:val="none"/>
      </w:rPr>
    </w:lvl>
    <w:lvl w:ilvl="2">
      <w:start w:val="1"/>
      <w:pStyle w:val="Heading3"/>
      <w:numFmt w:val="decimal"/>
      <w:lvlText w:val="%3."/>
      <w:lvlJc w:val="start"/>
      <w:pPr>
        <w:tabs>
          <w:tab w:val="num" w:pos="2160"/>
        </w:tabs>
        <w:ind w:start="2160" w:hanging="720"/>
      </w:pPr>
      <w:rPr>
        <w:u w:val="none"/>
      </w:rPr>
    </w:lvl>
    <w:lvl w:ilvl="3">
      <w:start w:val="1"/>
      <w:pStyle w:val="Heading4"/>
      <w:numFmt w:val="lowerLetter"/>
      <w:lvlText w:val="%4."/>
      <w:lvlJc w:val="start"/>
      <w:pPr>
        <w:tabs>
          <w:tab w:val="num" w:pos="2880"/>
        </w:tabs>
        <w:ind w:start="2880" w:hanging="720"/>
      </w:pPr>
      <w:rPr>
        <w:u w:val="none"/>
      </w:rPr>
    </w:lvl>
    <w:lvl w:ilvl="4">
      <w:start w:val="1"/>
      <w:pStyle w:val="Heading5"/>
      <w:numFmt w:val="decimal"/>
      <w:lvlText w:val="(%5)"/>
      <w:lvlJc w:val="start"/>
      <w:pPr>
        <w:tabs>
          <w:tab w:val="num" w:pos="3600"/>
        </w:tabs>
        <w:ind w:start="3600" w:hanging="720"/>
      </w:pPr>
      <w:rPr>
        <w:u w:val="none"/>
      </w:rPr>
    </w:lvl>
    <w:lvl w:ilvl="5">
      <w:start w:val="1"/>
      <w:pStyle w:val="Heading6"/>
      <w:numFmt w:val="lowerLetter"/>
      <w:lvlText w:val="(%6)"/>
      <w:lvlJc w:val="start"/>
      <w:pPr>
        <w:tabs>
          <w:tab w:val="num" w:pos="4320"/>
        </w:tabs>
        <w:ind w:start="4320" w:hanging="720"/>
      </w:pPr>
      <w:rPr>
        <w:u w:val="none"/>
      </w:rPr>
    </w:lvl>
    <w:lvl w:ilvl="6">
      <w:start w:val="1"/>
      <w:pStyle w:val="Heading7"/>
      <w:numFmt w:val="lowerRoman"/>
      <w:lvlText w:val="(%7)"/>
      <w:lvlJc w:val="start"/>
      <w:pPr>
        <w:tabs>
          <w:tab w:val="num" w:pos="5040"/>
        </w:tabs>
        <w:ind w:start="5040" w:hanging="720"/>
      </w:pPr>
      <w:rPr>
        <w:u w:val="none"/>
      </w:rPr>
    </w:lvl>
    <w:lvl w:ilvl="7">
      <w:start w:val="1"/>
      <w:pStyle w:val="Heading8"/>
      <w:numFmt w:val="lowerLetter"/>
      <w:lvlText w:val="%8)"/>
      <w:lvlJc w:val="start"/>
      <w:pPr>
        <w:tabs>
          <w:tab w:val="num" w:pos="5760"/>
        </w:tabs>
        <w:ind w:start="5760" w:hanging="720"/>
      </w:pPr>
      <w:rPr>
        <w:u w:val="none"/>
      </w:rPr>
    </w:lvl>
    <w:lvl w:ilvl="8">
      <w:start w:val="1"/>
      <w:pStyle w:val="Heading9"/>
      <w:numFmt w:val="decimal"/>
      <w:lvlText w:val="%9)"/>
      <w:lvlJc w:val="start"/>
      <w:pPr>
        <w:tabs>
          <w:tab w:val="num" w:pos="6480"/>
        </w:tabs>
        <w:ind w:start="6480" w:hanging="720"/>
      </w:pPr>
      <w:rPr>
        <w:u w:val="none"/>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decimal"/>
      <w:lvlText w:val="%1."/>
      <w:lvlJc w:val="start"/>
      <w:pPr>
        <w:tabs>
          <w:tab w:val="num" w:pos="360"/>
        </w:tabs>
        <w:ind w:start="0" w:hanging="0"/>
      </w:pPr>
      <w:rPr>
        <w:u w:val="none"/>
      </w:rPr>
    </w:lvl>
  </w:abstractNum>
  <w:abstractNum w:abstractNumId="13">
    <w:lvl w:ilvl="0">
      <w:start w:val="1"/>
      <w:numFmt w:val="decimal"/>
      <w:lvlText w:val="(%1)"/>
      <w:lvlJc w:val="start"/>
      <w:pPr>
        <w:tabs>
          <w:tab w:val="num" w:pos="1440"/>
        </w:tabs>
        <w:ind w:start="144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docVars>
    <w:docVar w:name="AUTHORID" w:val="Csmoot"/>
    <w:docVar w:name="DOCTYPE" w:val="LETTER"/>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entury Schoolbook" w:hAnsi="Century Schoolbook" w:eastAsia="Times New Roman" w:cs="Century Schoolbook"/>
      <w:color w:val="auto"/>
      <w:sz w:val="24"/>
      <w:szCs w:val="20"/>
      <w:lang w:val="en-US" w:bidi="ar-SA" w:eastAsia="zh-CN"/>
    </w:rPr>
  </w:style>
  <w:style w:type="paragraph" w:styleId="Heading1">
    <w:name w:val="heading 1"/>
    <w:basedOn w:val="Normal"/>
    <w:next w:val="BodyText"/>
    <w:qFormat/>
    <w:pPr>
      <w:keepNext w:val="true"/>
      <w:keepLines/>
      <w:numPr>
        <w:ilvl w:val="0"/>
        <w:numId w:val="1"/>
      </w:numPr>
      <w:spacing w:before="0" w:after="240"/>
      <w:outlineLvl w:val="0"/>
    </w:pPr>
    <w:rPr>
      <w:b/>
      <w:caps/>
      <w:u w:val="single"/>
    </w:rPr>
  </w:style>
  <w:style w:type="paragraph" w:styleId="Heading2">
    <w:name w:val="heading 2"/>
    <w:basedOn w:val="Heading1"/>
    <w:next w:val="BodyText"/>
    <w:qFormat/>
    <w:pPr>
      <w:numPr>
        <w:ilvl w:val="1"/>
        <w:numId w:val="1"/>
      </w:numPr>
      <w:outlineLvl w:val="1"/>
    </w:pPr>
    <w:rPr>
      <w:caps w:val="false"/>
      <w:smallCaps w:val="false"/>
      <w:u w:val="none"/>
    </w:rPr>
  </w:style>
  <w:style w:type="paragraph" w:styleId="Heading3">
    <w:name w:val="heading 3"/>
    <w:basedOn w:val="Heading2"/>
    <w:next w:val="BodyText"/>
    <w:qFormat/>
    <w:pPr>
      <w:numPr>
        <w:ilvl w:val="2"/>
        <w:numId w:val="1"/>
      </w:numPr>
      <w:outlineLvl w:val="2"/>
    </w:pPr>
    <w:rPr>
      <w:b w:val="false"/>
      <w:u w:val="single"/>
    </w:rPr>
  </w:style>
  <w:style w:type="paragraph" w:styleId="Heading4">
    <w:name w:val="heading 4"/>
    <w:basedOn w:val="Heading2"/>
    <w:next w:val="BodyText"/>
    <w:qFormat/>
    <w:pPr>
      <w:numPr>
        <w:ilvl w:val="3"/>
        <w:numId w:val="1"/>
      </w:numPr>
      <w:outlineLvl w:val="3"/>
    </w:pPr>
    <w:rPr>
      <w:b w:val="false"/>
    </w:rPr>
  </w:style>
  <w:style w:type="paragraph" w:styleId="Heading5">
    <w:name w:val="heading 5"/>
    <w:basedOn w:val="Heading2"/>
    <w:next w:val="BodyText"/>
    <w:qFormat/>
    <w:pPr>
      <w:numPr>
        <w:ilvl w:val="4"/>
        <w:numId w:val="1"/>
      </w:numPr>
      <w:outlineLvl w:val="4"/>
    </w:pPr>
    <w:rPr>
      <w:b w:val="false"/>
    </w:rPr>
  </w:style>
  <w:style w:type="paragraph" w:styleId="Heading6">
    <w:name w:val="heading 6"/>
    <w:basedOn w:val="Heading2"/>
    <w:next w:val="BodyText"/>
    <w:qFormat/>
    <w:pPr>
      <w:numPr>
        <w:ilvl w:val="5"/>
        <w:numId w:val="1"/>
      </w:numPr>
      <w:outlineLvl w:val="5"/>
    </w:pPr>
    <w:rPr>
      <w:b w:val="false"/>
    </w:rPr>
  </w:style>
  <w:style w:type="paragraph" w:styleId="Heading7">
    <w:name w:val="heading 7"/>
    <w:basedOn w:val="Heading2"/>
    <w:next w:val="BodyText"/>
    <w:qFormat/>
    <w:pPr>
      <w:numPr>
        <w:ilvl w:val="6"/>
        <w:numId w:val="1"/>
      </w:numPr>
      <w:outlineLvl w:val="6"/>
    </w:pPr>
    <w:rPr>
      <w:b w:val="false"/>
    </w:rPr>
  </w:style>
  <w:style w:type="paragraph" w:styleId="Heading8">
    <w:name w:val="heading 8"/>
    <w:basedOn w:val="Heading2"/>
    <w:next w:val="BodyText"/>
    <w:qFormat/>
    <w:pPr>
      <w:numPr>
        <w:ilvl w:val="7"/>
        <w:numId w:val="1"/>
      </w:numPr>
      <w:outlineLvl w:val="7"/>
    </w:pPr>
    <w:rPr>
      <w:b w:val="false"/>
    </w:rPr>
  </w:style>
  <w:style w:type="paragraph" w:styleId="Heading9">
    <w:name w:val="heading 9"/>
    <w:basedOn w:val="Heading2"/>
    <w:next w:val="BodyText"/>
    <w:qFormat/>
    <w:pPr>
      <w:numPr>
        <w:ilvl w:val="8"/>
        <w:numId w:val="1"/>
      </w:numPr>
      <w:outlineLvl w:val="8"/>
    </w:pPr>
    <w:rPr>
      <w:b w:val="false"/>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u w:val="none"/>
    </w:rPr>
  </w:style>
  <w:style w:type="character" w:styleId="WW8Num13z0">
    <w:name w:val="WW8Num13z0"/>
    <w:qFormat/>
    <w:rPr>
      <w:rFonts w:ascii="Times New Roman" w:hAnsi="Times New Roman" w:cs="Times New Roman"/>
      <w:caps/>
      <w:strike w:val="false"/>
      <w:dstrike w:val="false"/>
      <w:outline w:val="false"/>
      <w:shadow w:val="false"/>
      <w:vanish w:val="false"/>
      <w:color w:val="auto"/>
      <w:position w:val="0"/>
      <w:sz w:val="24"/>
      <w:u w:val="none"/>
      <w:vertAlign w:val="baseline"/>
    </w:rPr>
  </w:style>
  <w:style w:type="character" w:styleId="WW8Num13z1">
    <w:name w:val="WW8Num13z1"/>
    <w:qFormat/>
    <w:rPr>
      <w:u w:val="none"/>
    </w:rPr>
  </w:style>
  <w:style w:type="character" w:styleId="WW8Num14z0">
    <w:name w:val="WW8Num14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keepLines/>
      <w:spacing w:before="240" w:after="240"/>
      <w:ind w:hanging="0" w:start="720" w:end="720"/>
      <w:jc w:val="center"/>
      <w:outlineLvl w:val="0"/>
    </w:pPr>
    <w:rPr>
      <w:b/>
      <w:caps/>
    </w:rPr>
  </w:style>
  <w:style w:type="paragraph" w:styleId="BodyText">
    <w:name w:val="Body Text"/>
    <w:basedOn w:val="Normal"/>
    <w:pPr>
      <w:spacing w:before="0" w:after="240"/>
      <w:ind w:firstLine="720" w:start="0" w:end="0"/>
    </w:pPr>
    <w:rPr/>
  </w:style>
  <w:style w:type="paragraph" w:styleId="List">
    <w:name w:val="List"/>
    <w:basedOn w:val="Normal"/>
    <w:pPr>
      <w:spacing w:lineRule="auto" w:line="240" w:before="0" w:after="240"/>
      <w:ind w:hanging="720" w:start="72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Start">
    <w:name w:val="Body Text Start"/>
    <w:basedOn w:val="BodyText"/>
    <w:next w:val="BodyText"/>
    <w:qFormat/>
    <w:pPr>
      <w:spacing w:before="240" w:after="240"/>
    </w:pPr>
    <w:rPr/>
  </w:style>
  <w:style w:type="paragraph" w:styleId="Indent1">
    <w:name w:val="Indent 1"/>
    <w:basedOn w:val="Normal"/>
    <w:qFormat/>
    <w:pPr>
      <w:spacing w:before="0" w:after="240"/>
      <w:ind w:hanging="0" w:start="720" w:end="0"/>
    </w:pPr>
    <w:rPr/>
  </w:style>
  <w:style w:type="paragraph" w:styleId="Indent2">
    <w:name w:val="Indent 2"/>
    <w:basedOn w:val="Normal"/>
    <w:qFormat/>
    <w:pPr>
      <w:spacing w:before="0" w:after="240"/>
      <w:ind w:hanging="0" w:start="1440" w:end="0"/>
    </w:pPr>
    <w:rPr/>
  </w:style>
  <w:style w:type="paragraph" w:styleId="Indent3">
    <w:name w:val="Indent 3"/>
    <w:basedOn w:val="Normal"/>
    <w:qFormat/>
    <w:pPr>
      <w:spacing w:before="0" w:after="240"/>
      <w:ind w:hanging="0" w:start="2160" w:end="0"/>
    </w:pPr>
    <w:rPr/>
  </w:style>
  <w:style w:type="paragraph" w:styleId="Indent4">
    <w:name w:val="Indent 4"/>
    <w:basedOn w:val="Normal"/>
    <w:qFormat/>
    <w:pPr>
      <w:spacing w:before="0" w:after="240"/>
      <w:ind w:hanging="0" w:start="2880" w:end="0"/>
    </w:pPr>
    <w:rPr/>
  </w:style>
  <w:style w:type="paragraph" w:styleId="Indent5">
    <w:name w:val="Indent 5"/>
    <w:basedOn w:val="Normal"/>
    <w:qFormat/>
    <w:pPr>
      <w:spacing w:before="0" w:after="240"/>
      <w:ind w:hanging="0" w:start="3600" w:end="0"/>
    </w:pPr>
    <w:rPr/>
  </w:style>
  <w:style w:type="paragraph" w:styleId="Indent6">
    <w:name w:val="Indent 6"/>
    <w:basedOn w:val="Normal"/>
    <w:qFormat/>
    <w:pPr>
      <w:spacing w:before="0" w:after="240"/>
      <w:ind w:hanging="0" w:start="4320" w:end="0"/>
    </w:pPr>
    <w:rPr/>
  </w:style>
  <w:style w:type="paragraph" w:styleId="Indent7">
    <w:name w:val="Indent 7"/>
    <w:basedOn w:val="Normal"/>
    <w:qFormat/>
    <w:pPr>
      <w:spacing w:before="0" w:after="240"/>
      <w:ind w:hanging="0" w:start="5040" w:end="0"/>
    </w:pPr>
    <w:rPr/>
  </w:style>
  <w:style w:type="paragraph" w:styleId="Indent8">
    <w:name w:val="Indent 8"/>
    <w:basedOn w:val="Normal"/>
    <w:qFormat/>
    <w:pPr>
      <w:spacing w:before="0" w:after="240"/>
      <w:ind w:hanging="0" w:start="5760" w:end="0"/>
    </w:pPr>
    <w:rPr/>
  </w:style>
  <w:style w:type="paragraph" w:styleId="Indent9">
    <w:name w:val="Indent 9"/>
    <w:basedOn w:val="Normal"/>
    <w:qFormat/>
    <w:pPr>
      <w:spacing w:before="0" w:after="240"/>
      <w:ind w:hanging="0" w:start="648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spacing w:lineRule="auto" w:line="240"/>
    </w:pPr>
    <w:rPr/>
  </w:style>
  <w:style w:type="paragraph" w:styleId="Header">
    <w:name w:val="header"/>
    <w:basedOn w:val="Normal"/>
    <w:pPr>
      <w:tabs>
        <w:tab w:val="clear" w:pos="720"/>
        <w:tab w:val="center" w:pos="4680" w:leader="none"/>
        <w:tab w:val="right" w:pos="9360" w:leader="none"/>
      </w:tabs>
      <w:spacing w:lineRule="auto" w:line="240"/>
    </w:pPr>
    <w:rPr/>
  </w:style>
  <w:style w:type="paragraph" w:styleId="FootnoteText">
    <w:name w:val="footnote text"/>
    <w:basedOn w:val="Normal"/>
    <w:pPr>
      <w:spacing w:before="0" w:after="240"/>
    </w:pPr>
    <w:rPr>
      <w:rFonts w:ascii="Century Schoolbook" w:hAnsi="Century Schoolbook" w:cs="Century Schoolbook"/>
    </w:rPr>
  </w:style>
  <w:style w:type="paragraph" w:styleId="NormalIndent">
    <w:name w:val="Normal Indent"/>
    <w:basedOn w:val="Normal"/>
    <w:qFormat/>
    <w:pPr>
      <w:ind w:hanging="0" w:start="720" w:end="0"/>
    </w:pPr>
    <w:rPr/>
  </w:style>
  <w:style w:type="paragraph" w:styleId="Quote">
    <w:name w:val="Quote"/>
    <w:basedOn w:val="Normal"/>
    <w:next w:val="BodyTextLeft"/>
    <w:qFormat/>
    <w:pPr>
      <w:spacing w:before="0" w:after="240"/>
      <w:ind w:hanging="0" w:start="1440" w:end="1440"/>
    </w:pPr>
    <w:rPr/>
  </w:style>
  <w:style w:type="paragraph" w:styleId="BodyTextLeft">
    <w:name w:val="BodyTextLeft"/>
    <w:basedOn w:val="BodyText"/>
    <w:next w:val="BodyText"/>
    <w:qFormat/>
    <w:pPr>
      <w:ind w:hanging="0" w:start="0" w:end="0"/>
    </w:pPr>
    <w:rPr/>
  </w:style>
  <w:style w:type="paragraph" w:styleId="ListBullet2">
    <w:name w:val="List Bullet 2"/>
    <w:basedOn w:val="List"/>
    <w:pPr>
      <w:ind w:hanging="720" w:start="1440" w:end="0"/>
    </w:pPr>
    <w:rPr/>
  </w:style>
  <w:style w:type="paragraph" w:styleId="ListBullet3">
    <w:name w:val="List Bullet 3"/>
    <w:basedOn w:val="ListBullet2"/>
    <w:pPr>
      <w:ind w:hanging="720" w:start="2160" w:end="0"/>
    </w:pPr>
    <w:rPr/>
  </w:style>
  <w:style w:type="paragraph" w:styleId="ListBullet4">
    <w:name w:val="List Bullet 4"/>
    <w:basedOn w:val="ListBullet3"/>
    <w:pPr>
      <w:ind w:hanging="720" w:start="2880" w:end="0"/>
    </w:pPr>
    <w:rPr/>
  </w:style>
  <w:style w:type="paragraph" w:styleId="ListBullet5">
    <w:name w:val="List Bullet 5"/>
    <w:basedOn w:val="ListBullet4"/>
    <w:pPr>
      <w:ind w:hanging="720" w:start="3600" w:end="0"/>
    </w:pPr>
    <w:rPr/>
  </w:style>
  <w:style w:type="paragraph" w:styleId="List6">
    <w:name w:val="List 6"/>
    <w:basedOn w:val="ListBullet5"/>
    <w:qFormat/>
    <w:pPr>
      <w:ind w:hanging="720" w:start="4320" w:end="0"/>
    </w:pPr>
    <w:rPr/>
  </w:style>
  <w:style w:type="paragraph" w:styleId="ListBullet">
    <w:name w:val="List Bullet"/>
    <w:basedOn w:val="Normal"/>
    <w:qFormat/>
    <w:pPr>
      <w:numPr>
        <w:ilvl w:val="0"/>
        <w:numId w:val="11"/>
      </w:numPr>
      <w:tabs>
        <w:tab w:val="clear" w:pos="720"/>
      </w:tabs>
      <w:spacing w:lineRule="auto" w:line="240" w:before="0" w:after="240"/>
      <w:ind w:hanging="720" w:start="720" w:end="0"/>
    </w:pPr>
    <w:rPr/>
  </w:style>
  <w:style w:type="paragraph" w:styleId="ListBullet21">
    <w:name w:val="List Bullet 21"/>
    <w:basedOn w:val="Normal"/>
    <w:qFormat/>
    <w:pPr>
      <w:numPr>
        <w:ilvl w:val="0"/>
        <w:numId w:val="9"/>
      </w:numPr>
      <w:tabs>
        <w:tab w:val="clear" w:pos="720"/>
      </w:tabs>
      <w:spacing w:lineRule="auto" w:line="240" w:before="0" w:after="240"/>
      <w:ind w:hanging="720" w:start="1440" w:end="0"/>
    </w:pPr>
    <w:rPr/>
  </w:style>
  <w:style w:type="paragraph" w:styleId="ListBullet31">
    <w:name w:val="List Bullet 31"/>
    <w:basedOn w:val="Normal"/>
    <w:qFormat/>
    <w:pPr>
      <w:numPr>
        <w:ilvl w:val="0"/>
        <w:numId w:val="8"/>
      </w:numPr>
      <w:tabs>
        <w:tab w:val="clear" w:pos="720"/>
      </w:tabs>
      <w:spacing w:lineRule="auto" w:line="240" w:before="0" w:after="240"/>
      <w:ind w:hanging="720" w:start="2160" w:end="0"/>
    </w:pPr>
    <w:rPr/>
  </w:style>
  <w:style w:type="paragraph" w:styleId="ListBullet41">
    <w:name w:val="List Bullet 41"/>
    <w:basedOn w:val="Normal"/>
    <w:qFormat/>
    <w:pPr>
      <w:numPr>
        <w:ilvl w:val="0"/>
        <w:numId w:val="7"/>
      </w:numPr>
      <w:tabs>
        <w:tab w:val="clear" w:pos="720"/>
      </w:tabs>
      <w:spacing w:lineRule="auto" w:line="240" w:before="0" w:after="240"/>
      <w:ind w:hanging="720" w:start="2880" w:end="0"/>
    </w:pPr>
    <w:rPr/>
  </w:style>
  <w:style w:type="paragraph" w:styleId="ListBullet51">
    <w:name w:val="List Bullet 51"/>
    <w:basedOn w:val="Normal"/>
    <w:qFormat/>
    <w:pPr>
      <w:numPr>
        <w:ilvl w:val="0"/>
        <w:numId w:val="6"/>
      </w:numPr>
      <w:tabs>
        <w:tab w:val="clear" w:pos="720"/>
      </w:tabs>
      <w:spacing w:lineRule="auto" w:line="240" w:before="0" w:after="240"/>
      <w:ind w:hanging="720" w:start="3600" w:end="0"/>
    </w:pPr>
    <w:rPr/>
  </w:style>
  <w:style w:type="paragraph" w:styleId="ListNumber">
    <w:name w:val="List Number"/>
    <w:basedOn w:val="Normal"/>
    <w:qFormat/>
    <w:pPr>
      <w:numPr>
        <w:ilvl w:val="0"/>
        <w:numId w:val="10"/>
      </w:numPr>
      <w:tabs>
        <w:tab w:val="left" w:pos="720" w:leader="none"/>
      </w:tabs>
      <w:spacing w:before="0" w:after="240"/>
      <w:ind w:hanging="720" w:start="720" w:end="0"/>
    </w:pPr>
    <w:rPr/>
  </w:style>
  <w:style w:type="paragraph" w:styleId="ListNumber2">
    <w:name w:val="List Number 2"/>
    <w:basedOn w:val="ListNumber"/>
    <w:qFormat/>
    <w:pPr>
      <w:numPr>
        <w:ilvl w:val="0"/>
        <w:numId w:val="5"/>
      </w:numPr>
      <w:tabs>
        <w:tab w:val="clear" w:pos="720"/>
        <w:tab w:val="left" w:pos="1440" w:leader="none"/>
      </w:tabs>
      <w:ind w:hanging="720" w:start="1440" w:end="0"/>
    </w:pPr>
    <w:rPr/>
  </w:style>
  <w:style w:type="paragraph" w:styleId="ListNumber3">
    <w:name w:val="List Number 3"/>
    <w:basedOn w:val="ListNumber2"/>
    <w:qFormat/>
    <w:pPr>
      <w:numPr>
        <w:ilvl w:val="0"/>
        <w:numId w:val="4"/>
      </w:numPr>
      <w:tabs>
        <w:tab w:val="clear" w:pos="1440"/>
        <w:tab w:val="left" w:pos="2160" w:leader="none"/>
      </w:tabs>
      <w:ind w:hanging="720" w:start="2160" w:end="0"/>
    </w:pPr>
    <w:rPr/>
  </w:style>
  <w:style w:type="paragraph" w:styleId="ListNumber4">
    <w:name w:val="List Number 4"/>
    <w:basedOn w:val="ListNumber3"/>
    <w:qFormat/>
    <w:pPr>
      <w:numPr>
        <w:ilvl w:val="0"/>
        <w:numId w:val="3"/>
      </w:numPr>
      <w:tabs>
        <w:tab w:val="clear" w:pos="2160"/>
        <w:tab w:val="left" w:pos="2880" w:leader="none"/>
      </w:tabs>
      <w:ind w:hanging="720" w:start="2880" w:end="0"/>
    </w:pPr>
    <w:rPr/>
  </w:style>
  <w:style w:type="paragraph" w:styleId="ListNumber5">
    <w:name w:val="List Number 5"/>
    <w:basedOn w:val="ListNumber4"/>
    <w:qFormat/>
    <w:pPr>
      <w:numPr>
        <w:ilvl w:val="0"/>
        <w:numId w:val="2"/>
      </w:numPr>
      <w:tabs>
        <w:tab w:val="clear" w:pos="2880"/>
        <w:tab w:val="left" w:pos="3600" w:leader="none"/>
      </w:tabs>
      <w:ind w:hanging="720" w:start="3600" w:end="0"/>
    </w:pPr>
    <w:rPr/>
  </w:style>
  <w:style w:type="paragraph" w:styleId="PlainText">
    <w:name w:val="Plain Text"/>
    <w:basedOn w:val="Normal"/>
    <w:qFormat/>
    <w:pPr/>
    <w:rPr/>
  </w:style>
  <w:style w:type="paragraph" w:styleId="Signature">
    <w:name w:val="Signature"/>
    <w:basedOn w:val="Normal"/>
    <w:pPr>
      <w:spacing w:before="720" w:after="0"/>
      <w:ind w:hanging="0" w:start="4320" w:end="0"/>
    </w:pPr>
    <w:rPr/>
  </w:style>
  <w:style w:type="paragraph" w:styleId="Subtitle">
    <w:name w:val="Subtitle"/>
    <w:basedOn w:val="Normal"/>
    <w:next w:val="BodyText"/>
    <w:qFormat/>
    <w:pPr>
      <w:keepNext w:val="true"/>
      <w:keepLines/>
      <w:spacing w:before="0" w:after="240"/>
      <w:outlineLvl w:val="1"/>
    </w:pPr>
    <w:rPr>
      <w:b/>
      <w:u w:val="single"/>
    </w:rPr>
  </w:style>
  <w:style w:type="paragraph" w:styleId="TitleNoTOC">
    <w:name w:val="Title (No TOC)"/>
    <w:basedOn w:val="Normal"/>
    <w:qFormat/>
    <w:pPr>
      <w:spacing w:before="0" w:after="240"/>
      <w:jc w:val="center"/>
    </w:pPr>
    <w:rPr/>
  </w:style>
  <w:style w:type="paragraph" w:styleId="TOC1">
    <w:name w:val="toc 1"/>
    <w:basedOn w:val="Normal"/>
    <w:pPr>
      <w:keepLines/>
      <w:tabs>
        <w:tab w:val="clear" w:pos="720"/>
        <w:tab w:val="right" w:pos="9360" w:leader="dot"/>
      </w:tabs>
      <w:spacing w:before="0" w:after="240"/>
      <w:ind w:hanging="720" w:start="720" w:end="1440"/>
    </w:pPr>
    <w:rPr>
      <w:caps/>
    </w:rPr>
  </w:style>
  <w:style w:type="paragraph" w:styleId="TOC2">
    <w:name w:val="toc 2"/>
    <w:basedOn w:val="TOC1"/>
    <w:pPr>
      <w:ind w:hanging="720" w:start="1440" w:end="1440"/>
    </w:pPr>
    <w:rPr>
      <w:caps w:val="false"/>
      <w:smallCaps w:val="false"/>
    </w:rPr>
  </w:style>
  <w:style w:type="paragraph" w:styleId="TOC3">
    <w:name w:val="toc 3"/>
    <w:basedOn w:val="TOC2"/>
    <w:pPr>
      <w:ind w:hanging="720" w:start="2160" w:end="1440"/>
    </w:pPr>
    <w:rPr/>
  </w:style>
  <w:style w:type="paragraph" w:styleId="Plain">
    <w:name w:val="Plain"/>
    <w:basedOn w:val="Normal"/>
    <w:qFormat/>
    <w:pPr/>
    <w:rPr/>
  </w:style>
  <w:style w:type="paragraph" w:styleId="StationaryName">
    <w:name w:val="StationaryName"/>
    <w:next w:val="StationaryName2"/>
    <w:qFormat/>
    <w:pPr>
      <w:widowControl/>
      <w:bidi w:val="0"/>
      <w:jc w:val="center"/>
    </w:pPr>
    <w:rPr>
      <w:rFonts w:ascii="Arial" w:hAnsi="Arial" w:eastAsia="Times New Roman" w:cs="Arial"/>
      <w:smallCaps/>
      <w:color w:val="auto"/>
      <w:sz w:val="18"/>
      <w:szCs w:val="20"/>
      <w:lang w:val="en-US" w:bidi="ar-SA" w:eastAsia="zh-CN"/>
    </w:rPr>
  </w:style>
  <w:style w:type="paragraph" w:styleId="StationaryName2">
    <w:name w:val="StationaryName2"/>
    <w:basedOn w:val="StationaryName"/>
    <w:qFormat/>
    <w:pPr/>
    <w:rPr>
      <w:caps/>
      <w:sz w:val="10"/>
    </w:rPr>
  </w:style>
  <w:style w:type="paragraph" w:styleId="Date">
    <w:name w:val="Date"/>
    <w:basedOn w:val="Normal"/>
    <w:qFormat/>
    <w:pPr>
      <w:spacing w:lineRule="auto" w:line="240" w:before="1920" w:after="0"/>
      <w:jc w:val="center"/>
    </w:pPr>
    <w:rPr/>
  </w:style>
  <w:style w:type="paragraph" w:styleId="zClosing">
    <w:name w:val="zClosing"/>
    <w:basedOn w:val="Normal"/>
    <w:qFormat/>
    <w:pPr>
      <w:keepNext w:val="true"/>
      <w:spacing w:lineRule="exact" w:line="240"/>
      <w:ind w:hanging="0" w:start="4320" w:end="0"/>
    </w:pPr>
    <w:rPr/>
  </w:style>
  <w:style w:type="paragraph" w:styleId="zSignature">
    <w:name w:val="zSignature"/>
    <w:basedOn w:val="Normal"/>
    <w:qFormat/>
    <w:pPr>
      <w:spacing w:before="720" w:after="0"/>
      <w:ind w:hanging="0" w:start="4320" w:end="0"/>
    </w:pPr>
    <w:rPr/>
  </w:style>
  <w:style w:type="paragraph" w:styleId="zCC">
    <w:name w:val="zCC"/>
    <w:basedOn w:val="Normal"/>
    <w:qFormat/>
    <w:pPr>
      <w:ind w:hanging="720" w:start="720" w:end="0"/>
    </w:pPr>
    <w:rPr/>
  </w:style>
  <w:style w:type="paragraph" w:styleId="zInitials">
    <w:name w:val="zInitials"/>
    <w:basedOn w:val="Normal"/>
    <w:qFormat/>
    <w:pPr>
      <w:spacing w:before="240" w:after="0"/>
    </w:pPr>
    <w:rPr/>
  </w:style>
  <w:style w:type="paragraph" w:styleId="zBCC">
    <w:name w:val="zBCC"/>
    <w:basedOn w:val="Normal"/>
    <w:qFormat/>
    <w:pPr>
      <w:pageBreakBefore/>
      <w:ind w:hanging="720" w:start="720" w:end="0"/>
    </w:pPr>
    <w:rPr/>
  </w:style>
  <w:style w:type="paragraph" w:styleId="zRELine">
    <w:name w:val="zRELine"/>
    <w:basedOn w:val="Normal"/>
    <w:qFormat/>
    <w:pPr>
      <w:spacing w:before="240" w:after="240"/>
      <w:ind w:hanging="720" w:start="1440" w:end="720"/>
    </w:pPr>
    <w:rPr>
      <w:b/>
      <w:color w:val="FF0000"/>
    </w:rPr>
  </w:style>
  <w:style w:type="paragraph" w:styleId="zEnclosures">
    <w:name w:val="zEnclosures"/>
    <w:basedOn w:val="Normal"/>
    <w:qFormat/>
    <w:pPr/>
    <w:rPr/>
  </w:style>
  <w:style w:type="paragraph" w:styleId="Delivery">
    <w:name w:val="Delivery"/>
    <w:basedOn w:val="Normal"/>
    <w:qFormat/>
    <w:pPr>
      <w:spacing w:lineRule="auto" w:line="240"/>
    </w:pPr>
    <w:rPr>
      <w:b/>
    </w:rPr>
  </w:style>
  <w:style w:type="paragraph" w:styleId="StationaryName3">
    <w:name w:val="StationaryName3"/>
    <w:basedOn w:val="StationaryName2"/>
    <w:qFormat/>
    <w:pPr/>
    <w:rPr>
      <w:sz w:val="12"/>
    </w:rPr>
  </w:style>
  <w:style w:type="paragraph" w:styleId="FootContNext">
    <w:name w:val="FootContNext"/>
    <w:basedOn w:val="Normal"/>
    <w:next w:val="FootnoteText"/>
    <w:qFormat/>
    <w:pPr>
      <w:spacing w:lineRule="auto" w:line="240" w:before="120" w:after="0"/>
      <w:jc w:val="end"/>
    </w:pPr>
    <w:rPr>
      <w:i/>
      <w:sz w:val="18"/>
    </w:rPr>
  </w:style>
  <w:style w:type="paragraph" w:styleId="FootContPrev">
    <w:name w:val="FootContPrev"/>
    <w:basedOn w:val="Normal"/>
    <w:next w:val="FootnoteText"/>
    <w:qFormat/>
    <w:pPr>
      <w:spacing w:lineRule="auto" w:line="240" w:before="0" w:after="240"/>
    </w:pPr>
    <w:rPr>
      <w:i/>
      <w:sz w:val="18"/>
    </w:rPr>
  </w:style>
  <w:style w:type="paragraph" w:styleId="AddresseeName">
    <w:name w:val="AddresseeName"/>
    <w:basedOn w:val="Normal"/>
    <w:next w:val="Plain"/>
    <w:qFormat/>
    <w:pPr>
      <w:spacing w:before="240" w:after="0"/>
    </w:pPr>
    <w:rPr/>
  </w:style>
  <w:style w:type="paragraph" w:styleId="AttyName">
    <w:name w:val="AttyName"/>
    <w:basedOn w:val="Delivery"/>
    <w:qFormat/>
    <w:pPr/>
    <w:rPr>
      <w:sz w:val="20"/>
    </w:rPr>
  </w:style>
  <w:style w:type="paragraph" w:styleId="Confidentiality">
    <w:name w:val="Confidentiality"/>
    <w:basedOn w:val="Normal"/>
    <w:qFormat/>
    <w:pPr>
      <w:spacing w:before="240" w:after="0"/>
    </w:pPr>
    <w:rPr/>
  </w:style>
  <w:style w:type="paragraph" w:styleId="TOC4">
    <w:name w:val="toc 4"/>
    <w:basedOn w:val="TOC2"/>
    <w:pPr>
      <w:ind w:hanging="720" w:start="2880" w:end="1440"/>
    </w:pPr>
    <w:rPr/>
  </w:style>
  <w:style w:type="paragraph" w:styleId="TOC5">
    <w:name w:val="toc 5"/>
    <w:basedOn w:val="TOC2"/>
    <w:pPr>
      <w:ind w:hanging="720" w:start="3600" w:end="1440"/>
    </w:pPr>
    <w:rPr/>
  </w:style>
  <w:style w:type="paragraph" w:styleId="TOC6">
    <w:name w:val="toc 6"/>
    <w:basedOn w:val="TOC2"/>
    <w:pPr>
      <w:ind w:hanging="720" w:start="4320" w:end="1440"/>
    </w:pPr>
    <w:rPr/>
  </w:style>
  <w:style w:type="paragraph" w:styleId="TOC7">
    <w:name w:val="toc 7"/>
    <w:basedOn w:val="TOC2"/>
    <w:pPr>
      <w:ind w:hanging="720" w:start="5040" w:end="1440"/>
    </w:pPr>
    <w:rPr/>
  </w:style>
  <w:style w:type="paragraph" w:styleId="TOC8">
    <w:name w:val="toc 8"/>
    <w:basedOn w:val="TOC2"/>
    <w:pPr>
      <w:ind w:hanging="720" w:start="5040" w:end="1440"/>
    </w:pPr>
    <w:rPr/>
  </w:style>
  <w:style w:type="paragraph" w:styleId="TOC9">
    <w:name w:val="toc 9"/>
    <w:basedOn w:val="TOC2"/>
    <w:pPr>
      <w:ind w:hanging="720" w:start="5040" w:end="1440"/>
    </w:pPr>
    <w:rPr/>
  </w:style>
  <w:style w:type="paragraph" w:styleId="BodyTextNumber">
    <w:name w:val="Body Text Number"/>
    <w:basedOn w:val="BodyText"/>
    <w:qFormat/>
    <w:pPr>
      <w:numPr>
        <w:ilvl w:val="0"/>
        <w:numId w:val="12"/>
      </w:numPr>
      <w:tabs>
        <w:tab w:val="clear" w:pos="720"/>
      </w:tabs>
      <w:ind w:firstLine="720" w:start="0" w:end="0"/>
    </w:pPr>
    <w:rPr/>
  </w:style>
  <w:style w:type="paragraph" w:styleId="EnvelopeAddress">
    <w:name w:val="envelope address"/>
    <w:basedOn w:val="Normal"/>
    <w:pPr>
      <w:ind w:hanging="0" w:start="2880" w:end="0"/>
    </w:pPr>
    <w:rPr/>
  </w:style>
  <w:style w:type="paragraph" w:styleId="PCFrame">
    <w:name w:val="PCFrame"/>
    <w:basedOn w:val="Normal"/>
    <w:qFormat/>
    <w:pPr/>
    <w:rPr>
      <w:b/>
      <w:caps/>
    </w:rPr>
  </w:style>
  <w:style w:type="paragraph" w:styleId="EnvelopeReturn">
    <w:name w:val="envelope return"/>
    <w:basedOn w:val="Normal"/>
    <w:pPr/>
    <w:rPr>
      <w:sz w:val="20"/>
    </w:rPr>
  </w:style>
  <w:style w:type="paragraph" w:styleId="BodyTextFirstIndent">
    <w:name w:val="Body Text First Indent"/>
    <w:basedOn w:val="BodyText"/>
    <w:qFormat/>
    <w:pPr>
      <w:spacing w:before="0" w:after="120"/>
      <w:ind w:firstLine="210" w:start="0" w:end="0"/>
    </w:pPr>
    <w:rPr/>
  </w:style>
  <w:style w:type="paragraph" w:styleId="zSalutation">
    <w:name w:val="zSalutation"/>
    <w:basedOn w:val="Plain"/>
    <w:qFormat/>
    <w:pPr>
      <w:spacing w:before="0" w:after="240"/>
    </w:pPr>
    <w:rPr/>
  </w:style>
  <w:style w:type="paragraph" w:styleId="BodyTextIndent">
    <w:name w:val="Body Text Indent"/>
    <w:basedOn w:val="Normal"/>
    <w:pPr>
      <w:ind w:firstLine="720" w:start="3600" w:end="0"/>
    </w:pPr>
    <w:rPr>
      <w:rFonts w:ascii="Times New Roman" w:hAnsi="Times New Roman" w:cs="Times New Roma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Personal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2001-03-19T21:10:00Z</dcterms:created>
  <dc:creator>Administrator</dc:creator>
  <dc:description/>
  <cp:keywords>50146560.1</cp:keywords>
  <dc:language>en-CA</dc:language>
  <cp:lastModifiedBy>Bill Short</cp:lastModifiedBy>
  <cp:lastPrinted>2001-03-19T13:06:00Z</cp:lastPrinted>
  <dcterms:modified xsi:type="dcterms:W3CDTF">2001-03-19T21:10:00Z</dcterms:modified>
  <cp:revision>2</cp:revision>
  <dc:subject/>
  <dc:title>March 26, 1993	</dc:title>
</cp:coreProperties>
</file>