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20"/>
        </w:rPr>
      </w:pPr>
      <w:r>
        <w:rPr>
          <w:sz w:val="20"/>
        </w:rPr>
        <w:t>Comments of Enron Canada Corp. on the Proposed Amendments to</w:t>
      </w:r>
    </w:p>
    <w:p>
      <w:pPr>
        <w:pStyle w:val="Heading2"/>
        <w:ind w:hanging="0" w:start="0"/>
        <w:rPr>
          <w:sz w:val="20"/>
        </w:rPr>
      </w:pPr>
      <w:r>
        <w:rPr>
          <w:sz w:val="20"/>
        </w:rPr>
        <w:t>The Retail Settlements Code</w:t>
      </w:r>
    </w:p>
    <w:p>
      <w:pPr>
        <w:pStyle w:val="Normal"/>
        <w:jc w:val="center"/>
        <w:rPr>
          <w:rFonts w:ascii="Arial" w:hAnsi="Arial" w:cs="Arial"/>
          <w:sz w:val="20"/>
        </w:rPr>
      </w:pPr>
      <w:r>
        <w:rPr>
          <w:rFonts w:cs="Arial" w:ascii="Arial" w:hAnsi="Arial"/>
          <w:sz w:val="20"/>
        </w:rPr>
      </w:r>
    </w:p>
    <w:p>
      <w:pPr>
        <w:pStyle w:val="BodyText"/>
        <w:numPr>
          <w:ilvl w:val="0"/>
          <w:numId w:val="2"/>
        </w:numPr>
        <w:tabs>
          <w:tab w:val="left" w:pos="720" w:leader="none"/>
        </w:tabs>
        <w:ind w:hanging="720" w:start="720" w:end="0"/>
        <w:rPr>
          <w:sz w:val="20"/>
        </w:rPr>
      </w:pPr>
      <w:r>
        <w:rPr>
          <w:sz w:val="20"/>
        </w:rPr>
        <w:t xml:space="preserve">The Board’s letter of July 23, 2001 regarding self-certification was addressed only to the licensed electricity distributors in the Province.  However, other classes of licensed market participants, such as retailers, have a legitimate and substantial interest in the market readiness process and the timing of market opening.  </w:t>
      </w:r>
    </w:p>
    <w:p>
      <w:pPr>
        <w:pStyle w:val="BodyText"/>
        <w:rPr>
          <w:sz w:val="20"/>
        </w:rPr>
      </w:pPr>
      <w:r>
        <w:rPr>
          <w:sz w:val="20"/>
        </w:rPr>
      </w:r>
    </w:p>
    <w:p>
      <w:pPr>
        <w:pStyle w:val="BodyText"/>
        <w:numPr>
          <w:ilvl w:val="0"/>
          <w:numId w:val="2"/>
        </w:numPr>
        <w:tabs>
          <w:tab w:val="left" w:pos="720" w:leader="none"/>
        </w:tabs>
        <w:ind w:hanging="720" w:start="720" w:end="0"/>
        <w:rPr>
          <w:sz w:val="20"/>
        </w:rPr>
      </w:pPr>
      <w:r>
        <w:rPr>
          <w:sz w:val="20"/>
        </w:rPr>
        <w:t>Retailers such as Enron Canada Corp. have invested heavily in the development of the business processes, information systems and supply arrangements necessary to support participation in the Ontario retail electricity market.  Unlike licensed distributors, retailers cannot recover the cost of any of these investments until the market opens.  Accordingly, Enron Canada assumes that the fact that the Board’s letter was addressed to distributors only was not meant to preclude consideration by the Board of submissions by other stakeholders, such as retailers, with a legitimate and substantial interest in the issues raised by the Board’s letter.</w:t>
      </w:r>
    </w:p>
    <w:p>
      <w:pPr>
        <w:pStyle w:val="BodyText"/>
        <w:rPr>
          <w:sz w:val="20"/>
        </w:rPr>
      </w:pPr>
      <w:r>
        <w:rPr>
          <w:sz w:val="20"/>
        </w:rPr>
      </w:r>
    </w:p>
    <w:p>
      <w:pPr>
        <w:pStyle w:val="BodyText"/>
        <w:numPr>
          <w:ilvl w:val="0"/>
          <w:numId w:val="2"/>
        </w:numPr>
        <w:tabs>
          <w:tab w:val="left" w:pos="720" w:leader="none"/>
        </w:tabs>
        <w:ind w:hanging="720" w:start="720" w:end="0"/>
        <w:rPr>
          <w:sz w:val="20"/>
        </w:rPr>
      </w:pPr>
      <w:r>
        <w:rPr>
          <w:sz w:val="20"/>
        </w:rPr>
        <w:t xml:space="preserve">Enron Canada is very disappointed by the Board’s proposal to delay the filing date for the second self-certification report from </w:t>
      </w:r>
      <w:r>
        <w:rPr>
          <w:i/>
          <w:iCs/>
          <w:sz w:val="20"/>
        </w:rPr>
        <w:t>August 14, 2001</w:t>
      </w:r>
      <w:r>
        <w:rPr>
          <w:sz w:val="20"/>
        </w:rPr>
        <w:t xml:space="preserve"> to </w:t>
      </w:r>
      <w:r>
        <w:rPr>
          <w:i/>
          <w:iCs/>
          <w:sz w:val="20"/>
        </w:rPr>
        <w:t>December 14, 2001</w:t>
      </w:r>
      <w:r>
        <w:rPr>
          <w:sz w:val="20"/>
        </w:rPr>
        <w:t xml:space="preserve">.  That disappointment is undoubtedly shared by many stakeholders.  The Board’s proposal is evidently based on the Board’s assessment of the self-certification reports delivered by distributors on July 6, 2001.  However, neither those reports nor the data therein has yet been made public.  Enron Canada submits that, in the absence of the public release of those reports and the Board’s assessments thereof, no stakeholder can be expected to comment on the need for or propriety of the proposed four month delay.  </w:t>
      </w:r>
    </w:p>
    <w:p>
      <w:pPr>
        <w:pStyle w:val="BodyText"/>
        <w:rPr>
          <w:sz w:val="20"/>
        </w:rPr>
      </w:pPr>
      <w:r>
        <w:rPr>
          <w:sz w:val="20"/>
        </w:rPr>
      </w:r>
    </w:p>
    <w:p>
      <w:pPr>
        <w:pStyle w:val="BodyText"/>
        <w:numPr>
          <w:ilvl w:val="0"/>
          <w:numId w:val="2"/>
        </w:numPr>
        <w:tabs>
          <w:tab w:val="left" w:pos="720" w:leader="none"/>
        </w:tabs>
        <w:ind w:hanging="720" w:start="720" w:end="0"/>
        <w:rPr>
          <w:sz w:val="20"/>
        </w:rPr>
      </w:pPr>
      <w:r>
        <w:rPr>
          <w:sz w:val="20"/>
        </w:rPr>
        <w:t>In order to comment on the proposed delay, stakeholders reasonably need answers to the following questions:</w:t>
      </w:r>
    </w:p>
    <w:p>
      <w:pPr>
        <w:pStyle w:val="Normal"/>
        <w:jc w:val="both"/>
        <w:rPr>
          <w:rFonts w:ascii="Arial" w:hAnsi="Arial" w:cs="Arial"/>
          <w:sz w:val="20"/>
        </w:rPr>
      </w:pPr>
      <w:r>
        <w:rPr>
          <w:rFonts w:cs="Arial" w:ascii="Arial" w:hAnsi="Arial"/>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are the particular facts that led the Board to determine that a four month delay was necessary?</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Which distributors indicated that they will be ready on time?</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 xml:space="preserve">Which distributors indicated that they will </w:t>
      </w:r>
      <w:r>
        <w:rPr>
          <w:rFonts w:cs="Arial" w:ascii="Arial" w:hAnsi="Arial"/>
          <w:i/>
          <w:iCs/>
          <w:sz w:val="20"/>
          <w:u w:val="single"/>
        </w:rPr>
        <w:t>not</w:t>
      </w:r>
      <w:r>
        <w:rPr>
          <w:rFonts w:cs="Arial" w:ascii="Arial" w:hAnsi="Arial"/>
          <w:i/>
          <w:iCs/>
          <w:sz w:val="20"/>
        </w:rPr>
        <w:t xml:space="preserve"> be ready on time?</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In what areas of system development are the distributors behind schedule?</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steps have been taken by the Board and the Board’s consultants to assess the accuracy of the self-certification reports?</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Assuming the accuracy of the self-certification reports, what steps remain to be taken by the distributors, the Board and others (i.e. EBT developers) to complete retail system development?</w:t>
      </w:r>
    </w:p>
    <w:p>
      <w:pPr>
        <w:pStyle w:val="Normal"/>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confidence is there that distributors and others will take the steps necessary  to meet the proposed new deadline for the stage 2 self-certification filing?</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steps is the Board prepared to take to address any non-compliance with the proposed new deadline for stage 2 self-certification?</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contingency plans has the Board developed or will the Board develop in order to allow the market to open in accordance with the Government’s announced deadline for opening the market “by May 2002”, even though some distributors may not comply with the proposed new deadline for the stage 2 self-certification filing?</w:t>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tabs>
          <w:tab w:val="clear" w:pos="720"/>
          <w:tab w:val="left" w:pos="1440" w:leader="none"/>
        </w:tabs>
        <w:ind w:hanging="720" w:start="144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What “minimum conditions” must be satisfied in order for the Board to determine that the retail market is ready (i.e. what number of distributors, representing what proportion of consumers, must be ready)?</w:t>
      </w:r>
    </w:p>
    <w:p>
      <w:pPr>
        <w:pStyle w:val="Normal"/>
        <w:jc w:val="both"/>
        <w:rPr>
          <w:rFonts w:ascii="Arial" w:hAnsi="Arial" w:cs="Arial"/>
          <w:i/>
          <w:i/>
          <w:iCs/>
          <w:sz w:val="20"/>
        </w:rPr>
      </w:pPr>
      <w:r>
        <w:rPr>
          <w:rFonts w:cs="Arial" w:ascii="Arial" w:hAnsi="Arial"/>
          <w:i/>
          <w:iCs/>
          <w:sz w:val="20"/>
        </w:rPr>
      </w:r>
    </w:p>
    <w:p>
      <w:pPr>
        <w:pStyle w:val="BodyText"/>
        <w:ind w:hanging="720" w:start="720" w:end="0"/>
        <w:rPr>
          <w:sz w:val="20"/>
        </w:rPr>
      </w:pPr>
      <w:r>
        <w:rPr>
          <w:sz w:val="20"/>
        </w:rPr>
        <w:t>5.</w:t>
        <w:tab/>
        <w:t>As matters stand, the proposed delay in the deadline for stage 2 self-certification will further erode the credibility of the Ontario restructuring process among those who have committed significant resources to Ontario and who are contemplating the commitment of further resources.  The successful transition to and operation of the new competitive environment depends to a large extent on continuing investment and commercial activity by entities such as Enron Canada and other retailers.  Ontario cannot expect such entities to stay interested in and continue to commit resources to the Province’s electricity sector in the absence of strong assurances that the outstanding issues in the retail sector will be resolved quickly and that further delay in attaining retail market readiness will not be tolerated.</w:t>
      </w:r>
    </w:p>
    <w:p>
      <w:pPr>
        <w:pStyle w:val="BodyText"/>
        <w:ind w:hanging="720" w:start="720" w:end="0"/>
        <w:rPr>
          <w:sz w:val="20"/>
        </w:rPr>
      </w:pPr>
      <w:r>
        <w:rPr>
          <w:sz w:val="20"/>
        </w:rPr>
      </w:r>
    </w:p>
    <w:p>
      <w:pPr>
        <w:pStyle w:val="BodyText"/>
        <w:ind w:hanging="720" w:start="720" w:end="0"/>
        <w:rPr>
          <w:sz w:val="20"/>
        </w:rPr>
      </w:pPr>
      <w:r>
        <w:rPr>
          <w:sz w:val="20"/>
        </w:rPr>
        <w:t>6.</w:t>
        <w:tab/>
        <w:t>The Board’s letter indicates that, in early August, the Board will issue jointly with the IMO a revised market readiness plan.  The preparation and publication of that revised market readiness plan presents a real opportunity to bolster the credibility of the restructuring process.  On the wholesale side, the IMO’s uncoupled ODR was an outstanding success.  On the retail side, the information in the stage 1 self-certification reports should give the Board and stakeholders a clearer indication of what work remains to be done.  Accordingly, the revised market readiness plan should do the following:</w:t>
      </w:r>
    </w:p>
    <w:p>
      <w:pPr>
        <w:pStyle w:val="BodyText"/>
        <w:ind w:hanging="720" w:start="720" w:end="0"/>
        <w:rPr>
          <w:sz w:val="20"/>
        </w:rPr>
      </w:pPr>
      <w:r>
        <w:rPr>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Identify the outstanding issues;</w:t>
      </w:r>
    </w:p>
    <w:p>
      <w:pPr>
        <w:pStyle w:val="Normal"/>
        <w:ind w:start="720" w:end="0"/>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Set out a clear plan and timetable for addressing those issues;</w:t>
      </w:r>
    </w:p>
    <w:p>
      <w:pPr>
        <w:pStyle w:val="Normal"/>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Confirm what the consequences (penalties, etc.) will be for those market participants who do not meet the self-certification and other deadlines;</w:t>
      </w:r>
    </w:p>
    <w:p>
      <w:pPr>
        <w:pStyle w:val="Normal"/>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Clarify what minimum conditions must be satisfied in order to attain market readiness at the wholesale and retail levels;</w:t>
      </w:r>
    </w:p>
    <w:p>
      <w:pPr>
        <w:pStyle w:val="Normal"/>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Clarify what contingency plans the Board and the IMO have developed or will develop in order to allow the market to open, even though some market participants may not be ready; and</w:t>
      </w:r>
    </w:p>
    <w:p>
      <w:pPr>
        <w:pStyle w:val="Normal"/>
        <w:jc w:val="both"/>
        <w:rPr>
          <w:rFonts w:ascii="Arial" w:hAnsi="Arial" w:cs="Arial"/>
          <w:i/>
          <w:i/>
          <w:iCs/>
          <w:sz w:val="20"/>
        </w:rPr>
      </w:pPr>
      <w:r>
        <w:rPr>
          <w:rFonts w:cs="Arial" w:ascii="Arial" w:hAnsi="Arial"/>
          <w:i/>
          <w:iCs/>
          <w:sz w:val="20"/>
        </w:rPr>
      </w:r>
    </w:p>
    <w:p>
      <w:pPr>
        <w:pStyle w:val="Normal"/>
        <w:numPr>
          <w:ilvl w:val="1"/>
          <w:numId w:val="3"/>
        </w:numPr>
        <w:tabs>
          <w:tab w:val="clear" w:pos="720"/>
          <w:tab w:val="left" w:pos="1440" w:leader="none"/>
        </w:tabs>
        <w:ind w:hanging="720" w:start="1440" w:end="0"/>
        <w:jc w:val="both"/>
        <w:rPr>
          <w:rFonts w:ascii="Arial" w:hAnsi="Arial" w:cs="Arial"/>
          <w:i/>
          <w:i/>
          <w:iCs/>
          <w:sz w:val="20"/>
        </w:rPr>
      </w:pPr>
      <w:r>
        <w:rPr>
          <w:rFonts w:cs="Arial" w:ascii="Arial" w:hAnsi="Arial"/>
          <w:i/>
          <w:iCs/>
          <w:sz w:val="20"/>
        </w:rPr>
        <w:t>Set out a firm date for the opening of the Ontario wholesale and retail markets.</w:t>
      </w:r>
    </w:p>
    <w:p>
      <w:pPr>
        <w:pStyle w:val="Normal"/>
        <w:tabs>
          <w:tab w:val="clear" w:pos="720"/>
          <w:tab w:val="left" w:pos="1440" w:leader="none"/>
        </w:tabs>
        <w:jc w:val="both"/>
        <w:rPr>
          <w:rFonts w:ascii="Arial" w:hAnsi="Arial" w:cs="Arial"/>
          <w:i/>
          <w:i/>
          <w:iCs/>
          <w:sz w:val="20"/>
        </w:rPr>
      </w:pPr>
      <w:r>
        <w:rPr>
          <w:rFonts w:cs="Arial" w:ascii="Arial" w:hAnsi="Arial"/>
          <w:i/>
          <w:iCs/>
          <w:sz w:val="20"/>
        </w:rPr>
      </w:r>
    </w:p>
    <w:p>
      <w:pPr>
        <w:pStyle w:val="BodyText"/>
        <w:ind w:hanging="720" w:start="720" w:end="0"/>
        <w:rPr>
          <w:sz w:val="20"/>
        </w:rPr>
      </w:pPr>
      <w:r>
        <w:rPr>
          <w:sz w:val="20"/>
        </w:rPr>
        <w:t>7.</w:t>
        <w:tab/>
        <w:t>Enron Canada looks forward to working with the Board, the IMO and other stakeholders to ensure that the Ontario electricity market opens as soon as possible and, in any event, no later than the “by May 2002” deadline set by the Government.</w:t>
      </w:r>
    </w:p>
    <w:p>
      <w:pPr>
        <w:pStyle w:val="Normal"/>
        <w:tabs>
          <w:tab w:val="clear" w:pos="720"/>
          <w:tab w:val="left" w:pos="1440" w:leader="none"/>
        </w:tabs>
        <w:jc w:val="both"/>
        <w:rPr>
          <w:rFonts w:ascii="Arial" w:hAnsi="Arial" w:cs="Arial"/>
          <w:sz w:val="20"/>
        </w:rPr>
      </w:pPr>
      <w:r>
        <w:rPr>
          <w:rFonts w:cs="Arial" w:ascii="Arial" w:hAnsi="Arial"/>
          <w:sz w:val="20"/>
        </w:rPr>
      </w:r>
    </w:p>
    <w:p>
      <w:pPr>
        <w:pStyle w:val="Normal"/>
        <w:tabs>
          <w:tab w:val="clear" w:pos="720"/>
          <w:tab w:val="left" w:pos="1440" w:leader="none"/>
        </w:tabs>
        <w:jc w:val="both"/>
        <w:rPr>
          <w:rFonts w:ascii="Arial" w:hAnsi="Arial" w:cs="Arial"/>
          <w:sz w:val="20"/>
        </w:rPr>
      </w:pPr>
      <w:r>
        <w:rPr>
          <w:rFonts w:cs="Arial" w:ascii="Arial" w:hAnsi="Arial"/>
          <w:sz w:val="20"/>
        </w:rPr>
      </w:r>
    </w:p>
    <w:p>
      <w:pPr>
        <w:pStyle w:val="Normal"/>
        <w:jc w:val="end"/>
        <w:rPr>
          <w:rFonts w:ascii="Arial" w:hAnsi="Arial" w:cs="Arial"/>
          <w:sz w:val="20"/>
        </w:rPr>
      </w:pPr>
      <w:r>
        <w:rPr>
          <w:rFonts w:cs="Arial" w:ascii="Arial" w:hAnsi="Arial"/>
          <w:sz w:val="20"/>
        </w:rPr>
        <w:t>Aleck Dadson</w:t>
      </w:r>
    </w:p>
    <w:p>
      <w:pPr>
        <w:pStyle w:val="Normal"/>
        <w:jc w:val="end"/>
        <w:rPr>
          <w:rFonts w:ascii="Arial" w:hAnsi="Arial" w:cs="Arial"/>
          <w:sz w:val="20"/>
        </w:rPr>
      </w:pPr>
      <w:r>
        <w:rPr>
          <w:rFonts w:cs="Arial" w:ascii="Arial" w:hAnsi="Arial"/>
          <w:sz w:val="20"/>
        </w:rPr>
        <w:t>Senior Director, Government Affairs</w:t>
      </w:r>
    </w:p>
    <w:p>
      <w:pPr>
        <w:pStyle w:val="Normal"/>
        <w:jc w:val="end"/>
        <w:rPr>
          <w:rFonts w:ascii="Arial" w:hAnsi="Arial" w:cs="Arial"/>
          <w:sz w:val="20"/>
        </w:rPr>
      </w:pPr>
      <w:r>
        <w:rPr>
          <w:rFonts w:cs="Arial" w:ascii="Arial" w:hAnsi="Arial"/>
          <w:sz w:val="20"/>
        </w:rPr>
        <w:t>Enron Canada Corp.</w:t>
      </w:r>
    </w:p>
    <w:p>
      <w:pPr>
        <w:pStyle w:val="Normal"/>
        <w:jc w:val="end"/>
        <w:rPr>
          <w:rFonts w:ascii="Arial" w:hAnsi="Arial" w:cs="Arial"/>
          <w:sz w:val="20"/>
        </w:rPr>
      </w:pPr>
      <w:r>
        <w:rPr>
          <w:rFonts w:cs="Arial" w:ascii="Arial" w:hAnsi="Arial"/>
          <w:sz w:val="20"/>
        </w:rPr>
        <w:t>1100 – 70 York Street</w:t>
      </w:r>
    </w:p>
    <w:p>
      <w:pPr>
        <w:pStyle w:val="Normal"/>
        <w:jc w:val="end"/>
        <w:rPr>
          <w:rFonts w:ascii="Arial" w:hAnsi="Arial" w:cs="Arial"/>
          <w:sz w:val="20"/>
        </w:rPr>
      </w:pPr>
      <w:r>
        <w:rPr>
          <w:rFonts w:cs="Arial" w:ascii="Arial" w:hAnsi="Arial"/>
          <w:sz w:val="20"/>
        </w:rPr>
        <w:t>Toronto, ON   M5J 1S9</w:t>
      </w:r>
    </w:p>
    <w:p>
      <w:pPr>
        <w:pStyle w:val="Normal"/>
        <w:jc w:val="end"/>
        <w:rPr>
          <w:rFonts w:ascii="Arial" w:hAnsi="Arial" w:cs="Arial"/>
          <w:sz w:val="20"/>
        </w:rPr>
      </w:pPr>
      <w:r>
        <w:rPr>
          <w:rFonts w:cs="Arial" w:ascii="Arial" w:hAnsi="Arial"/>
          <w:sz w:val="20"/>
        </w:rPr>
        <w:t>Tel:  416 865 3707</w:t>
      </w:r>
    </w:p>
    <w:p>
      <w:pPr>
        <w:pStyle w:val="Normal"/>
        <w:jc w:val="end"/>
        <w:rPr>
          <w:rFonts w:ascii="Arial" w:hAnsi="Arial" w:cs="Arial"/>
          <w:sz w:val="20"/>
        </w:rPr>
      </w:pPr>
      <w:r>
        <w:rPr>
          <w:rFonts w:cs="Arial" w:ascii="Arial" w:hAnsi="Arial"/>
          <w:sz w:val="20"/>
        </w:rPr>
        <w:t>Fax: 416 865 3766</w:t>
      </w:r>
    </w:p>
    <w:p>
      <w:pPr>
        <w:pStyle w:val="Normal"/>
        <w:jc w:val="end"/>
        <w:rPr/>
      </w:pPr>
      <w:r>
        <w:rPr>
          <w:rFonts w:cs="Arial" w:ascii="Arial" w:hAnsi="Arial"/>
          <w:sz w:val="20"/>
        </w:rPr>
        <w:t xml:space="preserve">e-mail: </w:t>
      </w:r>
      <w:hyperlink r:id="rId2">
        <w:r>
          <w:rPr>
            <w:rStyle w:val="Hyperlink"/>
            <w:rFonts w:cs="Arial" w:ascii="Arial" w:hAnsi="Arial"/>
            <w:sz w:val="20"/>
          </w:rPr>
          <w:t>Aleck.Dadson@enron.com</w:t>
        </w:r>
      </w:hyperlink>
      <w:r>
        <w:rPr>
          <w:rFonts w:cs="Arial" w:ascii="Arial" w:hAnsi="Arial"/>
          <w:sz w:val="20"/>
        </w:rPr>
        <w:t xml:space="preserve"> </w:t>
      </w:r>
    </w:p>
    <w:p>
      <w:pPr>
        <w:pStyle w:val="Normal"/>
        <w:jc w:val="end"/>
        <w:rPr>
          <w:rFonts w:ascii="Arial" w:hAnsi="Arial" w:cs="Arial"/>
          <w:sz w:val="20"/>
        </w:rPr>
      </w:pPr>
      <w:r>
        <w:rPr>
          <w:rFonts w:cs="Arial" w:ascii="Arial" w:hAnsi="Arial"/>
          <w:sz w:val="20"/>
        </w:rPr>
      </w:r>
    </w:p>
    <w:sectPr>
      <w:headerReference w:type="default" r:id="rId3"/>
      <w:headerReference w:type="first" r:id="rId4"/>
      <w:type w:val="nextPage"/>
      <w:pgSz w:w="12240" w:h="15840"/>
      <w:pgMar w:left="1440" w:right="1440" w:gutter="0" w:header="1440" w:top="1496" w:footer="0" w:bottom="144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abstractNum>
  <w:abstractNum w:abstractNumId="3">
    <w:lvl w:ilvl="0">
      <w:start w:val="1"/>
      <w:numFmt w:val="bullet"/>
      <w:lvlText w:val=""/>
      <w:lvlJc w:val="start"/>
      <w:pPr>
        <w:tabs>
          <w:tab w:val="num" w:pos="3240"/>
        </w:tabs>
        <w:ind w:start="3240" w:hanging="360"/>
      </w:pPr>
      <w:rPr>
        <w:rFonts w:ascii="Symbol" w:hAnsi="Symbol" w:cs="Symbol" w:hint="default"/>
        <w:color w:val="000000"/>
      </w:rPr>
    </w:lvl>
    <w:lvl w:ilvl="1">
      <w:start w:val="1"/>
      <w:numFmt w:val="bullet"/>
      <w:lvlText w:val="o"/>
      <w:lvlJc w:val="start"/>
      <w:pPr>
        <w:tabs>
          <w:tab w:val="num" w:pos="2520"/>
        </w:tabs>
        <w:ind w:start="2520" w:hanging="360"/>
      </w:pPr>
      <w:rPr>
        <w:rFonts w:ascii="Courier New" w:hAnsi="Courier New" w:cs="Courier New" w:hint="default"/>
      </w:rPr>
    </w:lvl>
    <w:lvl w:ilvl="2">
      <w:start w:val="1"/>
      <w:numFmt w:val="bullet"/>
      <w:lvlText w:val=""/>
      <w:lvlJc w:val="start"/>
      <w:pPr>
        <w:tabs>
          <w:tab w:val="num" w:pos="3240"/>
        </w:tabs>
        <w:ind w:start="3240" w:hanging="360"/>
      </w:pPr>
      <w:rPr>
        <w:rFonts w:ascii="Wingdings" w:hAnsi="Wingdings" w:cs="Wingdings" w:hint="default"/>
      </w:rPr>
    </w:lvl>
    <w:lvl w:ilvl="3">
      <w:start w:val="1"/>
      <w:numFmt w:val="bullet"/>
      <w:lvlText w:val=""/>
      <w:lvlJc w:val="start"/>
      <w:pPr>
        <w:tabs>
          <w:tab w:val="num" w:pos="3960"/>
        </w:tabs>
        <w:ind w:start="3960" w:hanging="360"/>
      </w:pPr>
      <w:rPr>
        <w:rFonts w:ascii="Symbol" w:hAnsi="Symbol" w:cs="Symbol" w:hint="default"/>
      </w:rPr>
    </w:lvl>
    <w:lvl w:ilvl="4">
      <w:start w:val="1"/>
      <w:numFmt w:val="bullet"/>
      <w:lvlText w:val="o"/>
      <w:lvlJc w:val="start"/>
      <w:pPr>
        <w:tabs>
          <w:tab w:val="num" w:pos="4680"/>
        </w:tabs>
        <w:ind w:start="4680" w:hanging="360"/>
      </w:pPr>
      <w:rPr>
        <w:rFonts w:ascii="Courier New" w:hAnsi="Courier New" w:cs="Courier New" w:hint="default"/>
      </w:rPr>
    </w:lvl>
    <w:lvl w:ilvl="5">
      <w:start w:val="1"/>
      <w:numFmt w:val="bullet"/>
      <w:lvlText w:val=""/>
      <w:lvlJc w:val="start"/>
      <w:pPr>
        <w:tabs>
          <w:tab w:val="num" w:pos="5400"/>
        </w:tabs>
        <w:ind w:start="5400" w:hanging="360"/>
      </w:pPr>
      <w:rPr>
        <w:rFonts w:ascii="Wingdings" w:hAnsi="Wingdings" w:cs="Wingdings" w:hint="default"/>
      </w:rPr>
    </w:lvl>
    <w:lvl w:ilvl="6">
      <w:start w:val="1"/>
      <w:numFmt w:val="bullet"/>
      <w:lvlText w:val=""/>
      <w:lvlJc w:val="start"/>
      <w:pPr>
        <w:tabs>
          <w:tab w:val="num" w:pos="6120"/>
        </w:tabs>
        <w:ind w:start="6120" w:hanging="360"/>
      </w:pPr>
      <w:rPr>
        <w:rFonts w:ascii="Symbol" w:hAnsi="Symbol" w:cs="Symbol" w:hint="default"/>
      </w:rPr>
    </w:lvl>
    <w:lvl w:ilvl="7">
      <w:start w:val="1"/>
      <w:numFmt w:val="bullet"/>
      <w:lvlText w:val="o"/>
      <w:lvlJc w:val="start"/>
      <w:pPr>
        <w:tabs>
          <w:tab w:val="num" w:pos="6840"/>
        </w:tabs>
        <w:ind w:start="6840" w:hanging="360"/>
      </w:pPr>
      <w:rPr>
        <w:rFonts w:ascii="Courier New" w:hAnsi="Courier New" w:cs="Courier New" w:hint="default"/>
      </w:rPr>
    </w:lvl>
    <w:lvl w:ilvl="8">
      <w:start w:val="1"/>
      <w:numFmt w:val="bullet"/>
      <w:lvlText w:val=""/>
      <w:lvlJc w:val="start"/>
      <w:pPr>
        <w:tabs>
          <w:tab w:val="num" w:pos="7560"/>
        </w:tabs>
        <w:ind w:start="75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2"/>
    </w:rPr>
  </w:style>
  <w:style w:type="paragraph" w:styleId="Heading2">
    <w:name w:val="heading 2"/>
    <w:basedOn w:val="Normal"/>
    <w:next w:val="Normal"/>
    <w:qFormat/>
    <w:pPr>
      <w:keepNext w:val="true"/>
      <w:numPr>
        <w:ilvl w:val="1"/>
        <w:numId w:val="1"/>
      </w:numPr>
      <w:jc w:val="center"/>
      <w:outlineLvl w:val="1"/>
    </w:pPr>
    <w:rPr>
      <w:rFonts w:ascii="Arial" w:hAnsi="Arial" w:cs="Arial"/>
      <w:b/>
      <w:bCs/>
      <w:sz w:val="22"/>
    </w:rPr>
  </w:style>
  <w:style w:type="character" w:styleId="WW8Num1z0">
    <w:name w:val="WW8Num1z0"/>
    <w:qFormat/>
    <w:rPr/>
  </w:style>
  <w:style w:type="character" w:styleId="WW8Num2z0">
    <w:name w:val="WW8Num2z0"/>
    <w:qFormat/>
    <w:rPr>
      <w:rFonts w:ascii="Symbol" w:hAnsi="Symbol" w:cs="Symbol"/>
      <w:color w:val="000000"/>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1080" w:end="0"/>
      <w:jc w:val="both"/>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leck.Dadson@enron.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2001-07-24T10:35:00Z</dcterms:created>
  <dc:creator>lassaf</dc:creator>
  <dc:description/>
  <dc:language>en-CA</dc:language>
  <cp:lastModifiedBy>lassaf</cp:lastModifiedBy>
  <cp:lastPrinted>2001-07-25T11:59:00Z</cp:lastPrinted>
  <dcterms:modified xsi:type="dcterms:W3CDTF">2001-07-25T13:29:00Z</dcterms:modified>
  <cp:revision>26</cp:revision>
  <dc:subject/>
  <dc:title>Comments of Enron Corp</dc:title>
</cp:coreProperties>
</file>