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Comments and Cross-Examination (*)</w:t>
      </w:r>
    </w:p>
    <w:p>
      <w:pPr>
        <w:pStyle w:val="Heading"/>
        <w:rPr/>
      </w:pPr>
      <w:r>
        <w:rPr/>
        <w:t xml:space="preserve"> </w:t>
      </w:r>
      <w:r>
        <w:rPr/>
        <w:t>Nick Brown – SPP Vice President</w:t>
      </w:r>
    </w:p>
    <w:p>
      <w:pPr>
        <w:pStyle w:val="Heading"/>
        <w:rPr/>
      </w:pPr>
      <w:r>
        <w:rPr/>
        <w:t>Public Utility Commission of Texas – Market Readiness</w:t>
      </w:r>
    </w:p>
    <w:p>
      <w:pPr>
        <w:pStyle w:val="Heading"/>
        <w:rPr/>
      </w:pPr>
      <w:r>
        <w:rPr/>
        <w:t>October 18, 2001 – Docket 26,468</w:t>
      </w:r>
    </w:p>
    <w:p>
      <w:pPr>
        <w:pStyle w:val="Heading"/>
        <w:rPr/>
      </w:pPr>
      <w:r>
        <w:rPr/>
      </w:r>
    </w:p>
    <w:p>
      <w:pPr>
        <w:pStyle w:val="Heading"/>
        <w:numPr>
          <w:ilvl w:val="0"/>
          <w:numId w:val="1"/>
        </w:numPr>
        <w:jc w:val="start"/>
        <w:rPr>
          <w:b w:val="false"/>
          <w:bCs w:val="false"/>
        </w:rPr>
      </w:pPr>
      <w:r>
        <w:rPr>
          <w:b w:val="false"/>
          <w:bCs w:val="false"/>
        </w:rPr>
        <w:t xml:space="preserve">East Texas asked for clarifications on Page 9 of Mr. Brown’s. Would SPP implement its new settlement systems only for Texas and how long it would take to fine tune systems to accommodate needs of Texas only. SPP, which serves 8 states, has not evaluated how long it would take to implement  the market settlement system on a sub-regional basis. Costs have not been evaluated. System is not finalized and it has to be completed before it is filed to FERC for approval. </w:t>
      </w:r>
    </w:p>
    <w:p>
      <w:pPr>
        <w:pStyle w:val="Heading"/>
        <w:numPr>
          <w:ilvl w:val="0"/>
          <w:numId w:val="1"/>
        </w:numPr>
        <w:jc w:val="start"/>
        <w:rPr>
          <w:b w:val="false"/>
          <w:bCs w:val="false"/>
        </w:rPr>
      </w:pPr>
      <w:r>
        <w:rPr>
          <w:b w:val="false"/>
          <w:bCs w:val="false"/>
        </w:rPr>
        <w:t xml:space="preserve">SPP has a congestion management system today, based on NERC TLR. They stopped development of a market based congestion system, after July 12 Order and following SPP Board decision on July 17. When asked about the differences between the existing SPP congestion management system  and ERCOT system, Brown was not able to explain the similarities and differences; </w:t>
      </w:r>
    </w:p>
    <w:p>
      <w:pPr>
        <w:pStyle w:val="Heading"/>
        <w:numPr>
          <w:ilvl w:val="0"/>
          <w:numId w:val="1"/>
        </w:numPr>
        <w:jc w:val="start"/>
        <w:rPr>
          <w:b w:val="false"/>
          <w:bCs w:val="false"/>
        </w:rPr>
      </w:pPr>
      <w:r>
        <w:rPr>
          <w:b w:val="false"/>
          <w:bCs w:val="false"/>
        </w:rPr>
        <w:t>Clico questioned Brown about TLR procedures. Why not using market forces to alleviate congestion? Brown explained that the TLR procedure is a multi-stage  process, which gives players the possibility of offering a counter-flow transaction to alleviate constraint. Current congestion system assumes that a counter-flow is offered. Otherwise, there is a chance of transaction being denied, if there is not ATC. When LMP is fully implemented, this feature will be available automatically (customers themselves will be able to curtail, based on market signals). Brown asserted that the congestion system being designed is compatible to MISO. He did not know about Alliance;</w:t>
      </w:r>
    </w:p>
    <w:p>
      <w:pPr>
        <w:pStyle w:val="Heading"/>
        <w:numPr>
          <w:ilvl w:val="0"/>
          <w:numId w:val="1"/>
        </w:numPr>
        <w:jc w:val="start"/>
        <w:rPr>
          <w:b w:val="false"/>
          <w:bCs w:val="false"/>
        </w:rPr>
      </w:pPr>
      <w:r>
        <w:rPr>
          <w:b w:val="false"/>
          <w:bCs w:val="false"/>
        </w:rPr>
        <w:t>When asked about the possibility to deliver the new market settlement on November 01, Brown said it is possible; He suggested three more months for implementation and training.. Therefore, he cannot guarantee the entire “package”  to be up and running before January 01, 2002. There may be changes in the OATT and other filings to FERC as well;</w:t>
      </w:r>
    </w:p>
    <w:p>
      <w:pPr>
        <w:pStyle w:val="Heading"/>
        <w:numPr>
          <w:ilvl w:val="0"/>
          <w:numId w:val="1"/>
        </w:numPr>
        <w:jc w:val="start"/>
        <w:rPr>
          <w:b w:val="false"/>
          <w:bCs w:val="false"/>
        </w:rPr>
      </w:pPr>
      <w:r>
        <w:rPr>
          <w:b w:val="false"/>
          <w:bCs w:val="false"/>
        </w:rPr>
        <w:t>Brown explained that the FERC July 12 order has put significant efforts on hold  - e.g. training. To resume those activities he should go back to the SPP Board for consultation. It would be difficult to get Board authorization to roll-out SPP for a small part of its total footprint;</w:t>
      </w:r>
    </w:p>
    <w:p>
      <w:pPr>
        <w:pStyle w:val="Heading"/>
        <w:numPr>
          <w:ilvl w:val="0"/>
          <w:numId w:val="1"/>
        </w:numPr>
        <w:jc w:val="start"/>
        <w:rPr>
          <w:b w:val="false"/>
          <w:bCs w:val="false"/>
        </w:rPr>
      </w:pPr>
      <w:r>
        <w:rPr>
          <w:b w:val="false"/>
          <w:bCs w:val="false"/>
        </w:rPr>
        <w:t>The decision to suspend effort and resources on continued system development was also recommended by FERC, given the fact that SPP had not been recognized as an RTO.</w:t>
      </w:r>
    </w:p>
    <w:p>
      <w:pPr>
        <w:pStyle w:val="Heading"/>
        <w:numPr>
          <w:ilvl w:val="0"/>
          <w:numId w:val="1"/>
        </w:numPr>
        <w:jc w:val="start"/>
        <w:rPr>
          <w:b w:val="false"/>
          <w:bCs w:val="false"/>
        </w:rPr>
      </w:pPr>
      <w:r>
        <w:rPr>
          <w:b w:val="false"/>
          <w:bCs w:val="false"/>
        </w:rPr>
        <w:t>When asked about the ongoing contract with Accenture, Brown explained that the contract was signed prior to the July 12 order. FERC was not explicit in revoking this contract. Therefore, in SPP understanding, it would make sense to continue with this contract (a US$ 5 million/year)</w:t>
      </w:r>
    </w:p>
    <w:p>
      <w:pPr>
        <w:pStyle w:val="Heading"/>
        <w:numPr>
          <w:ilvl w:val="0"/>
          <w:numId w:val="1"/>
        </w:numPr>
        <w:jc w:val="start"/>
        <w:rPr>
          <w:b w:val="false"/>
          <w:bCs w:val="false"/>
        </w:rPr>
      </w:pPr>
      <w:r>
        <w:rPr>
          <w:b w:val="false"/>
          <w:bCs w:val="false"/>
        </w:rPr>
        <w:t>Dynegy mentioned about its difficulties to working with SPP, at the wholesale level. Similar difficulties will likely take place when new REPs start to play in this market</w:t>
      </w:r>
    </w:p>
    <w:p>
      <w:pPr>
        <w:pStyle w:val="Heading"/>
        <w:numPr>
          <w:ilvl w:val="0"/>
          <w:numId w:val="1"/>
        </w:numPr>
        <w:jc w:val="start"/>
        <w:rPr>
          <w:b w:val="false"/>
          <w:bCs w:val="false"/>
        </w:rPr>
      </w:pPr>
      <w:r>
        <w:rPr>
          <w:b w:val="false"/>
          <w:bCs w:val="false"/>
        </w:rPr>
        <w:t>Commission Pearlman asked several questions about SPP critical systems and which ones should, in theory, be up and running as part of Day 1. Brown confirmed the following as the key systems:</w:t>
      </w:r>
    </w:p>
    <w:p>
      <w:pPr>
        <w:pStyle w:val="Heading"/>
        <w:numPr>
          <w:ilvl w:val="2"/>
          <w:numId w:val="1"/>
        </w:numPr>
        <w:jc w:val="start"/>
        <w:rPr>
          <w:b w:val="false"/>
          <w:bCs w:val="false"/>
        </w:rPr>
      </w:pPr>
      <w:r>
        <w:rPr>
          <w:b w:val="false"/>
          <w:bCs w:val="false"/>
        </w:rPr>
        <w:t xml:space="preserve">Congestion Management (based on TLR) </w:t>
      </w:r>
    </w:p>
    <w:p>
      <w:pPr>
        <w:pStyle w:val="Heading"/>
        <w:numPr>
          <w:ilvl w:val="2"/>
          <w:numId w:val="1"/>
        </w:numPr>
        <w:jc w:val="start"/>
        <w:rPr>
          <w:b w:val="false"/>
          <w:bCs w:val="false"/>
        </w:rPr>
      </w:pPr>
      <w:r>
        <w:rPr>
          <w:b w:val="false"/>
          <w:bCs w:val="false"/>
        </w:rPr>
        <w:t xml:space="preserve">Reconciliation/Settlement </w:t>
      </w:r>
    </w:p>
    <w:p>
      <w:pPr>
        <w:pStyle w:val="Heading"/>
        <w:numPr>
          <w:ilvl w:val="2"/>
          <w:numId w:val="1"/>
        </w:numPr>
        <w:jc w:val="start"/>
        <w:rPr>
          <w:b w:val="false"/>
          <w:bCs w:val="false"/>
        </w:rPr>
      </w:pPr>
      <w:r>
        <w:rPr>
          <w:b w:val="false"/>
          <w:bCs w:val="false"/>
        </w:rPr>
        <w:t>Market Monitoring</w:t>
      </w:r>
    </w:p>
    <w:p>
      <w:pPr>
        <w:pStyle w:val="Heading"/>
        <w:numPr>
          <w:ilvl w:val="2"/>
          <w:numId w:val="1"/>
        </w:numPr>
        <w:jc w:val="start"/>
        <w:rPr>
          <w:b w:val="false"/>
          <w:bCs w:val="false"/>
        </w:rPr>
      </w:pPr>
      <w:r>
        <w:rPr>
          <w:b w:val="false"/>
          <w:bCs w:val="false"/>
        </w:rPr>
        <w:t>Energy Balancing</w:t>
      </w:r>
    </w:p>
    <w:p>
      <w:pPr>
        <w:pStyle w:val="Heading"/>
        <w:numPr>
          <w:ilvl w:val="0"/>
          <w:numId w:val="1"/>
        </w:numPr>
        <w:jc w:val="start"/>
        <w:rPr>
          <w:b w:val="false"/>
          <w:bCs w:val="false"/>
        </w:rPr>
      </w:pPr>
      <w:r>
        <w:rPr>
          <w:b w:val="false"/>
          <w:bCs w:val="false"/>
        </w:rPr>
        <w:t>Development efforts for Congestion Management and implementation efforts for the Reconciliation/Settlement system (Reconciliation/Settlement) stopped in July. Currently there is not a single clearing house, assumed to be one of the key functions of the RTO: contracts are settled bilaterally.</w:t>
      </w:r>
    </w:p>
    <w:p>
      <w:pPr>
        <w:pStyle w:val="Heading"/>
        <w:numPr>
          <w:ilvl w:val="0"/>
          <w:numId w:val="1"/>
        </w:numPr>
        <w:jc w:val="start"/>
        <w:rPr>
          <w:b w:val="false"/>
          <w:bCs w:val="false"/>
        </w:rPr>
      </w:pPr>
      <w:r>
        <w:rPr>
          <w:b w:val="false"/>
          <w:bCs w:val="false"/>
        </w:rPr>
        <w:t xml:space="preserve"> </w:t>
      </w:r>
      <w:r>
        <w:rPr>
          <w:b w:val="false"/>
          <w:bCs w:val="false"/>
        </w:rPr>
        <w:t>Implementation of Energy Balancing is just a matter of timing and training of people involved. Brown confirmed that SPP could potentially have the systems in place for market settlement, with or without an RTO;</w:t>
      </w:r>
    </w:p>
    <w:p>
      <w:pPr>
        <w:pStyle w:val="Heading"/>
        <w:numPr>
          <w:ilvl w:val="0"/>
          <w:numId w:val="1"/>
        </w:numPr>
        <w:jc w:val="start"/>
        <w:rPr>
          <w:b w:val="false"/>
          <w:bCs w:val="false"/>
        </w:rPr>
      </w:pPr>
      <w:r>
        <w:rPr>
          <w:b w:val="false"/>
          <w:bCs w:val="false"/>
        </w:rPr>
        <w:t>There seems to be a plan to be submitted to the SPP Board in mid-December, seeking approval to continue development of those critical systems;</w:t>
      </w:r>
    </w:p>
    <w:p>
      <w:pPr>
        <w:pStyle w:val="Heading"/>
        <w:numPr>
          <w:ilvl w:val="0"/>
          <w:numId w:val="1"/>
        </w:numPr>
        <w:jc w:val="start"/>
        <w:rPr>
          <w:b w:val="false"/>
          <w:bCs w:val="false"/>
        </w:rPr>
      </w:pPr>
      <w:r>
        <w:rPr>
          <w:b w:val="false"/>
          <w:bCs w:val="false"/>
        </w:rPr>
        <w:t>As far as market monitoring is concerned, there is an idea to contract and external entity to play this role. This entity would overlook MISO, Alliance and SPP regions.</w:t>
      </w:r>
    </w:p>
    <w:p>
      <w:pPr>
        <w:pStyle w:val="Heading"/>
        <w:numPr>
          <w:ilvl w:val="0"/>
          <w:numId w:val="1"/>
        </w:numPr>
        <w:jc w:val="start"/>
        <w:rPr>
          <w:b w:val="false"/>
          <w:bCs w:val="false"/>
        </w:rPr>
      </w:pPr>
      <w:r>
        <w:rPr>
          <w:b w:val="false"/>
          <w:bCs w:val="false"/>
        </w:rPr>
        <w:t>When asked about what other systems and processes should FERC require, Brown mentioned Order 336 on Tariffs. In his view, there is nothing regarding this matter that may precludes implementation. SPP will follow its path regardless of what ERCOT is doing. SPP feels they are almost ready to support REPs and therefore retail competition. It is only a question of the Board to approve next steps. (in terms of 336 tariff filing?). He does not know if the Board is going to approve</w:t>
      </w:r>
    </w:p>
    <w:p>
      <w:pPr>
        <w:pStyle w:val="Heading"/>
        <w:numPr>
          <w:ilvl w:val="0"/>
          <w:numId w:val="1"/>
        </w:numPr>
        <w:jc w:val="start"/>
        <w:rPr>
          <w:b w:val="false"/>
          <w:bCs w:val="false"/>
        </w:rPr>
      </w:pPr>
      <w:r>
        <w:rPr>
          <w:b w:val="false"/>
          <w:bCs w:val="false"/>
        </w:rPr>
        <w:t>When asked about SPP transmission cost, Brown asserted that 80% of those are recovered via transmission tariffs (20 cents/MWh). Costs not recovered (e.g. transition) are split on a shared basis</w:t>
      </w:r>
    </w:p>
    <w:p>
      <w:pPr>
        <w:pStyle w:val="Heading"/>
        <w:numPr>
          <w:ilvl w:val="0"/>
          <w:numId w:val="1"/>
        </w:numPr>
        <w:jc w:val="start"/>
        <w:rPr>
          <w:b w:val="false"/>
          <w:bCs w:val="false"/>
        </w:rPr>
      </w:pPr>
      <w:r>
        <w:rPr>
          <w:b w:val="false"/>
          <w:bCs w:val="false"/>
        </w:rPr>
        <w:t>Entergy confirmed that it trades power within SPP. Its participation in the retail competition would depend on the risk and economics. They were not happy with existing provisions related to 336; some provisions (e.g. ancillary services) have to be implemented</w:t>
      </w:r>
    </w:p>
    <w:p>
      <w:pPr>
        <w:pStyle w:val="Heading"/>
        <w:numPr>
          <w:ilvl w:val="0"/>
          <w:numId w:val="1"/>
        </w:numPr>
        <w:jc w:val="start"/>
        <w:rPr>
          <w:b w:val="false"/>
          <w:bCs w:val="false"/>
        </w:rPr>
      </w:pPr>
      <w:r>
        <w:rPr>
          <w:b w:val="false"/>
          <w:bCs w:val="false"/>
        </w:rPr>
        <w:t>Enron asserted there is enough wholesale competition today to launch retail competition. Enron suggested a few modifications to the existing process to accommodate retail competition on an interim basis. Brown disagreed with Enron’s recommendation to simplify the system analysis studies in cases that the load is already connected. In an offline conversation, Nick suggested that some existing Transmission owners and areas do not meet basic technical standards; therefore, he could not waive system analysis, even for existing loads.</w:t>
      </w:r>
    </w:p>
    <w:p>
      <w:pPr>
        <w:pStyle w:val="Heading"/>
        <w:numPr>
          <w:ilvl w:val="0"/>
          <w:numId w:val="1"/>
        </w:numPr>
        <w:jc w:val="start"/>
        <w:rPr>
          <w:b w:val="false"/>
          <w:bCs w:val="false"/>
        </w:rPr>
      </w:pPr>
      <w:r>
        <w:rPr>
          <w:b w:val="false"/>
          <w:bCs w:val="false"/>
        </w:rPr>
        <w:t>When Enron used the Com-Ed Duquesne simplified process as a good example for simplicity, Brown asserted that SPP is more complex, has 13 different transmission systems and he could not waive impact studies;</w:t>
      </w:r>
    </w:p>
    <w:p>
      <w:pPr>
        <w:pStyle w:val="Heading"/>
        <w:numPr>
          <w:ilvl w:val="0"/>
          <w:numId w:val="1"/>
        </w:numPr>
        <w:jc w:val="start"/>
        <w:rPr>
          <w:b w:val="false"/>
          <w:bCs w:val="false"/>
        </w:rPr>
      </w:pPr>
      <w:r>
        <w:rPr>
          <w:b w:val="false"/>
          <w:bCs w:val="false"/>
        </w:rPr>
        <w:t>In his remarks, Brown conveyed the impression that SPP itself should not be seen as a bottleneck for retail competition. FERCs refusal to give SPP an RTO status together with July 12 order have paralyzed the development of the pricing, congestion and settlement systems, which are essential to support retail competition. Brow is skeptical that the SPP Board is going to authorize an ad-hoc treatment and additional resources to comply with Texas requirements. However, he emphasized that the organization is “almost” ready to get there.</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i/>
          <w:i/>
          <w:iCs/>
        </w:rPr>
      </w:pPr>
      <w:r>
        <w:rPr>
          <w:b w:val="false"/>
          <w:bCs w:val="false"/>
          <w:i/>
          <w:iCs/>
        </w:rPr>
        <w:t>(*) His written Direct Testimony was files on October 12, 2001</w:t>
      </w:r>
    </w:p>
    <w:p>
      <w:pPr>
        <w:pStyle w:val="Heading"/>
        <w:jc w:val="start"/>
        <w:rPr>
          <w:b w:val="false"/>
          <w:bCs w:val="false"/>
          <w:i/>
          <w:i/>
          <w:iCs/>
        </w:rPr>
      </w:pPr>
      <w:r>
        <w:rPr>
          <w:b w:val="false"/>
          <w:bCs w:val="false"/>
          <w:i/>
          <w:iCs/>
        </w:rPr>
      </w:r>
    </w:p>
    <w:p>
      <w:pPr>
        <w:pStyle w:val="Normal"/>
        <w:jc w:val="center"/>
        <w:rPr>
          <w:b/>
          <w:bCs/>
        </w:rPr>
      </w:pPr>
      <w:r>
        <w:rPr>
          <w:b/>
          <w:bCs/>
        </w:rPr>
      </w:r>
    </w:p>
    <w:p>
      <w:pPr>
        <w:pStyle w:val="Normal"/>
        <w:jc w:val="center"/>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1080"/>
        </w:tabs>
        <w:ind w:start="1080" w:hanging="720"/>
      </w:pPr>
      <w:rPr>
        <w:rFonts w:ascii="Symbol" w:hAnsi="Symbol" w:cs="Symbol" w:hint="default"/>
        <w:b/>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eastAsia="Times New Roman" w:cs="Times New Roman"/>
      <w:b/>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2001-10-19T18:42:00Z</dcterms:created>
  <dc:creator>lmaurer</dc:creator>
  <dc:description/>
  <dc:language>en-CA</dc:language>
  <cp:lastModifiedBy>lmaurer</cp:lastModifiedBy>
  <dcterms:modified xsi:type="dcterms:W3CDTF">2001-10-22T18:53:00Z</dcterms:modified>
  <cp:revision>11</cp:revision>
  <dc:subject/>
  <dc:title>Comments from Nick Brown – SPP Vice President</dc:title>
</cp:coreProperties>
</file>