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headerReference w:type="default" r:id="rId2"/>
          <w:headerReference w:type="first" r:id="rId3"/>
          <w:footerReference w:type="default" r:id="rId4"/>
          <w:footerReference w:type="first" r:id="rId5"/>
          <w:type w:val="nextPage"/>
          <w:pgSz w:w="12240" w:h="15840"/>
          <w:pgMar w:left="1440" w:right="1440" w:gutter="0" w:header="720" w:top="1440" w:footer="576" w:bottom="1008"/>
          <w:pgNumType w:start="1" w:fmt="decimal"/>
          <w:formProt w:val="false"/>
          <w:titlePg/>
          <w:textDirection w:val="lrTb"/>
          <w:docGrid w:type="default" w:linePitch="360" w:charSpace="0"/>
        </w:sectPr>
        <w:pStyle w:val="Normal"/>
        <w:spacing w:lineRule="exact" w:line="249"/>
        <w:rPr/>
      </w:pPr>
      <w:r>
        <w:rPr/>
        <w:t>Please do not delete the below “end of section” break.</w:t>
      </w:r>
    </w:p>
    <w:p>
      <w:pPr>
        <w:pStyle w:val="Normal"/>
        <w:jc w:val="center"/>
        <w:rPr/>
      </w:pPr>
      <w:r>
        <w:rPr/>
        <w:t>BEFORE THE PUBLIC UTILITIES COMMISSION</w:t>
      </w:r>
    </w:p>
    <w:p>
      <w:pPr>
        <w:pStyle w:val="Normal"/>
        <w:jc w:val="center"/>
        <w:rPr/>
      </w:pPr>
      <w:r>
        <w:rPr/>
        <w:t>OF THE STATE OF CALIFORNIA</w:t>
      </w:r>
    </w:p>
    <w:p>
      <w:pPr>
        <w:pStyle w:val="Normal"/>
        <w:tabs>
          <w:tab w:val="clear" w:pos="720"/>
          <w:tab w:val="left" w:pos="4410" w:leader="none"/>
        </w:tabs>
        <w:rPr/>
      </w:pPr>
      <w:r>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auto"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before="180" w:after="0"/>
              <w:rPr/>
            </w:pPr>
            <w:r>
              <w:rPr/>
              <w:tab/>
              <w:t>U 39-G</w:t>
            </w:r>
          </w:p>
          <w:p>
            <w:pPr>
              <w:pStyle w:val="Normal"/>
              <w:tabs>
                <w:tab w:val="clear" w:pos="720"/>
                <w:tab w:val="left" w:pos="4410" w:leader="none"/>
              </w:tabs>
              <w:rPr/>
            </w:pPr>
            <w:r>
              <w:rPr/>
            </w:r>
          </w:p>
        </w:tc>
        <w:tc>
          <w:tcPr>
            <w:tcW w:w="270" w:type="dxa"/>
            <w:tcBorders/>
          </w:tcPr>
          <w:p>
            <w:pPr>
              <w:pStyle w:val="Normal"/>
              <w:tabs>
                <w:tab w:val="clear" w:pos="720"/>
                <w:tab w:val="left" w:pos="4410" w:leader="none"/>
              </w:tabs>
              <w:snapToGrid w:val="false"/>
              <w:rPr/>
            </w:pPr>
            <w:r>
              <w:rPr/>
            </w:r>
          </w:p>
        </w:tc>
        <w:tc>
          <w:tcPr>
            <w:tcW w:w="3528" w:type="dxa"/>
            <w:tcBorders/>
          </w:tcPr>
          <w:p>
            <w:pPr>
              <w:pStyle w:val="Normal"/>
              <w:tabs>
                <w:tab w:val="clear" w:pos="720"/>
                <w:tab w:val="left" w:pos="4410" w:leader="none"/>
              </w:tabs>
              <w:snapToGrid w:val="false"/>
              <w:rPr/>
            </w:pPr>
            <w:r>
              <w:rPr/>
            </w:r>
          </w:p>
          <w:p>
            <w:pPr>
              <w:pStyle w:val="Normal"/>
              <w:tabs>
                <w:tab w:val="clear" w:pos="720"/>
                <w:tab w:val="left" w:pos="4410" w:leader="none"/>
              </w:tabs>
              <w:rPr/>
            </w:pPr>
            <w:r>
              <w:rPr/>
            </w:r>
          </w:p>
          <w:p>
            <w:pPr>
              <w:pStyle w:val="Normal"/>
              <w:tabs>
                <w:tab w:val="clear" w:pos="720"/>
                <w:tab w:val="left" w:pos="4410" w:leader="none"/>
              </w:tabs>
              <w:rPr/>
            </w:pPr>
            <w:r>
              <w:rPr/>
              <w:t>I.99-07-003</w:t>
            </w:r>
          </w:p>
          <w:p>
            <w:pPr>
              <w:pStyle w:val="Normal"/>
              <w:tabs>
                <w:tab w:val="clear" w:pos="720"/>
                <w:tab w:val="left" w:pos="4410" w:leader="none"/>
              </w:tabs>
              <w:rPr/>
            </w:pPr>
            <w:r>
              <w:rPr/>
              <w:t>(Filed July 8, 1999)</w:t>
            </w:r>
          </w:p>
        </w:tc>
      </w:tr>
    </w:tbl>
    <w:p>
      <w:pPr>
        <w:pStyle w:val="Normal"/>
        <w:spacing w:lineRule="auto" w:line="240"/>
        <w:jc w:val="center"/>
        <w:rPr>
          <w:b/>
        </w:rPr>
      </w:pPr>
      <w:r>
        <w:rPr>
          <w:b/>
        </w:rPr>
      </w:r>
    </w:p>
    <w:p>
      <w:pPr>
        <w:pStyle w:val="Normal"/>
        <w:spacing w:lineRule="auto" w:line="240" w:before="160" w:after="0"/>
        <w:jc w:val="center"/>
        <w:rPr>
          <w:b/>
        </w:rPr>
      </w:pPr>
      <w:r>
        <w:rPr>
          <w:b/>
        </w:rPr>
        <w:t xml:space="preserve">COMMENTS OF </w:t>
      </w:r>
    </w:p>
    <w:p>
      <w:pPr>
        <w:pStyle w:val="Normal"/>
        <w:spacing w:lineRule="auto" w:line="240"/>
        <w:jc w:val="center"/>
        <w:rPr>
          <w:b/>
        </w:rPr>
      </w:pPr>
      <w:r>
        <w:rPr>
          <w:b/>
        </w:rPr>
        <w:t xml:space="preserve">SETTLEMENT PARTIES SUPPORTING </w:t>
      </w:r>
    </w:p>
    <w:p>
      <w:pPr>
        <w:pStyle w:val="Normal"/>
        <w:spacing w:lineRule="auto" w:line="240"/>
        <w:jc w:val="center"/>
        <w:rPr>
          <w:b/>
        </w:rPr>
      </w:pPr>
      <w:r>
        <w:rPr>
          <w:b/>
        </w:rPr>
        <w:t>OPERATIONAL FLOW ORDER (OFO) SETTLEMENT AGREEMENT</w:t>
      </w:r>
    </w:p>
    <w:p>
      <w:pPr>
        <w:pStyle w:val="BodyText"/>
        <w:spacing w:before="160" w:after="0"/>
        <w:rPr/>
      </w:pPr>
      <w:r>
        <w:rPr/>
        <w:t>Pursuant to Rule 51 of the California Public Utilities Commission’s (“Commission”) Rules of Practice and Procedure and to the directive of Presiding Administrative Law Judge (“ALJ”) Biren at the October 27, 1999, prehearing conference (“PHC”) in this proceeding, the undersigned parties (“Settlement Parties”)</w:t>
      </w:r>
      <w:r>
        <w:rPr>
          <w:rStyle w:val="FootnoteCharacters"/>
          <w:rStyle w:val="FootnoteReference"/>
        </w:rPr>
        <w:footnoteReference w:id="2"/>
      </w:r>
      <w:r>
        <w:rPr/>
        <w:t xml:space="preserve"> submit these comments (“Comments”) on the Operational Flow Order (OFO) Settlement Agreement filed by the Settlement Parties on October 22, 1999 (“Settlement”).</w:t>
      </w:r>
      <w:r>
        <w:rPr>
          <w:rStyle w:val="FootnoteCharacters"/>
          <w:rStyle w:val="FootnoteReference"/>
        </w:rPr>
        <w:footnoteReference w:id="3"/>
      </w:r>
      <w:r>
        <w:rPr/>
        <w:t xml:space="preserve">  The Settlement Parties request that the Commission expeditiously adopt the Settlement without modification.</w:t>
      </w:r>
    </w:p>
    <w:p>
      <w:pPr>
        <w:pStyle w:val="BodyText"/>
        <w:rPr/>
      </w:pPr>
      <w:r>
        <w:rPr/>
        <w:t>At the PHC, ALJ Biren stated that parties should file declarations setting forth why the Settlement is in the public interest.</w:t>
      </w:r>
      <w:r>
        <w:rPr>
          <w:rStyle w:val="FootnoteCharacters"/>
          <w:rStyle w:val="FootnoteReference"/>
        </w:rPr>
        <w:footnoteReference w:id="4"/>
      </w:r>
      <w:r>
        <w:rPr/>
        <w:t xml:space="preserve">  ALJ Biren also stated that parties should address whether the Settlement changed the Gas Accord, whether hearings were necessary, and whether the Settlement should be approved as an interim, as opposed, to a final, settlement.</w:t>
      </w:r>
      <w:r>
        <w:rPr>
          <w:rStyle w:val="FootnoteCharacters"/>
          <w:rStyle w:val="FootnoteReference"/>
        </w:rPr>
        <w:footnoteReference w:id="5"/>
      </w:r>
      <w:r>
        <w:rPr/>
        <w:t xml:space="preserve">  These Comments support a Commission decision that:  (1) the Settlement is in the public interest; (2) the Settlement does not substantively change PG&amp;E’s Gas Accord Settlement; (3) no hearings proceedings are necessary; (4) neither SB 1602 nor AB 1421 impact any Commission decision on the Settlement; and (5) the Settlement should be approved as a final settlement consistent with its terms.</w:t>
      </w:r>
    </w:p>
    <w:p>
      <w:pPr>
        <w:pStyle w:val="Heading1"/>
        <w:numPr>
          <w:ilvl w:val="0"/>
          <w:numId w:val="2"/>
        </w:numPr>
        <w:spacing w:before="480" w:after="0"/>
        <w:rPr/>
      </w:pPr>
      <w:r>
        <w:rPr/>
        <w:t>THE COMMISSION SHOULD EXPEDITIOUSLY AUTHORIZE THE SETTLEMENT WITHOUT MODIFICATION OR FURTHER PROCEEDINGS</w:t>
      </w:r>
    </w:p>
    <w:p>
      <w:pPr>
        <w:pStyle w:val="Heading2"/>
        <w:numPr>
          <w:ilvl w:val="1"/>
          <w:numId w:val="2"/>
        </w:numPr>
        <w:rPr/>
      </w:pPr>
      <w:r>
        <w:rPr/>
        <w:t xml:space="preserve">The Settlement Is In The Public Interest </w:t>
      </w:r>
    </w:p>
    <w:p>
      <w:pPr>
        <w:pStyle w:val="BodyText"/>
        <w:rPr/>
      </w:pPr>
      <w:r>
        <w:rPr/>
        <w:t>Rule 51.1(e) requires the Commission to find that any settlement is in the public interest.  The Settlement, which adopts certain implementation improvements to PG&amp;E’s existing natural gas structure, is unequivocally in the public interest.  As set forth in the October 22, 1999, Joint Motion Requesting Adoption of Settlement of Operational Flow Order Protocol on Pacific Gas and Electric Company’s Gas System (“Joint Motion”) and the attached declaration of Daniel F. Thomas (“Declaration” attached hereto as Exhibit A), PG&amp;E shippers have expressed concern with the frequency of OFOs and the difficulty they experience in predicting when OFOs will be called.  Some shippers have asserted that they must often take costly steps to correct imbalances and/or that OFOs impact the market prices for gas commodity.  A number of parties indicated a desire for more and better information about the status of PG&amp;E’s system to allow them to predict more intelligently when and why system conditions are likely to lead to PG&amp;E issuing an OFO.</w:t>
      </w:r>
      <w:r>
        <w:rPr>
          <w:rStyle w:val="FootnoteCharacters"/>
          <w:rStyle w:val="FootnoteReference"/>
        </w:rPr>
        <w:footnoteReference w:id="6"/>
      </w:r>
      <w:r>
        <w:rPr/>
        <w:t xml:space="preserve"> </w:t>
      </w:r>
    </w:p>
    <w:p>
      <w:pPr>
        <w:pStyle w:val="BodyText"/>
        <w:rPr/>
      </w:pPr>
      <w:r>
        <w:rPr/>
        <w:t>As a result, the Settlement Parties entered the Settlement which, as pointed out in the Joint Motion and in the Declaration, will improve the transparency of operations, provide proper signals to shippers, and resolve disputed issues without litigation.  Moreover, the Settlement should reduce OFOs which can lead to penalties.  The Settlement is the result of many months of discussion and represents a broad</w:t>
        <w:noBreakHyphen/>
        <w:t>based consensus approach to an operational issue of concern to the market.  It is the product of those most knowledgeable about the issue.</w:t>
      </w:r>
      <w:r>
        <w:rPr>
          <w:rStyle w:val="FootnoteCharacters"/>
          <w:rStyle w:val="FootnoteReference"/>
        </w:rPr>
        <w:footnoteReference w:id="7"/>
      </w:r>
      <w:r>
        <w:rPr/>
        <w:t xml:space="preserve"> </w:t>
      </w:r>
    </w:p>
    <w:p>
      <w:pPr>
        <w:pStyle w:val="Heading2"/>
        <w:numPr>
          <w:ilvl w:val="1"/>
          <w:numId w:val="2"/>
        </w:numPr>
        <w:ind w:start="1440" w:end="1015"/>
        <w:rPr/>
      </w:pPr>
      <w:r>
        <w:rPr/>
        <w:t>The Settlement Does Not Substantively Change the Gas Accord</w:t>
      </w:r>
    </w:p>
    <w:p>
      <w:pPr>
        <w:pStyle w:val="BodyText"/>
        <w:rPr/>
      </w:pPr>
      <w:r>
        <w:rPr/>
        <w:t>As stated in the Settlement, the Gas Accord made substantial modifications to PG&amp;E’s natural gas system and operations, including the introduction of OFOs.</w:t>
      </w:r>
      <w:r>
        <w:rPr>
          <w:rStyle w:val="FootnoteCharacters"/>
          <w:rStyle w:val="FootnoteReference"/>
        </w:rPr>
        <w:footnoteReference w:id="8"/>
      </w:r>
      <w:r>
        <w:rPr/>
        <w:t xml:space="preserve">  The Settlement does not change the basic principles or structure of the Gas Accord; rather, it addresses implementation improvements to the balancing and OFO procedures adopted in the Gas Accord.  As stated by the Settlement Parties:</w:t>
      </w:r>
    </w:p>
    <w:p>
      <w:pPr>
        <w:pStyle w:val="indentquote"/>
        <w:rPr/>
      </w:pPr>
      <w:r>
        <w:rPr/>
      </w:r>
    </w:p>
    <w:p>
      <w:pPr>
        <w:pStyle w:val="indentquote"/>
        <w:rPr/>
      </w:pPr>
      <w:r>
        <w:rPr/>
      </w:r>
    </w:p>
    <w:p>
      <w:pPr>
        <w:pStyle w:val="indentquote"/>
        <w:rPr/>
      </w:pPr>
      <w:r>
        <w:rPr/>
        <w:t>This Agreement does not change the basic principles and structure of the Gas Accord as agreed to by the settling parties to the Gas Accord and as approved by the Commission in Decision 97</w:t>
        <w:noBreakHyphen/>
        <w:t>08</w:t>
        <w:noBreakHyphen/>
        <w:t>055.  The operating guideline and gas tariff changes included within this Agreement, and made a part hereof, are intended to modify certain limited implementation parameters of the Gas Accord, and the Settlement Parties agree that such revisions are within the original bounds of the Gas Accord structure.</w:t>
      </w:r>
      <w:r>
        <w:rPr>
          <w:rStyle w:val="FootnoteCharacters"/>
          <w:rStyle w:val="FootnoteReference"/>
        </w:rPr>
        <w:footnoteReference w:id="9"/>
      </w:r>
      <w:r>
        <w:rPr/>
        <w:t xml:space="preserve"> </w:t>
      </w:r>
    </w:p>
    <w:p>
      <w:pPr>
        <w:pStyle w:val="BodyText"/>
        <w:rPr/>
      </w:pPr>
      <w:r>
        <w:rPr/>
        <w:t>A detailed comparison of the provisions of the Gas Accord and the Settlement is attached hereto as Exhibit B.  As more fully set forth in Exhibit B, none of the substantive terms of the Gas Accord are changed by the Settlement.  Rather, the Settlement refines the basic OFO protocol adopted by the Gas Accord in light of practical experience.</w:t>
      </w:r>
    </w:p>
    <w:p>
      <w:pPr>
        <w:pStyle w:val="Heading2"/>
        <w:numPr>
          <w:ilvl w:val="1"/>
          <w:numId w:val="2"/>
        </w:numPr>
        <w:spacing w:before="360" w:after="0"/>
        <w:rPr/>
      </w:pPr>
      <w:r>
        <w:rPr/>
        <w:t>No Further Proceedings Are Necessary For The Commission To Adopt The Settlement</w:t>
      </w:r>
    </w:p>
    <w:p>
      <w:pPr>
        <w:pStyle w:val="BodyText"/>
        <w:rPr/>
      </w:pPr>
      <w:r>
        <w:rPr/>
        <w:t>The Joint Motion, the Settlement, these Comments and the Declaration provide sufficient evidence for the Commission to find that the Settlement is in the public interest without the need for any further proceeding.</w:t>
      </w:r>
      <w:r>
        <w:rPr>
          <w:rStyle w:val="FootnoteCharacters"/>
          <w:rStyle w:val="FootnoteReference"/>
        </w:rPr>
        <w:footnoteReference w:id="10"/>
      </w:r>
      <w:r>
        <w:rPr/>
        <w:t xml:space="preserve"> </w:t>
      </w:r>
    </w:p>
    <w:p>
      <w:pPr>
        <w:pStyle w:val="BodyText"/>
        <w:rPr/>
      </w:pPr>
      <w:r>
        <w:rPr/>
        <w:t>Further, neither SB 1602 nor AB 1421 impact Commission consideration and approval of the Settlement.  SB 1602, codified as California Public Utilities Code §  328, prohibits the Commission from enacting any gas industry restructuring decisions prior to January 1, 2000.  That provision will be replaced on January 1, 2000 by the provisions of AB 1421, which will modify § 328 and add § 328.1</w:t>
        <w:noBreakHyphen/>
        <w:t>2, addressing utility service to natural gas customers.</w:t>
      </w:r>
    </w:p>
    <w:p>
      <w:pPr>
        <w:pStyle w:val="BodyText"/>
        <w:rPr/>
      </w:pPr>
      <w:r>
        <w:rPr/>
        <w:t>The Settlement is intended to resolve specific operating issues and cannot reasonably be considered a “restructuring” of the California gas industry with respect to core customers.</w:t>
      </w:r>
      <w:r>
        <w:rPr>
          <w:rStyle w:val="FootnoteCharacters"/>
          <w:rStyle w:val="FootnoteReference"/>
        </w:rPr>
        <w:footnoteReference w:id="11"/>
      </w:r>
      <w:r>
        <w:rPr/>
        <w:t xml:space="preserve">  Further, it is supported by several parties representing core customer interests.</w:t>
      </w:r>
    </w:p>
    <w:p>
      <w:pPr>
        <w:pStyle w:val="BodyText"/>
        <w:rPr/>
      </w:pPr>
      <w:r>
        <w:rPr/>
        <w:t>AB 1421 addresses the various issues connected with utility gas service to core customers, including metering, billing, and default service.  Nothing in the Settlement will impact any of the matters listed in that legislation.  Thus, neither bill impacts any Commission action on the Settlement.</w:t>
      </w:r>
    </w:p>
    <w:p>
      <w:pPr>
        <w:pStyle w:val="Heading1"/>
        <w:numPr>
          <w:ilvl w:val="0"/>
          <w:numId w:val="2"/>
        </w:numPr>
        <w:spacing w:before="480" w:after="0"/>
        <w:rPr/>
      </w:pPr>
      <w:r>
        <w:rPr/>
        <w:t>the Settlement SHOULD BE APPROVED AS A FINAL SETTLEMENT in accordance with ITS termS</w:t>
      </w:r>
    </w:p>
    <w:p>
      <w:pPr>
        <w:pStyle w:val="BodyText"/>
        <w:rPr/>
      </w:pPr>
      <w:r>
        <w:rPr/>
        <w:t>The Settlement is intended to be a “final” settlement, with a term extending through December 31, 2002.  However, in recognition of the ongoing settlement efforts regarding further promising options in this proceeding, the Settlement recognizes the possibility that “new settlements may result in modification to some of the provisions contained in this Agreement.”</w:t>
      </w:r>
      <w:r>
        <w:rPr>
          <w:rStyle w:val="FootnoteCharacters"/>
          <w:rStyle w:val="FootnoteReference"/>
        </w:rPr>
        <w:footnoteReference w:id="12"/>
      </w:r>
      <w:r>
        <w:rPr/>
        <w:t xml:space="preserve">  Additionally, the Settlement provides for the creation of a Gas OFO Forum to monitor the effectiveness of the Settlement in reducing OFOs and to address on an ongoing basis improvements and/or modifications to PG&amp;E’s balancing and OFO procedures.</w:t>
      </w:r>
      <w:r>
        <w:rPr>
          <w:rStyle w:val="FootnoteCharacters"/>
          <w:rStyle w:val="FootnoteReference"/>
        </w:rPr>
        <w:footnoteReference w:id="13"/>
      </w:r>
      <w:r>
        <w:rPr/>
        <w:t xml:space="preserve"> </w:t>
      </w:r>
    </w:p>
    <w:p>
      <w:pPr>
        <w:pStyle w:val="BodyText"/>
        <w:rPr/>
      </w:pPr>
      <w:r>
        <w:rPr/>
        <w:t>Due to the interconnected nature of OFO management and pending potential settlement of other issues, the Settlement Parties believe it would be unrealistic to preclude any modification, however minor, of any term of the Settlement.  However, the Settlement Parties respectfully request that the Commission approve the Settlement as written and consider modifications to the Settlement only if further settlements or Commission decision compel such a result.</w:t>
      </w:r>
    </w:p>
    <w:p>
      <w:pPr>
        <w:pStyle w:val="BodyText"/>
        <w:ind w:hanging="0" w:end="0"/>
        <w:rPr/>
      </w:pPr>
      <w:r>
        <w:rPr/>
        <w:t>///</w:t>
      </w:r>
    </w:p>
    <w:p>
      <w:pPr>
        <w:pStyle w:val="BodyText"/>
        <w:ind w:hanging="0" w:end="0"/>
        <w:rPr/>
      </w:pPr>
      <w:r>
        <w:rPr/>
        <w:t>///</w:t>
      </w:r>
    </w:p>
    <w:p>
      <w:pPr>
        <w:pStyle w:val="Heading1"/>
        <w:numPr>
          <w:ilvl w:val="0"/>
          <w:numId w:val="2"/>
        </w:numPr>
        <w:rPr/>
      </w:pPr>
      <w:r>
        <w:rPr/>
        <w:t>Conclusion</w:t>
      </w:r>
    </w:p>
    <w:p>
      <w:pPr>
        <w:pStyle w:val="BodyText"/>
        <w:rPr/>
      </w:pPr>
      <w:r>
        <w:rPr/>
        <w:t>WHEREFORE, for the reasons set forth above and in the attached Declaration of Daniel F. Thomas, the Settlement Parties urge the Commission to expeditiously approve the Settlement as a final settlement of the issues resolved therein.</w:t>
      </w:r>
      <w:r>
        <w:rPr>
          <w:rStyle w:val="FootnoteCharacters"/>
          <w:rStyle w:val="FootnoteReference"/>
        </w:rPr>
        <w:footnoteReference w:id="14"/>
      </w:r>
      <w:r>
        <w:rPr/>
        <w:t xml:space="preserve"> </w:t>
      </w:r>
    </w:p>
    <w:p>
      <w:pPr>
        <w:pStyle w:val="Normal"/>
        <w:keepNext w:val="true"/>
        <w:ind w:start="4320" w:end="0"/>
        <w:rPr/>
      </w:pPr>
      <w:r>
        <w:rPr/>
      </w:r>
    </w:p>
    <w:p>
      <w:pPr>
        <w:pStyle w:val="Normal"/>
        <w:keepNext w:val="true"/>
        <w:rPr/>
      </w:pPr>
      <w:r>
        <w:rPr/>
      </w:r>
    </w:p>
    <w:p>
      <w:pPr>
        <w:pStyle w:val="Normal"/>
        <w:keepNext w:val="true"/>
        <w:rPr/>
      </w:pPr>
      <w:r>
        <w:rPr/>
        <w:t>Respectfully submitted,</w:t>
      </w:r>
    </w:p>
    <w:p>
      <w:pPr>
        <w:pStyle w:val="Normal"/>
        <w:keepNext w:val="true"/>
        <w:rPr/>
      </w:pPr>
      <w:r>
        <w:rPr/>
      </w:r>
    </w:p>
    <w:p>
      <w:pPr>
        <w:pStyle w:val="Normal"/>
        <w:keepNext w:val="true"/>
        <w:rPr/>
      </w:pPr>
      <w:r>
        <w:rPr/>
      </w:r>
    </w:p>
    <w:tbl>
      <w:tblPr>
        <w:tblW w:w="9738" w:type="dxa"/>
        <w:jc w:val="start"/>
        <w:tblInd w:w="0" w:type="dxa"/>
        <w:tblLayout w:type="fixed"/>
        <w:tblCellMar>
          <w:top w:w="0" w:type="dxa"/>
          <w:start w:w="108" w:type="dxa"/>
          <w:bottom w:w="0" w:type="dxa"/>
          <w:end w:w="108" w:type="dxa"/>
        </w:tblCellMar>
      </w:tblPr>
      <w:tblGrid>
        <w:gridCol w:w="5238"/>
        <w:gridCol w:w="4500"/>
      </w:tblGrid>
      <w:tr>
        <w:trPr/>
        <w:tc>
          <w:tcPr>
            <w:tcW w:w="5238" w:type="dxa"/>
            <w:tcBorders/>
          </w:tcPr>
          <w:p>
            <w:pPr>
              <w:pStyle w:val="Normal"/>
              <w:snapToGrid w:val="false"/>
              <w:spacing w:lineRule="auto" w:line="240"/>
              <w:rPr/>
            </w:pPr>
            <w:r>
              <w:rPr/>
            </w:r>
          </w:p>
          <w:p>
            <w:pPr>
              <w:pStyle w:val="Normal"/>
              <w:spacing w:lineRule="auto" w:line="240"/>
              <w:rPr/>
            </w:pPr>
            <w:r>
              <w:rPr/>
            </w:r>
          </w:p>
          <w:p>
            <w:pPr>
              <w:pStyle w:val="Normal"/>
              <w:tabs>
                <w:tab w:val="clear" w:pos="720"/>
                <w:tab w:val="left" w:pos="4032" w:leader="none"/>
              </w:tabs>
              <w:spacing w:lineRule="auto" w:line="240"/>
              <w:rPr/>
            </w:pPr>
            <w:r>
              <w:rPr/>
              <w:t xml:space="preserve">By: </w:t>
            </w:r>
            <w:r>
              <w:rPr>
                <w:u w:val="single"/>
              </w:rPr>
              <w:tab/>
            </w:r>
          </w:p>
          <w:p>
            <w:pPr>
              <w:pStyle w:val="Normal"/>
              <w:spacing w:lineRule="auto" w:line="240"/>
              <w:ind w:start="360" w:end="0"/>
              <w:rPr/>
            </w:pPr>
            <w:r>
              <w:rPr/>
              <w:t>Joshua Bar</w:t>
              <w:noBreakHyphen/>
              <w:t>Lev</w:t>
            </w:r>
          </w:p>
          <w:p>
            <w:pPr>
              <w:pStyle w:val="Normal"/>
              <w:spacing w:lineRule="auto" w:line="240"/>
              <w:ind w:start="360" w:end="0"/>
              <w:rPr/>
            </w:pPr>
            <w:r>
              <w:rPr/>
              <w:t>Patrick G. Golden</w:t>
            </w:r>
          </w:p>
          <w:p>
            <w:pPr>
              <w:pStyle w:val="Normal"/>
              <w:spacing w:lineRule="auto" w:line="240"/>
              <w:ind w:start="360" w:end="0"/>
              <w:rPr/>
            </w:pPr>
            <w:r>
              <w:rPr/>
              <w:t>Randall J. Litteneker</w:t>
            </w:r>
          </w:p>
          <w:p>
            <w:pPr>
              <w:pStyle w:val="Normal"/>
              <w:spacing w:lineRule="auto" w:line="240"/>
              <w:ind w:start="360" w:end="0"/>
              <w:rPr/>
            </w:pPr>
            <w:r>
              <w:rPr/>
              <w:t>Law Department</w:t>
            </w:r>
          </w:p>
          <w:p>
            <w:pPr>
              <w:pStyle w:val="Normal"/>
              <w:spacing w:lineRule="auto" w:line="240"/>
              <w:ind w:hanging="360" w:start="720" w:end="0"/>
              <w:rPr/>
            </w:pPr>
            <w:r>
              <w:rPr/>
              <w:t>PACIFIC GAS AND ELECTRIC COMPANY</w:t>
            </w:r>
          </w:p>
          <w:p>
            <w:pPr>
              <w:pStyle w:val="Normal"/>
              <w:spacing w:lineRule="auto" w:line="240"/>
              <w:ind w:start="360" w:end="0"/>
              <w:rPr/>
            </w:pPr>
            <w:r>
              <w:rPr/>
              <w:t>Post Office Box 7442</w:t>
            </w:r>
          </w:p>
          <w:p>
            <w:pPr>
              <w:pStyle w:val="Normal"/>
              <w:spacing w:lineRule="auto" w:line="240"/>
              <w:ind w:start="360" w:end="0"/>
              <w:rPr/>
            </w:pPr>
            <w:r>
              <w:rPr/>
              <w:t>San Francisco, California 94120</w:t>
            </w:r>
          </w:p>
          <w:p>
            <w:pPr>
              <w:pStyle w:val="Normal"/>
              <w:spacing w:lineRule="auto" w:line="240"/>
              <w:ind w:start="360" w:end="0"/>
              <w:rPr/>
            </w:pPr>
            <w:r>
              <w:rPr/>
              <w:t>Telephone:  (415) 973</w:t>
              <w:noBreakHyphen/>
              <w:t>6642</w:t>
            </w:r>
          </w:p>
          <w:p>
            <w:pPr>
              <w:pStyle w:val="Normal"/>
              <w:spacing w:lineRule="auto" w:line="240"/>
              <w:ind w:start="360" w:end="0"/>
              <w:rPr/>
            </w:pPr>
            <w:r>
              <w:rPr/>
              <w:t>Fax:  (415) 973</w:t>
              <w:noBreakHyphen/>
              <w:t>5520</w:t>
            </w:r>
          </w:p>
          <w:p>
            <w:pPr>
              <w:pStyle w:val="Normal"/>
              <w:spacing w:lineRule="auto" w:line="240"/>
              <w:ind w:hanging="360" w:start="720" w:end="0"/>
              <w:rPr/>
            </w:pPr>
            <w:r>
              <w:rPr/>
              <w:t xml:space="preserve">Attorneys for </w:t>
            </w:r>
          </w:p>
          <w:p>
            <w:pPr>
              <w:pStyle w:val="Normal"/>
              <w:spacing w:lineRule="auto" w:line="240"/>
              <w:ind w:hanging="360" w:start="720" w:end="0"/>
              <w:rPr/>
            </w:pPr>
            <w:r>
              <w:rPr/>
              <w:t>PACIFIC GAS AND ELECTRIC COMPANY</w:t>
            </w:r>
          </w:p>
          <w:p>
            <w:pPr>
              <w:pStyle w:val="Normal"/>
              <w:spacing w:lineRule="auto" w:line="240"/>
              <w:rPr/>
            </w:pPr>
            <w:r>
              <w:rPr/>
            </w:r>
          </w:p>
        </w:tc>
        <w:tc>
          <w:tcPr>
            <w:tcW w:w="4500" w:type="dxa"/>
            <w:tcBorders/>
          </w:tcPr>
          <w:p>
            <w:pPr>
              <w:pStyle w:val="Normal"/>
              <w:snapToGrid w:val="false"/>
              <w:spacing w:lineRule="auto" w:line="240"/>
              <w:ind w:start="162" w:end="0"/>
              <w:rPr/>
            </w:pPr>
            <w:r>
              <w:rPr/>
            </w:r>
          </w:p>
          <w:p>
            <w:pPr>
              <w:pStyle w:val="Normal"/>
              <w:spacing w:lineRule="auto" w:line="240"/>
              <w:ind w:start="162" w:end="0"/>
              <w:rPr/>
            </w:pPr>
            <w:r>
              <w:rPr/>
            </w:r>
          </w:p>
          <w:p>
            <w:pPr>
              <w:pStyle w:val="Normal"/>
              <w:tabs>
                <w:tab w:val="clear" w:pos="720"/>
                <w:tab w:val="left" w:pos="4032" w:leader="none"/>
              </w:tabs>
              <w:spacing w:lineRule="auto" w:line="240"/>
              <w:ind w:start="162" w:end="0"/>
              <w:rPr/>
            </w:pPr>
            <w:r>
              <w:rPr/>
            </w:r>
          </w:p>
          <w:p>
            <w:pPr>
              <w:pStyle w:val="Normal"/>
              <w:spacing w:lineRule="auto" w:line="240"/>
              <w:ind w:start="162" w:end="0"/>
              <w:rPr/>
            </w:pPr>
            <w:r>
              <w:rPr/>
              <w:t>Steven F. Greenwald</w:t>
            </w:r>
          </w:p>
          <w:p>
            <w:pPr>
              <w:pStyle w:val="Normal"/>
              <w:spacing w:lineRule="auto" w:line="240"/>
              <w:ind w:start="162" w:end="0"/>
              <w:rPr/>
            </w:pPr>
            <w:r>
              <w:rPr/>
              <w:t>Lindsey How</w:t>
              <w:noBreakHyphen/>
              <w:t>Downing</w:t>
            </w:r>
          </w:p>
          <w:p>
            <w:pPr>
              <w:pStyle w:val="Normal"/>
              <w:spacing w:lineRule="auto" w:line="240"/>
              <w:ind w:start="162" w:end="0"/>
              <w:rPr/>
            </w:pPr>
            <w:r>
              <w:rPr/>
              <w:t>Salle E. Yoo</w:t>
            </w:r>
          </w:p>
          <w:p>
            <w:pPr>
              <w:pStyle w:val="Normal"/>
              <w:spacing w:lineRule="auto" w:line="240"/>
              <w:ind w:start="162" w:end="0"/>
              <w:rPr/>
            </w:pPr>
            <w:r>
              <w:rPr/>
              <w:t>Davis Wright Tremaine LLP</w:t>
            </w:r>
          </w:p>
          <w:p>
            <w:pPr>
              <w:pStyle w:val="Normal"/>
              <w:spacing w:lineRule="auto" w:line="240"/>
              <w:ind w:start="162" w:end="0"/>
              <w:rPr/>
            </w:pPr>
            <w:r>
              <w:rPr/>
              <w:t>One Embarcadero Center, Suite 600</w:t>
            </w:r>
          </w:p>
          <w:p>
            <w:pPr>
              <w:pStyle w:val="Normal"/>
              <w:spacing w:lineRule="auto" w:line="240"/>
              <w:ind w:start="162" w:end="0"/>
              <w:rPr/>
            </w:pPr>
            <w:r>
              <w:rPr/>
              <w:t>San Francisco, California 94111</w:t>
              <w:noBreakHyphen/>
              <w:t>3834</w:t>
            </w:r>
          </w:p>
          <w:p>
            <w:pPr>
              <w:pStyle w:val="Normal"/>
              <w:spacing w:lineRule="auto" w:line="240"/>
              <w:ind w:start="162" w:end="0"/>
              <w:rPr/>
            </w:pPr>
            <w:r>
              <w:rPr/>
              <w:t>Telephone:  (415) 276</w:t>
              <w:noBreakHyphen/>
              <w:t>6500</w:t>
            </w:r>
          </w:p>
          <w:p>
            <w:pPr>
              <w:pStyle w:val="Normal"/>
              <w:spacing w:lineRule="auto" w:line="240"/>
              <w:ind w:start="162" w:end="0"/>
              <w:rPr/>
            </w:pPr>
            <w:r>
              <w:rPr/>
              <w:t>Fax:  (415) 276</w:t>
              <w:noBreakHyphen/>
              <w:t>6599</w:t>
            </w:r>
          </w:p>
          <w:p>
            <w:pPr>
              <w:pStyle w:val="Normal"/>
              <w:spacing w:lineRule="auto" w:line="240"/>
              <w:ind w:start="162" w:end="0"/>
              <w:rPr/>
            </w:pPr>
            <w:r>
              <w:rPr/>
              <w:t xml:space="preserve">Attorneys for </w:t>
            </w:r>
          </w:p>
          <w:p>
            <w:pPr>
              <w:pStyle w:val="Normal"/>
              <w:spacing w:lineRule="auto" w:line="240"/>
              <w:ind w:start="162" w:end="0"/>
              <w:rPr/>
            </w:pPr>
            <w:r>
              <w:rPr/>
              <w:t>CALPINE CORPORATION</w:t>
            </w:r>
          </w:p>
        </w:tc>
      </w:tr>
      <w:tr>
        <w:trPr/>
        <w:tc>
          <w:tcPr>
            <w:tcW w:w="5238" w:type="dxa"/>
            <w:tcBorders/>
          </w:tcPr>
          <w:p>
            <w:pPr>
              <w:pStyle w:val="Normal"/>
              <w:spacing w:lineRule="auto" w:line="240"/>
              <w:ind w:start="360" w:end="0"/>
              <w:rPr/>
            </w:pPr>
            <w:r>
              <w:rPr/>
              <w:t>Marcel Hawiger</w:t>
            </w:r>
          </w:p>
          <w:p>
            <w:pPr>
              <w:pStyle w:val="Normal"/>
              <w:spacing w:lineRule="auto" w:line="240"/>
              <w:ind w:start="360" w:end="0"/>
              <w:rPr/>
            </w:pPr>
            <w:r>
              <w:rPr/>
              <w:t>Staff Attorney</w:t>
            </w:r>
          </w:p>
          <w:p>
            <w:pPr>
              <w:pStyle w:val="Normal"/>
              <w:spacing w:lineRule="auto" w:line="240"/>
              <w:ind w:start="360" w:end="0"/>
              <w:rPr/>
            </w:pPr>
            <w:r>
              <w:rPr/>
              <w:t>THE UTILITY REFORM NETWORK</w:t>
            </w:r>
          </w:p>
          <w:p>
            <w:pPr>
              <w:pStyle w:val="Normal"/>
              <w:spacing w:lineRule="auto" w:line="240"/>
              <w:ind w:start="360" w:end="0"/>
              <w:rPr/>
            </w:pPr>
            <w:r>
              <w:rPr/>
              <w:t>711 Van Ness Avenue, Suite 350</w:t>
            </w:r>
          </w:p>
          <w:p>
            <w:pPr>
              <w:pStyle w:val="Normal"/>
              <w:spacing w:lineRule="auto" w:line="240"/>
              <w:ind w:start="360" w:end="0"/>
              <w:rPr/>
            </w:pPr>
            <w:r>
              <w:rPr/>
              <w:t>San Francisco, California 94102</w:t>
            </w:r>
          </w:p>
          <w:p>
            <w:pPr>
              <w:pStyle w:val="Normal"/>
              <w:spacing w:lineRule="auto" w:line="240"/>
              <w:ind w:start="360" w:end="0"/>
              <w:rPr/>
            </w:pPr>
            <w:r>
              <w:rPr/>
              <w:t>Phone:  (415) 929</w:t>
              <w:noBreakHyphen/>
              <w:t>8876</w:t>
            </w:r>
          </w:p>
          <w:p>
            <w:pPr>
              <w:pStyle w:val="Normal"/>
              <w:spacing w:lineRule="auto" w:line="240"/>
              <w:ind w:start="360" w:end="0"/>
              <w:rPr/>
            </w:pPr>
            <w:r>
              <w:rPr/>
              <w:t>Fax:  (415) 929</w:t>
              <w:noBreakHyphen/>
              <w:t>1132</w:t>
            </w:r>
          </w:p>
          <w:p>
            <w:pPr>
              <w:pStyle w:val="Normal"/>
              <w:spacing w:lineRule="auto" w:line="240"/>
              <w:rPr/>
            </w:pPr>
            <w:r>
              <w:rPr/>
            </w:r>
          </w:p>
        </w:tc>
        <w:tc>
          <w:tcPr>
            <w:tcW w:w="4500" w:type="dxa"/>
            <w:tcBorders/>
          </w:tcPr>
          <w:p>
            <w:pPr>
              <w:pStyle w:val="Normal"/>
              <w:spacing w:lineRule="auto" w:line="240"/>
              <w:ind w:start="162" w:end="0"/>
              <w:rPr/>
            </w:pPr>
            <w:r>
              <w:rPr/>
              <w:t>Paul M. Amirault</w:t>
            </w:r>
          </w:p>
          <w:p>
            <w:pPr>
              <w:pStyle w:val="Normal"/>
              <w:spacing w:lineRule="auto" w:line="240"/>
              <w:ind w:start="162" w:end="0"/>
              <w:rPr/>
            </w:pPr>
            <w:r>
              <w:rPr/>
              <w:t>Vice</w:t>
              <w:noBreakHyphen/>
              <w:t>President, Business Development</w:t>
            </w:r>
          </w:p>
          <w:p>
            <w:pPr>
              <w:pStyle w:val="Normal"/>
              <w:spacing w:lineRule="auto" w:line="240"/>
              <w:ind w:start="162" w:end="0"/>
              <w:rPr/>
            </w:pPr>
            <w:r>
              <w:rPr/>
              <w:t>WILD GOOSE STORAGE INC.</w:t>
            </w:r>
          </w:p>
          <w:p>
            <w:pPr>
              <w:pStyle w:val="Normal"/>
              <w:spacing w:lineRule="auto" w:line="240"/>
              <w:ind w:start="162" w:end="0"/>
              <w:rPr/>
            </w:pPr>
            <w:r>
              <w:rPr/>
              <w:t>3900, 421</w:t>
              <w:noBreakHyphen/>
              <w:t>7</w:t>
            </w:r>
            <w:r>
              <w:rPr>
                <w:vertAlign w:val="superscript"/>
              </w:rPr>
              <w:t>th</w:t>
            </w:r>
            <w:r>
              <w:rPr/>
              <w:t xml:space="preserve"> Avenue S.W.</w:t>
            </w:r>
          </w:p>
          <w:p>
            <w:pPr>
              <w:pStyle w:val="Normal"/>
              <w:spacing w:lineRule="auto" w:line="240"/>
              <w:ind w:start="162" w:end="0"/>
              <w:rPr/>
            </w:pPr>
            <w:r>
              <w:rPr/>
              <w:t>Calgary, Alberta, Canada T2P 4K9</w:t>
            </w:r>
          </w:p>
          <w:p>
            <w:pPr>
              <w:pStyle w:val="Normal"/>
              <w:spacing w:lineRule="auto" w:line="240"/>
              <w:ind w:start="162" w:end="0"/>
              <w:rPr/>
            </w:pPr>
            <w:r>
              <w:rPr/>
              <w:t>Phone:  (403) 266</w:t>
              <w:noBreakHyphen/>
              <w:t>8298</w:t>
            </w:r>
          </w:p>
        </w:tc>
      </w:tr>
      <w:tr>
        <w:trPr/>
        <w:tc>
          <w:tcPr>
            <w:tcW w:w="5238" w:type="dxa"/>
            <w:tcBorders/>
          </w:tcPr>
          <w:p>
            <w:pPr>
              <w:pStyle w:val="Normal"/>
              <w:spacing w:lineRule="auto" w:line="240"/>
              <w:ind w:start="360" w:end="0"/>
              <w:rPr/>
            </w:pPr>
            <w:r>
              <w:rPr/>
              <w:t>Michael Rochman</w:t>
            </w:r>
          </w:p>
          <w:p>
            <w:pPr>
              <w:pStyle w:val="Normal"/>
              <w:spacing w:lineRule="auto" w:line="240"/>
              <w:ind w:start="360" w:end="0"/>
              <w:rPr/>
            </w:pPr>
            <w:r>
              <w:rPr/>
              <w:t>Managing Director</w:t>
            </w:r>
          </w:p>
          <w:p>
            <w:pPr>
              <w:pStyle w:val="Normal"/>
              <w:spacing w:lineRule="auto" w:line="240"/>
              <w:ind w:hanging="360" w:start="720" w:end="0"/>
              <w:rPr/>
            </w:pPr>
            <w:r>
              <w:rPr/>
              <w:t>SCHOOL PROJECT FOR UTILITY RATE REDUCTION</w:t>
            </w:r>
          </w:p>
          <w:p>
            <w:pPr>
              <w:pStyle w:val="Normal"/>
              <w:spacing w:lineRule="auto" w:line="240"/>
              <w:ind w:start="360" w:end="0"/>
              <w:rPr/>
            </w:pPr>
            <w:r>
              <w:rPr/>
              <w:t>1430 Willow Pass Road, Suite 240</w:t>
            </w:r>
          </w:p>
          <w:p>
            <w:pPr>
              <w:pStyle w:val="Normal"/>
              <w:spacing w:lineRule="auto" w:line="240"/>
              <w:ind w:start="360" w:end="0"/>
              <w:rPr/>
            </w:pPr>
            <w:r>
              <w:rPr/>
              <w:t>Concord, California 94520</w:t>
            </w:r>
          </w:p>
          <w:p>
            <w:pPr>
              <w:pStyle w:val="Normal"/>
              <w:spacing w:lineRule="auto" w:line="240"/>
              <w:ind w:start="360" w:end="0"/>
              <w:rPr/>
            </w:pPr>
            <w:r>
              <w:rPr/>
              <w:t>Phone:  (925) 743</w:t>
              <w:noBreakHyphen/>
              <w:t>1292</w:t>
            </w:r>
          </w:p>
          <w:p>
            <w:pPr>
              <w:pStyle w:val="Normal"/>
              <w:spacing w:lineRule="auto" w:line="240"/>
              <w:ind w:start="360" w:end="0"/>
              <w:rPr/>
            </w:pPr>
            <w:r>
              <w:rPr/>
              <w:t>Fax:  (925) 743-1014</w:t>
            </w:r>
          </w:p>
          <w:p>
            <w:pPr>
              <w:pStyle w:val="Normal"/>
              <w:spacing w:lineRule="auto" w:line="240"/>
              <w:rPr/>
            </w:pPr>
            <w:r>
              <w:rPr/>
            </w:r>
          </w:p>
        </w:tc>
        <w:tc>
          <w:tcPr>
            <w:tcW w:w="4500" w:type="dxa"/>
            <w:tcBorders/>
          </w:tcPr>
          <w:p>
            <w:pPr>
              <w:pStyle w:val="Normal"/>
              <w:spacing w:lineRule="auto" w:line="240"/>
              <w:ind w:start="162" w:end="0"/>
              <w:rPr/>
            </w:pPr>
            <w:r>
              <w:rPr/>
              <w:t>John W. Leslie</w:t>
            </w:r>
          </w:p>
          <w:p>
            <w:pPr>
              <w:pStyle w:val="Normal"/>
              <w:spacing w:lineRule="auto" w:line="240"/>
              <w:ind w:start="162" w:end="0"/>
              <w:rPr/>
            </w:pPr>
            <w:r>
              <w:rPr/>
              <w:t>Luce, Forward, Hamilton &amp; Scripps, LLP</w:t>
            </w:r>
          </w:p>
          <w:p>
            <w:pPr>
              <w:pStyle w:val="Normal"/>
              <w:spacing w:lineRule="auto" w:line="240"/>
              <w:ind w:start="162" w:end="0"/>
              <w:rPr/>
            </w:pPr>
            <w:r>
              <w:rPr/>
              <w:t>600 West Broadway, Suite 2600</w:t>
            </w:r>
          </w:p>
          <w:p>
            <w:pPr>
              <w:pStyle w:val="Normal"/>
              <w:spacing w:lineRule="auto" w:line="240"/>
              <w:ind w:start="162" w:end="0"/>
              <w:rPr/>
            </w:pPr>
            <w:r>
              <w:rPr/>
              <w:t>San Diego, California 92101</w:t>
            </w:r>
          </w:p>
          <w:p>
            <w:pPr>
              <w:pStyle w:val="Normal"/>
              <w:spacing w:lineRule="auto" w:line="240"/>
              <w:ind w:start="162" w:end="0"/>
              <w:rPr/>
            </w:pPr>
            <w:r>
              <w:rPr/>
              <w:t>Phone:  (619) 699</w:t>
              <w:noBreakHyphen/>
              <w:t>2536</w:t>
            </w:r>
          </w:p>
          <w:p>
            <w:pPr>
              <w:pStyle w:val="Normal"/>
              <w:spacing w:lineRule="auto" w:line="240"/>
              <w:ind w:start="162" w:end="0"/>
              <w:rPr/>
            </w:pPr>
            <w:r>
              <w:rPr/>
              <w:t>Fax:  (619) 645</w:t>
              <w:noBreakHyphen/>
              <w:t>5363</w:t>
            </w:r>
          </w:p>
          <w:p>
            <w:pPr>
              <w:pStyle w:val="Normal"/>
              <w:spacing w:lineRule="auto" w:line="240"/>
              <w:ind w:hanging="360" w:start="162" w:end="0"/>
              <w:rPr/>
            </w:pPr>
            <w:r>
              <w:rPr/>
              <w:tab/>
              <w:t xml:space="preserve">Attorney for </w:t>
            </w:r>
          </w:p>
          <w:p>
            <w:pPr>
              <w:pStyle w:val="Normal"/>
              <w:spacing w:lineRule="auto" w:line="240"/>
              <w:ind w:start="162" w:end="0"/>
              <w:rPr/>
            </w:pPr>
            <w:r>
              <w:rPr/>
              <w:t>UTILICORP ENERGY SOLUTIONS, INC. and SUNCOR, INC.</w:t>
            </w:r>
          </w:p>
          <w:p>
            <w:pPr>
              <w:pStyle w:val="Normal"/>
              <w:spacing w:lineRule="auto" w:line="240"/>
              <w:ind w:start="162" w:end="0"/>
              <w:rPr/>
            </w:pPr>
            <w:r>
              <w:rPr/>
            </w:r>
          </w:p>
        </w:tc>
      </w:tr>
      <w:tr>
        <w:trPr/>
        <w:tc>
          <w:tcPr>
            <w:tcW w:w="5238" w:type="dxa"/>
            <w:tcBorders/>
          </w:tcPr>
          <w:p>
            <w:pPr>
              <w:pStyle w:val="Normal"/>
              <w:spacing w:lineRule="auto" w:line="240"/>
              <w:ind w:start="360" w:end="0"/>
              <w:rPr/>
            </w:pPr>
            <w:r>
              <w:rPr/>
              <w:t>James Weil</w:t>
            </w:r>
          </w:p>
          <w:p>
            <w:pPr>
              <w:pStyle w:val="Normal"/>
              <w:spacing w:lineRule="auto" w:line="240"/>
              <w:ind w:start="360" w:end="0"/>
              <w:rPr/>
            </w:pPr>
            <w:r>
              <w:rPr/>
              <w:t>Director</w:t>
            </w:r>
          </w:p>
          <w:p>
            <w:pPr>
              <w:pStyle w:val="Normal"/>
              <w:spacing w:lineRule="auto" w:line="240"/>
              <w:ind w:start="360" w:end="0"/>
              <w:rPr/>
            </w:pPr>
            <w:r>
              <w:rPr/>
              <w:t>AGLET CONSUMER ALLIANCE</w:t>
            </w:r>
          </w:p>
          <w:p>
            <w:pPr>
              <w:pStyle w:val="Normal"/>
              <w:spacing w:lineRule="auto" w:line="240"/>
              <w:ind w:start="360" w:end="0"/>
              <w:rPr/>
            </w:pPr>
            <w:r>
              <w:rPr/>
              <w:t>P.O. Box 1599</w:t>
            </w:r>
          </w:p>
          <w:p>
            <w:pPr>
              <w:pStyle w:val="Normal"/>
              <w:spacing w:lineRule="auto" w:line="240"/>
              <w:ind w:start="360" w:end="0"/>
              <w:rPr/>
            </w:pPr>
            <w:r>
              <w:rPr/>
              <w:t>Foresthill, California 95631</w:t>
            </w:r>
          </w:p>
          <w:p>
            <w:pPr>
              <w:pStyle w:val="Normal"/>
              <w:spacing w:lineRule="auto" w:line="240"/>
              <w:ind w:start="360" w:end="0"/>
              <w:rPr/>
            </w:pPr>
            <w:r>
              <w:rPr/>
              <w:t>Phone:  (530) 367</w:t>
              <w:noBreakHyphen/>
              <w:t>3300</w:t>
            </w:r>
          </w:p>
          <w:p>
            <w:pPr>
              <w:pStyle w:val="Normal"/>
              <w:spacing w:lineRule="auto" w:line="240"/>
              <w:ind w:start="360" w:end="0"/>
              <w:rPr/>
            </w:pPr>
            <w:r>
              <w:rPr/>
            </w:r>
          </w:p>
        </w:tc>
        <w:tc>
          <w:tcPr>
            <w:tcW w:w="4500" w:type="dxa"/>
            <w:tcBorders/>
          </w:tcPr>
          <w:p>
            <w:pPr>
              <w:pStyle w:val="Normal"/>
              <w:spacing w:lineRule="auto" w:line="240"/>
              <w:rPr/>
            </w:pPr>
            <w:r>
              <w:rPr/>
              <w:t xml:space="preserve">  </w:t>
            </w:r>
            <w:r>
              <w:rPr/>
              <w:t>Ariel Pierre Calonne</w:t>
            </w:r>
          </w:p>
          <w:p>
            <w:pPr>
              <w:pStyle w:val="Normal"/>
              <w:spacing w:lineRule="auto" w:line="240"/>
              <w:ind w:start="162" w:end="0"/>
              <w:rPr/>
            </w:pPr>
            <w:r>
              <w:rPr/>
              <w:t>City Attorney</w:t>
            </w:r>
          </w:p>
          <w:p>
            <w:pPr>
              <w:pStyle w:val="Normal"/>
              <w:spacing w:lineRule="auto" w:line="240"/>
              <w:ind w:start="162" w:end="0"/>
              <w:rPr/>
            </w:pPr>
            <w:r>
              <w:rPr/>
              <w:t>CITY OF PALO ALTO</w:t>
            </w:r>
          </w:p>
          <w:p>
            <w:pPr>
              <w:pStyle w:val="Normal"/>
              <w:spacing w:lineRule="auto" w:line="240"/>
              <w:ind w:start="162" w:end="0"/>
              <w:rPr/>
            </w:pPr>
            <w:r>
              <w:rPr/>
              <w:t>250 Hamilton Avenue, 7</w:t>
            </w:r>
            <w:r>
              <w:rPr>
                <w:vertAlign w:val="superscript"/>
              </w:rPr>
              <w:t>th</w:t>
            </w:r>
            <w:r>
              <w:rPr/>
              <w:t xml:space="preserve"> Floor</w:t>
            </w:r>
          </w:p>
          <w:p>
            <w:pPr>
              <w:pStyle w:val="Normal"/>
              <w:spacing w:lineRule="auto" w:line="240"/>
              <w:ind w:start="162" w:end="0"/>
              <w:rPr/>
            </w:pPr>
            <w:r>
              <w:rPr/>
              <w:t>Palo Alto, California 94301</w:t>
            </w:r>
          </w:p>
          <w:p>
            <w:pPr>
              <w:pStyle w:val="Normal"/>
              <w:spacing w:lineRule="auto" w:line="240"/>
              <w:ind w:start="162" w:end="0"/>
              <w:rPr/>
            </w:pPr>
            <w:r>
              <w:rPr/>
              <w:t>Telephone:  (650) 329</w:t>
              <w:noBreakHyphen/>
              <w:t>2171</w:t>
            </w:r>
          </w:p>
          <w:p>
            <w:pPr>
              <w:pStyle w:val="Normal"/>
              <w:spacing w:lineRule="auto" w:line="240"/>
              <w:ind w:start="162" w:end="0"/>
              <w:rPr/>
            </w:pPr>
            <w:r>
              <w:rPr/>
              <w:t>Fax:  (650) 329</w:t>
              <w:noBreakHyphen/>
              <w:t>2646</w:t>
            </w:r>
          </w:p>
          <w:p>
            <w:pPr>
              <w:pStyle w:val="Normal"/>
              <w:spacing w:lineRule="auto" w:line="240"/>
              <w:rPr/>
            </w:pPr>
            <w:r>
              <w:rPr/>
            </w:r>
          </w:p>
          <w:p>
            <w:pPr>
              <w:pStyle w:val="Normal"/>
              <w:spacing w:lineRule="auto" w:line="240"/>
              <w:rPr/>
            </w:pPr>
            <w:r>
              <w:rPr/>
            </w:r>
          </w:p>
        </w:tc>
      </w:tr>
      <w:tr>
        <w:trPr/>
        <w:tc>
          <w:tcPr>
            <w:tcW w:w="5238" w:type="dxa"/>
            <w:tcBorders/>
          </w:tcPr>
          <w:p>
            <w:pPr>
              <w:pStyle w:val="Normal"/>
              <w:spacing w:lineRule="auto" w:line="240"/>
              <w:ind w:start="360" w:end="0"/>
              <w:rPr/>
            </w:pPr>
            <w:r>
              <w:rPr/>
              <w:t>Patrick L. Gileau</w:t>
            </w:r>
          </w:p>
          <w:p>
            <w:pPr>
              <w:pStyle w:val="Normal"/>
              <w:spacing w:lineRule="auto" w:line="240"/>
              <w:ind w:start="360" w:end="0"/>
              <w:rPr/>
            </w:pPr>
            <w:r>
              <w:rPr/>
              <w:t>OFFICE OF RATEPAYER ADVOCATES</w:t>
            </w:r>
          </w:p>
          <w:p>
            <w:pPr>
              <w:pStyle w:val="Normal"/>
              <w:spacing w:lineRule="auto" w:line="240"/>
              <w:ind w:start="360" w:end="0"/>
              <w:rPr/>
            </w:pPr>
            <w:r>
              <w:rPr/>
              <w:t>California Public Utilities Commission</w:t>
            </w:r>
          </w:p>
          <w:p>
            <w:pPr>
              <w:pStyle w:val="Normal"/>
              <w:spacing w:lineRule="auto" w:line="240"/>
              <w:ind w:start="360" w:end="0"/>
              <w:rPr/>
            </w:pPr>
            <w:r>
              <w:rPr/>
              <w:t>505 Van Ness Avenue</w:t>
            </w:r>
          </w:p>
          <w:p>
            <w:pPr>
              <w:pStyle w:val="Normal"/>
              <w:spacing w:lineRule="auto" w:line="240"/>
              <w:ind w:start="360" w:end="0"/>
              <w:rPr/>
            </w:pPr>
            <w:r>
              <w:rPr/>
              <w:t>San Francisco, California 94102</w:t>
            </w:r>
          </w:p>
          <w:p>
            <w:pPr>
              <w:pStyle w:val="Normal"/>
              <w:spacing w:lineRule="auto" w:line="240"/>
              <w:ind w:start="360" w:end="0"/>
              <w:rPr/>
            </w:pPr>
            <w:r>
              <w:rPr/>
              <w:t>Phone:  (415) 703</w:t>
              <w:noBreakHyphen/>
              <w:t>3080</w:t>
            </w:r>
          </w:p>
          <w:p>
            <w:pPr>
              <w:pStyle w:val="Normal"/>
              <w:spacing w:lineRule="auto" w:line="240"/>
              <w:ind w:start="360" w:end="0"/>
              <w:rPr/>
            </w:pPr>
            <w:r>
              <w:rPr/>
              <w:t>Fax:  (415) 703-1981</w:t>
            </w:r>
          </w:p>
          <w:p>
            <w:pPr>
              <w:pStyle w:val="Normal"/>
              <w:spacing w:lineRule="auto" w:line="240"/>
              <w:ind w:hanging="360" w:start="720" w:end="0"/>
              <w:rPr/>
            </w:pPr>
            <w:r>
              <w:rPr/>
              <w:t xml:space="preserve">Attorney for </w:t>
            </w:r>
          </w:p>
          <w:p>
            <w:pPr>
              <w:pStyle w:val="Normal"/>
              <w:spacing w:lineRule="auto" w:line="240"/>
              <w:ind w:hanging="360" w:start="720" w:end="0"/>
              <w:rPr/>
            </w:pPr>
            <w:r>
              <w:rPr/>
              <w:t>OFFICE OF RATEPAYER ADVOCATES</w:t>
            </w:r>
          </w:p>
          <w:p>
            <w:pPr>
              <w:pStyle w:val="Normal"/>
              <w:spacing w:lineRule="auto" w:line="240"/>
              <w:rPr/>
            </w:pPr>
            <w:r>
              <w:rPr/>
            </w:r>
          </w:p>
        </w:tc>
        <w:tc>
          <w:tcPr>
            <w:tcW w:w="4500" w:type="dxa"/>
            <w:tcBorders/>
          </w:tcPr>
          <w:p>
            <w:pPr>
              <w:pStyle w:val="Normal"/>
              <w:spacing w:lineRule="auto" w:line="240"/>
              <w:ind w:start="162" w:end="0"/>
              <w:rPr/>
            </w:pPr>
            <w:r>
              <w:rPr/>
              <w:t>Gerard Worster</w:t>
            </w:r>
          </w:p>
          <w:p>
            <w:pPr>
              <w:pStyle w:val="Normal"/>
              <w:spacing w:lineRule="auto" w:line="240"/>
              <w:ind w:start="162" w:end="0"/>
              <w:rPr/>
            </w:pPr>
            <w:r>
              <w:rPr/>
              <w:t>TXU Energy Services</w:t>
            </w:r>
          </w:p>
          <w:p>
            <w:pPr>
              <w:pStyle w:val="Normal"/>
              <w:spacing w:lineRule="auto" w:line="240"/>
              <w:ind w:start="162" w:end="0"/>
              <w:rPr/>
            </w:pPr>
            <w:r>
              <w:rPr/>
              <w:t>353 Sacramento Street, Suite 400</w:t>
            </w:r>
          </w:p>
          <w:p>
            <w:pPr>
              <w:pStyle w:val="Normal"/>
              <w:spacing w:lineRule="auto" w:line="240"/>
              <w:ind w:start="162" w:end="0"/>
              <w:rPr/>
            </w:pPr>
            <w:r>
              <w:rPr/>
              <w:t>San Francisco, California 94111</w:t>
            </w:r>
          </w:p>
          <w:p>
            <w:pPr>
              <w:pStyle w:val="Normal"/>
              <w:spacing w:lineRule="auto" w:line="240"/>
              <w:ind w:start="162" w:end="0"/>
              <w:rPr/>
            </w:pPr>
            <w:r>
              <w:rPr/>
              <w:t>Phone:  (415) 981</w:t>
              <w:noBreakHyphen/>
              <w:t>2980</w:t>
            </w:r>
          </w:p>
          <w:p>
            <w:pPr>
              <w:pStyle w:val="Normal"/>
              <w:spacing w:lineRule="auto" w:line="240"/>
              <w:ind w:start="162" w:end="0"/>
              <w:rPr/>
            </w:pPr>
            <w:r>
              <w:rPr/>
              <w:t>Fax:  (415) 981-2988</w:t>
            </w:r>
          </w:p>
        </w:tc>
      </w:tr>
      <w:tr>
        <w:trPr/>
        <w:tc>
          <w:tcPr>
            <w:tcW w:w="5238" w:type="dxa"/>
            <w:tcBorders/>
          </w:tcPr>
          <w:p>
            <w:pPr>
              <w:pStyle w:val="Normal"/>
              <w:spacing w:lineRule="auto" w:line="240"/>
              <w:ind w:start="360" w:end="0"/>
              <w:rPr/>
            </w:pPr>
            <w:r>
              <w:rPr/>
              <w:t>Mark A. Baldwin</w:t>
            </w:r>
          </w:p>
          <w:p>
            <w:pPr>
              <w:pStyle w:val="Normal"/>
              <w:spacing w:lineRule="auto" w:line="240"/>
              <w:ind w:start="360" w:end="0"/>
              <w:rPr/>
            </w:pPr>
            <w:r>
              <w:rPr/>
              <w:t>INTERSTATE GAS SERVICES, INC.</w:t>
            </w:r>
          </w:p>
          <w:p>
            <w:pPr>
              <w:pStyle w:val="Normal"/>
              <w:spacing w:lineRule="auto" w:line="240"/>
              <w:ind w:start="360" w:end="0"/>
              <w:rPr/>
            </w:pPr>
            <w:r>
              <w:rPr/>
              <w:t>5776 Stoneridge Mall Road, Suite 230</w:t>
            </w:r>
          </w:p>
          <w:p>
            <w:pPr>
              <w:pStyle w:val="Normal"/>
              <w:spacing w:lineRule="auto" w:line="240"/>
              <w:ind w:start="360" w:end="0"/>
              <w:rPr/>
            </w:pPr>
            <w:r>
              <w:rPr/>
              <w:t>Pleasanton, California 94588</w:t>
            </w:r>
          </w:p>
          <w:p>
            <w:pPr>
              <w:pStyle w:val="Normal"/>
              <w:spacing w:lineRule="auto" w:line="240"/>
              <w:ind w:start="360" w:end="0"/>
              <w:rPr/>
            </w:pPr>
            <w:r>
              <w:rPr/>
              <w:t>Phone:  (925) 469</w:t>
              <w:noBreakHyphen/>
              <w:t>6750</w:t>
            </w:r>
          </w:p>
          <w:p>
            <w:pPr>
              <w:pStyle w:val="Normal"/>
              <w:spacing w:lineRule="auto" w:line="240"/>
              <w:ind w:start="360" w:end="0"/>
              <w:rPr/>
            </w:pPr>
            <w:r>
              <w:rPr/>
              <w:t>Fax:  (925) 469</w:t>
              <w:noBreakHyphen/>
              <w:t>6766</w:t>
            </w:r>
          </w:p>
          <w:p>
            <w:pPr>
              <w:pStyle w:val="Normal"/>
              <w:spacing w:lineRule="auto" w:line="240"/>
              <w:rPr/>
            </w:pPr>
            <w:r>
              <w:rPr/>
            </w:r>
          </w:p>
        </w:tc>
        <w:tc>
          <w:tcPr>
            <w:tcW w:w="4500" w:type="dxa"/>
            <w:tcBorders/>
          </w:tcPr>
          <w:p>
            <w:pPr>
              <w:pStyle w:val="Normal"/>
              <w:spacing w:lineRule="auto" w:line="240"/>
              <w:ind w:start="162" w:end="0"/>
              <w:rPr/>
            </w:pPr>
            <w:r>
              <w:rPr/>
              <w:t>Jeffrey Dasovich</w:t>
            </w:r>
          </w:p>
          <w:p>
            <w:pPr>
              <w:pStyle w:val="Normal"/>
              <w:spacing w:lineRule="auto" w:line="240"/>
              <w:ind w:start="162" w:end="0"/>
              <w:rPr/>
            </w:pPr>
            <w:r>
              <w:rPr/>
              <w:t xml:space="preserve">Director </w:t>
              <w:noBreakHyphen/>
              <w:t xml:space="preserve"> State Government Affairs</w:t>
            </w:r>
          </w:p>
          <w:p>
            <w:pPr>
              <w:pStyle w:val="Normal"/>
              <w:spacing w:lineRule="auto" w:line="240"/>
              <w:ind w:start="162" w:end="0"/>
              <w:rPr>
                <w:caps/>
              </w:rPr>
            </w:pPr>
            <w:r>
              <w:rPr>
                <w:caps/>
              </w:rPr>
              <w:t>ENRON Capital and Trade Resources</w:t>
            </w:r>
          </w:p>
          <w:p>
            <w:pPr>
              <w:pStyle w:val="Normal"/>
              <w:spacing w:lineRule="auto" w:line="240"/>
              <w:ind w:start="162" w:end="0"/>
              <w:rPr/>
            </w:pPr>
            <w:r>
              <w:rPr/>
              <w:t>101 California Street, Suite 1900</w:t>
            </w:r>
          </w:p>
          <w:p>
            <w:pPr>
              <w:pStyle w:val="Normal"/>
              <w:spacing w:lineRule="auto" w:line="240"/>
              <w:ind w:start="162" w:end="0"/>
              <w:rPr/>
            </w:pPr>
            <w:r>
              <w:rPr/>
              <w:t>San Francisco, California 94111</w:t>
            </w:r>
          </w:p>
          <w:p>
            <w:pPr>
              <w:pStyle w:val="Normal"/>
              <w:spacing w:lineRule="auto" w:line="240"/>
              <w:ind w:start="162" w:end="0"/>
              <w:rPr/>
            </w:pPr>
            <w:r>
              <w:rPr/>
              <w:t>Phone:  (415) 782-7822</w:t>
            </w:r>
          </w:p>
          <w:p>
            <w:pPr>
              <w:pStyle w:val="Normal"/>
              <w:spacing w:lineRule="auto" w:line="240"/>
              <w:ind w:start="162" w:end="0"/>
              <w:rPr/>
            </w:pPr>
            <w:r>
              <w:rPr/>
              <w:t>Fax:  (415) 782-7851</w:t>
            </w:r>
          </w:p>
          <w:p>
            <w:pPr>
              <w:pStyle w:val="Normal"/>
              <w:spacing w:lineRule="auto" w:line="240"/>
              <w:ind w:start="162" w:end="0"/>
              <w:rPr/>
            </w:pPr>
            <w:r>
              <w:rPr/>
            </w:r>
          </w:p>
        </w:tc>
      </w:tr>
      <w:tr>
        <w:trPr/>
        <w:tc>
          <w:tcPr>
            <w:tcW w:w="5238" w:type="dxa"/>
            <w:tcBorders/>
          </w:tcPr>
          <w:p>
            <w:pPr>
              <w:pStyle w:val="Normal"/>
              <w:spacing w:lineRule="auto" w:line="240"/>
              <w:ind w:start="360" w:end="0"/>
              <w:rPr/>
            </w:pPr>
            <w:r>
              <w:rPr/>
              <w:t>Mark C. Moench, Senior Counsel</w:t>
            </w:r>
          </w:p>
          <w:p>
            <w:pPr>
              <w:pStyle w:val="Normal"/>
              <w:spacing w:lineRule="auto" w:line="240"/>
              <w:ind w:hanging="360" w:start="720" w:end="0"/>
              <w:rPr/>
            </w:pPr>
            <w:r>
              <w:rPr/>
              <w:t xml:space="preserve">KERN RIVER </w:t>
            </w:r>
          </w:p>
          <w:p>
            <w:pPr>
              <w:pStyle w:val="Normal"/>
              <w:spacing w:lineRule="auto" w:line="240"/>
              <w:ind w:hanging="360" w:start="720" w:end="0"/>
              <w:rPr/>
            </w:pPr>
            <w:r>
              <w:rPr/>
              <w:t>GAS TRANSMISSION COMPANY</w:t>
            </w:r>
          </w:p>
          <w:p>
            <w:pPr>
              <w:pStyle w:val="Normal"/>
              <w:spacing w:lineRule="auto" w:line="240"/>
              <w:ind w:start="360" w:end="0"/>
              <w:rPr/>
            </w:pPr>
            <w:r>
              <w:rPr/>
              <w:t>295 Chipeta Way</w:t>
            </w:r>
          </w:p>
          <w:p>
            <w:pPr>
              <w:pStyle w:val="Normal"/>
              <w:spacing w:lineRule="auto" w:line="240"/>
              <w:ind w:start="360" w:end="0"/>
              <w:rPr/>
            </w:pPr>
            <w:r>
              <w:rPr/>
              <w:t>P.O. Box 58900 (84158</w:t>
              <w:noBreakHyphen/>
              <w:t>0900)</w:t>
            </w:r>
          </w:p>
          <w:p>
            <w:pPr>
              <w:pStyle w:val="Normal"/>
              <w:spacing w:lineRule="auto" w:line="240"/>
              <w:ind w:start="360" w:end="0"/>
              <w:rPr/>
            </w:pPr>
            <w:r>
              <w:rPr/>
              <w:t>Salt Lake City, Utah 84108</w:t>
            </w:r>
          </w:p>
          <w:p>
            <w:pPr>
              <w:pStyle w:val="Normal"/>
              <w:spacing w:lineRule="auto" w:line="240"/>
              <w:ind w:start="360" w:end="0"/>
              <w:rPr/>
            </w:pPr>
            <w:r>
              <w:rPr/>
              <w:t>Phone:  (801) 584</w:t>
              <w:noBreakHyphen/>
              <w:t>7059</w:t>
            </w:r>
          </w:p>
          <w:p>
            <w:pPr>
              <w:pStyle w:val="Normal"/>
              <w:spacing w:lineRule="auto" w:line="240"/>
              <w:ind w:start="360" w:end="0"/>
              <w:rPr/>
            </w:pPr>
            <w:r>
              <w:rPr/>
              <w:t>Fax:  (801) 584</w:t>
              <w:noBreakHyphen/>
              <w:t>7919</w:t>
            </w:r>
          </w:p>
          <w:p>
            <w:pPr>
              <w:pStyle w:val="Normal"/>
              <w:spacing w:lineRule="auto" w:line="240"/>
              <w:rPr/>
            </w:pPr>
            <w:r>
              <w:rPr/>
            </w:r>
          </w:p>
        </w:tc>
        <w:tc>
          <w:tcPr>
            <w:tcW w:w="4500" w:type="dxa"/>
            <w:tcBorders/>
          </w:tcPr>
          <w:p>
            <w:pPr>
              <w:pStyle w:val="Normal"/>
              <w:spacing w:lineRule="auto" w:line="240"/>
              <w:rPr/>
            </w:pPr>
            <w:r>
              <w:rPr/>
              <w:t xml:space="preserve"> </w:t>
            </w:r>
          </w:p>
          <w:p>
            <w:pPr>
              <w:pStyle w:val="Normal"/>
              <w:tabs>
                <w:tab w:val="clear" w:pos="720"/>
                <w:tab w:val="left" w:pos="4032" w:leader="none"/>
              </w:tabs>
              <w:spacing w:lineRule="auto" w:line="240"/>
              <w:rPr/>
            </w:pPr>
            <w:r>
              <w:rPr/>
            </w:r>
          </w:p>
          <w:p>
            <w:pPr>
              <w:pStyle w:val="Normal"/>
              <w:spacing w:lineRule="auto" w:line="240"/>
              <w:ind w:start="360" w:end="0"/>
              <w:rPr/>
            </w:pPr>
            <w:r>
              <w:rPr/>
            </w:r>
          </w:p>
        </w:tc>
      </w:tr>
    </w:tbl>
    <w:p>
      <w:pPr>
        <w:pStyle w:val="SingleSpacing"/>
        <w:tabs>
          <w:tab w:val="clear" w:pos="720"/>
          <w:tab w:val="right" w:pos="3600" w:leader="none"/>
        </w:tabs>
        <w:rPr/>
      </w:pPr>
      <w:r>
        <w:rPr/>
      </w:r>
    </w:p>
    <w:p>
      <w:pPr>
        <w:sectPr>
          <w:headerReference w:type="default" r:id="rId6"/>
          <w:headerReference w:type="first" r:id="rId7"/>
          <w:footerReference w:type="default" r:id="rId8"/>
          <w:footerReference w:type="first" r:id="rId9"/>
          <w:footnotePr>
            <w:numFmt w:val="decimal"/>
          </w:footnotePr>
          <w:type w:val="nextPage"/>
          <w:pgSz w:w="12240" w:h="15840"/>
          <w:pgMar w:left="1800" w:right="605" w:gutter="0" w:header="432" w:top="1354" w:footer="576" w:bottom="1080"/>
          <w:pgNumType w:start="1" w:fmt="decimal"/>
          <w:formProt w:val="false"/>
          <w:textDirection w:val="lrTb"/>
          <w:docGrid w:type="default" w:linePitch="360" w:charSpace="0"/>
        </w:sectPr>
        <w:pStyle w:val="SingleSpacing"/>
        <w:tabs>
          <w:tab w:val="clear" w:pos="720"/>
          <w:tab w:val="right" w:pos="3600" w:leader="none"/>
        </w:tabs>
        <w:rPr/>
      </w:pPr>
      <w:r>
        <w:rPr/>
      </w:r>
    </w:p>
    <w:p>
      <w:pPr>
        <w:pStyle w:val="Normal"/>
        <w:jc w:val="center"/>
        <w:rPr/>
      </w:pPr>
      <w:r>
        <w:rPr/>
        <w:t>PROOF OF SERVICE BY MAIL</w:t>
      </w:r>
    </w:p>
    <w:p>
      <w:pPr>
        <w:pStyle w:val="BodyText"/>
        <w:spacing w:before="120" w:after="0"/>
        <w:ind w:end="-450"/>
        <w:rPr/>
      </w:pPr>
      <w:r>
        <w:rPr/>
        <w:t>I, the undersigned, state that I am a citizen of the United States and employed in the City and County of San Francisco; that I am over the age of eighteen (18) years and not a party to the within cause; and that my business address is Pacific Gas and Electric Company, 77 Beale Street, San Francisco, California 94105.</w:t>
      </w:r>
    </w:p>
    <w:p>
      <w:pPr>
        <w:pStyle w:val="BodyText"/>
        <w:ind w:end="-450"/>
        <w:rPr/>
      </w:pPr>
      <w:r>
        <w:rPr/>
        <w:t>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BodyText"/>
        <w:ind w:end="-450"/>
        <w:rPr/>
      </w:pPr>
      <w:r>
        <w:rPr/>
        <w:t>On November 22, 1999, I caused to be served a true copy of:</w:t>
      </w:r>
    </w:p>
    <w:p>
      <w:pPr>
        <w:pStyle w:val="Normal"/>
        <w:ind w:end="-450"/>
        <w:jc w:val="center"/>
        <w:rPr/>
      </w:pPr>
      <w:r>
        <w:rPr/>
      </w:r>
    </w:p>
    <w:p>
      <w:pPr>
        <w:pStyle w:val="Normal"/>
        <w:spacing w:lineRule="auto" w:line="240"/>
        <w:jc w:val="center"/>
        <w:rPr>
          <w:b/>
        </w:rPr>
      </w:pPr>
      <w:r>
        <w:rPr>
          <w:b/>
        </w:rPr>
        <w:t xml:space="preserve">COMMENTS OF </w:t>
      </w:r>
    </w:p>
    <w:p>
      <w:pPr>
        <w:pStyle w:val="Normal"/>
        <w:spacing w:lineRule="auto" w:line="240"/>
        <w:jc w:val="center"/>
        <w:rPr>
          <w:b/>
        </w:rPr>
      </w:pPr>
      <w:r>
        <w:rPr>
          <w:b/>
        </w:rPr>
        <w:t xml:space="preserve">SETTLEMENT PARTIES SUPPORTING </w:t>
      </w:r>
    </w:p>
    <w:p>
      <w:pPr>
        <w:pStyle w:val="Normal"/>
        <w:spacing w:lineRule="auto" w:line="240"/>
        <w:jc w:val="center"/>
        <w:rPr>
          <w:b/>
        </w:rPr>
      </w:pPr>
      <w:r>
        <w:rPr>
          <w:b/>
        </w:rPr>
        <w:t>OPERATIONAL FLOW ORDER (OFO) SETTLEMENT AGREEMENT</w:t>
      </w:r>
    </w:p>
    <w:p>
      <w:pPr>
        <w:pStyle w:val="BodyText"/>
        <w:ind w:hanging="0" w:end="-446"/>
        <w:rPr/>
      </w:pPr>
      <w:r>
        <w:rPr/>
        <w:t>by placing it for collection and mailing, in the course of ordinary business practice, with other correspondence of Pacific Gas and Electric Company, on November 22, 1999, enclosed in a sealed envelope, with postage fully prepaid, addressed to:</w:t>
      </w:r>
    </w:p>
    <w:p>
      <w:pPr>
        <w:pStyle w:val="BodyText"/>
        <w:ind w:hanging="0" w:end="-450"/>
        <w:jc w:val="center"/>
        <w:rPr/>
      </w:pPr>
      <w:r>
        <w:rPr/>
        <w:t>All Parties in I.99</w:t>
        <w:noBreakHyphen/>
        <w:t>07</w:t>
        <w:noBreakHyphen/>
        <w:t>003</w:t>
      </w:r>
    </w:p>
    <w:p>
      <w:pPr>
        <w:pStyle w:val="BodyText"/>
        <w:ind w:end="-450"/>
        <w:rPr/>
      </w:pPr>
      <w:r>
        <w:rPr/>
        <w:t>I certify and declare under penalty of perjury under the laws of the State of California that the foregoing is true and correct.</w:t>
      </w:r>
    </w:p>
    <w:p>
      <w:pPr>
        <w:pStyle w:val="BodyText"/>
        <w:ind w:end="-450"/>
        <w:rPr/>
      </w:pPr>
      <w:r>
        <w:rPr/>
        <w:t>Executed on November 22, 1999.</w:t>
      </w:r>
    </w:p>
    <w:p>
      <w:pPr>
        <w:pStyle w:val="Normal"/>
        <w:ind w:end="-450"/>
        <w:rPr/>
      </w:pPr>
      <w:r>
        <w:rPr/>
      </w:r>
    </w:p>
    <w:p>
      <w:pPr>
        <w:pStyle w:val="Normal"/>
        <w:ind w:end="-450"/>
        <w:rPr/>
      </w:pPr>
      <w:r>
        <w:rPr/>
      </w:r>
    </w:p>
    <w:p>
      <w:pPr>
        <w:pStyle w:val="SingleSpacing"/>
        <w:ind w:end="-450"/>
        <w:rPr/>
      </w:pPr>
      <w:r>
        <w:rPr/>
        <w:tab/>
        <w:tab/>
        <w:tab/>
        <w:tab/>
        <w:tab/>
        <w:tab/>
      </w:r>
      <w:r>
        <w:rPr>
          <w:u w:val="single"/>
        </w:rPr>
        <w:tab/>
        <w:tab/>
        <w:tab/>
        <w:tab/>
        <w:tab/>
        <w:tab/>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432" w:top="1296" w:footer="576" w:bottom="1080"/>
          <w:pgNumType w:start="1" w:fmt="decimal"/>
          <w:formProt w:val="false"/>
          <w:textDirection w:val="lrTb"/>
          <w:docGrid w:type="default" w:linePitch="360" w:charSpace="0"/>
        </w:sectPr>
        <w:pStyle w:val="Normal"/>
        <w:spacing w:lineRule="exact" w:line="249"/>
        <w:ind w:end="-450"/>
        <w:rPr/>
      </w:pPr>
      <w:r>
        <w:rPr/>
        <w:tab/>
        <w:tab/>
        <w:tab/>
        <w:tab/>
        <w:tab/>
        <w:tab/>
      </w:r>
      <w:r>
        <w:rPr>
          <w:vertAlign w:val="superscript"/>
        </w:rPr>
        <w:t xml:space="preserve">  </w:t>
      </w:r>
      <w:r>
        <w:rPr/>
        <w:t xml:space="preserve">  </w:t>
        <w:tab/>
        <w:t xml:space="preserve">      STEPHANIE LOUIE</w:t>
      </w:r>
    </w:p>
    <w:p>
      <w:pPr>
        <w:pStyle w:val="TOC1"/>
        <w:spacing w:before="240" w:after="240"/>
        <w:rPr>
          <w:lang w:val="en-CA"/>
        </w:rPr>
      </w:pPr>
      <w:bookmarkStart w:id="1" w:name="TOC"/>
      <w:bookmarkEnd w:id="1"/>
      <w:r>
        <w:rPr>
          <w:lang w:val="en-CA"/>
        </w:rPr>
        <w:t>I.</w:t>
        <w:tab/>
        <w:t>THE COMMISSION SHOULD EXPEDITIOUSLY AUTHORIZE THE SETTLEMENT WITHOUT MODIFICATION OR FURTHER PROCEEDINGS</w:t>
        <w:tab/>
        <w:t>2</w:t>
      </w:r>
    </w:p>
    <w:p>
      <w:pPr>
        <w:pStyle w:val="TOC2"/>
        <w:spacing w:before="240" w:after="240"/>
        <w:rPr>
          <w:lang w:val="en-CA"/>
        </w:rPr>
      </w:pPr>
      <w:r>
        <w:rPr>
          <w:lang w:val="en-CA"/>
        </w:rPr>
        <w:t>A.</w:t>
        <w:tab/>
        <w:t>The Settlement Is In The Public Interest</w:t>
        <w:tab/>
        <w:t>2</w:t>
      </w:r>
    </w:p>
    <w:p>
      <w:pPr>
        <w:pStyle w:val="TOC2"/>
        <w:spacing w:before="240" w:after="240"/>
        <w:rPr>
          <w:lang w:val="en-CA"/>
        </w:rPr>
      </w:pPr>
      <w:r>
        <w:rPr>
          <w:lang w:val="en-CA"/>
        </w:rPr>
        <w:t>B.</w:t>
        <w:tab/>
        <w:t>The Settlement Does Not Substantively Change the Gas Accord</w:t>
        <w:tab/>
        <w:t>2</w:t>
      </w:r>
    </w:p>
    <w:p>
      <w:pPr>
        <w:pStyle w:val="TOC2"/>
        <w:spacing w:before="240" w:after="240"/>
        <w:rPr>
          <w:lang w:val="en-CA"/>
        </w:rPr>
      </w:pPr>
      <w:r>
        <w:rPr>
          <w:lang w:val="en-CA"/>
        </w:rPr>
        <w:t>C.</w:t>
        <w:tab/>
        <w:t>No Further Proceedings Are Necessary For The Commission To Adopt The Settlement</w:t>
        <w:tab/>
        <w:t>3</w:t>
      </w:r>
    </w:p>
    <w:p>
      <w:pPr>
        <w:pStyle w:val="TOC1"/>
        <w:spacing w:before="240" w:after="240"/>
        <w:rPr>
          <w:lang w:val="en-CA"/>
        </w:rPr>
      </w:pPr>
      <w:r>
        <w:rPr>
          <w:lang w:val="en-CA"/>
        </w:rPr>
        <w:t>II.</w:t>
        <w:tab/>
        <w:t>THE SETTLEMENT SHOULD BE APPROVED AS A FINAL SETTLEMENT IN ACCORDANCE WITH ITS TERMS</w:t>
        <w:tab/>
        <w:t>4</w:t>
      </w:r>
    </w:p>
    <w:p>
      <w:pPr>
        <w:sectPr>
          <w:headerReference w:type="default" r:id="rId14"/>
          <w:headerReference w:type="first" r:id="rId15"/>
          <w:footerReference w:type="default" r:id="rId16"/>
          <w:footerReference w:type="first" r:id="rId17"/>
          <w:footnotePr>
            <w:numFmt w:val="decimal"/>
          </w:footnotePr>
          <w:type w:val="nextPage"/>
          <w:pgSz w:w="12240" w:h="15840"/>
          <w:pgMar w:left="1800" w:right="605" w:gutter="0" w:header="288" w:top="2016" w:footer="576" w:bottom="1080"/>
          <w:pgNumType w:start="1" w:fmt="decimal"/>
          <w:formProt w:val="false"/>
          <w:titlePg/>
          <w:textDirection w:val="lrTb"/>
          <w:docGrid w:type="default" w:linePitch="360" w:charSpace="0"/>
        </w:sectPr>
        <w:pStyle w:val="TOC1"/>
        <w:spacing w:before="240" w:after="240"/>
        <w:rPr>
          <w:lang w:val="en-CA"/>
        </w:rPr>
      </w:pPr>
      <w:r>
        <w:rPr>
          <w:lang w:val="en-CA"/>
        </w:rPr>
        <w:t>III.</w:t>
        <w:tab/>
        <w:t>CONCLUSION</w:t>
        <w:tab/>
        <w:t>5</w:t>
      </w:r>
    </w:p>
    <w:p>
      <w:pPr>
        <w:pStyle w:val="Normal"/>
        <w:jc w:val="end"/>
        <w:rPr>
          <w:smallCaps/>
        </w:rPr>
      </w:pPr>
      <w:bookmarkStart w:id="2" w:name="TOC"/>
      <w:bookmarkEnd w:id="2"/>
      <w:r>
        <w:rPr>
          <w:smallCaps/>
        </w:rPr>
        <w:t>Page(s)</w:t>
      </w:r>
    </w:p>
    <w:p>
      <w:pPr>
        <w:pStyle w:val="Normal"/>
        <w:rPr>
          <w:smallCaps/>
        </w:rPr>
      </w:pPr>
      <w:r>
        <w:rPr>
          <w:smallCaps/>
        </w:rPr>
      </w:r>
    </w:p>
    <w:p>
      <w:pPr>
        <w:pStyle w:val="BodyText"/>
        <w:ind w:hanging="0" w:end="0"/>
        <w:rPr/>
      </w:pPr>
      <w:r>
        <w:rPr/>
        <w:t>Please do not delete any of the above “end of section” breaks!</w:t>
      </w:r>
    </w:p>
    <w:p>
      <w:pPr>
        <w:pStyle w:val="BodyText"/>
        <w:spacing w:lineRule="exact" w:line="240"/>
        <w:ind w:hanging="0" w:end="0"/>
        <w:rPr>
          <w:u w:val="single"/>
        </w:rPr>
      </w:pPr>
      <w:r>
        <w:rPr>
          <w:u w:val="single"/>
        </w:rPr>
      </w:r>
    </w:p>
    <w:sectPr>
      <w:headerReference w:type="default" r:id="rId18"/>
      <w:headerReference w:type="first" r:id="rId19"/>
      <w:footerReference w:type="default" r:id="rId20"/>
      <w:footerReference w:type="first" r:id="rId21"/>
      <w:footnotePr>
        <w:numFmt w:val="decimal"/>
      </w:footnotePr>
      <w:type w:val="nextPage"/>
      <w:pgSz w:w="12240" w:h="15840"/>
      <w:pgMar w:left="1800" w:right="605" w:gutter="0" w:header="288" w:top="2016" w:footer="576" w:bottom="1080"/>
      <w:pgNumType w:start="2"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ii</w:t>
    </w:r>
    <w:r>
      <w:rPr/>
      <w:fldChar w:fldCharType="end"/>
    </w:r>
    <w:r>
      <w:rPr/>
      <w:t xml:space="preserve"> -</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821" w:leader="none"/>
      </w:tabs>
      <w:rPr>
        <w:rStyle w:val="PageNumber"/>
        <w:rFonts w:ascii="Times New Roman" w:hAnsi="Times New Roman" w:cs="Times New Roman"/>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/mnt/main-storage/datasets/enron-docs/doc/Comments_OFO.doc</w:t>
    </w:r>
    <w:r>
      <w:rPr>
        <w:sz w:val="16"/>
        <w:lang w:eastAsia="en-US"/>
      </w:rPr>
      <w:fldChar w:fldCharType="end"/>
    </w:r>
    <w:r>
      <w:rPr>
        <w:sz w:val="16"/>
      </w:rPr>
      <w:tab/>
    </w:r>
    <w:r>
      <w:rPr>
        <w:rStyle w:val="PageNumber"/>
        <w:rFonts w:cs="Times New Roman"/>
        <w:sz w:val="16"/>
      </w:rPr>
      <w:fldChar w:fldCharType="begin"/>
    </w:r>
    <w:r>
      <w:rPr>
        <w:rStyle w:val="PageNumber"/>
        <w:sz w:val="16"/>
        <w:rFonts w:cs="Times New Roman"/>
      </w:rPr>
      <w:instrText xml:space="preserve"> PAGE </w:instrText>
    </w:r>
    <w:r>
      <w:rPr>
        <w:rStyle w:val="PageNumber"/>
        <w:sz w:val="16"/>
        <w:rFonts w:cs="Times New Roman"/>
      </w:rPr>
      <w:fldChar w:fldCharType="separate"/>
    </w:r>
    <w:r>
      <w:rPr>
        <w:rStyle w:val="PageNumber"/>
        <w:sz w:val="16"/>
        <w:rFonts w:cs="Times New Roman"/>
      </w:rPr>
      <w:t>1</w:t>
    </w:r>
    <w:r>
      <w:rPr>
        <w:rStyle w:val="PageNumber"/>
        <w:sz w:val="16"/>
        <w:rFonts w:cs="Times New Roman"/>
      </w:rPr>
      <w:fldChar w:fldCharType="end"/>
    </w:r>
  </w:p>
  <w:p>
    <w:pPr>
      <w:pStyle w:val="Footer"/>
      <w:tabs>
        <w:tab w:val="clear" w:pos="4320"/>
        <w:tab w:val="center" w:pos="4680" w:leader="none"/>
        <w:tab w:val="right" w:pos="9821" w:leader="none"/>
      </w:tabs>
      <w:rPr/>
    </w:pPr>
    <w:r>
      <w:rPr>
        <w:rStyle w:val="PageNumber"/>
        <w:rFonts w:cs="Times New Roman"/>
        <w:sz w:val="16"/>
      </w:rPr>
      <w:t>DWT San Francisco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821" w:leader="none"/>
      </w:tabs>
      <w:rPr>
        <w:rStyle w:val="PageNumber"/>
        <w:rFonts w:ascii="Times New Roman" w:hAnsi="Times New Roman" w:cs="Times New Roman"/>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/mnt/main-storage/datasets/enron-docs/doc/Comments_OFO.doc</w:t>
    </w:r>
    <w:r>
      <w:rPr>
        <w:sz w:val="16"/>
        <w:lang w:eastAsia="en-US"/>
      </w:rPr>
      <w:fldChar w:fldCharType="end"/>
    </w:r>
    <w:r>
      <w:rPr>
        <w:sz w:val="16"/>
      </w:rPr>
      <w:tab/>
    </w:r>
    <w:r>
      <w:rPr>
        <w:rStyle w:val="PageNumber"/>
        <w:rFonts w:cs="Times New Roman"/>
        <w:sz w:val="16"/>
      </w:rPr>
      <w:fldChar w:fldCharType="begin"/>
    </w:r>
    <w:r>
      <w:rPr>
        <w:rStyle w:val="PageNumber"/>
        <w:sz w:val="16"/>
        <w:rFonts w:cs="Times New Roman"/>
      </w:rPr>
      <w:instrText xml:space="preserve"> PAGE </w:instrText>
    </w:r>
    <w:r>
      <w:rPr>
        <w:rStyle w:val="PageNumber"/>
        <w:sz w:val="16"/>
        <w:rFonts w:cs="Times New Roman"/>
      </w:rPr>
      <w:fldChar w:fldCharType="separate"/>
    </w:r>
    <w:r>
      <w:rPr>
        <w:rStyle w:val="PageNumber"/>
        <w:sz w:val="16"/>
        <w:rFonts w:cs="Times New Roman"/>
      </w:rPr>
      <w:t>6</w:t>
    </w:r>
    <w:r>
      <w:rPr>
        <w:rStyle w:val="PageNumber"/>
        <w:sz w:val="16"/>
        <w:rFonts w:cs="Times New Roman"/>
      </w:rPr>
      <w:fldChar w:fldCharType="end"/>
    </w:r>
  </w:p>
  <w:p>
    <w:pPr>
      <w:pStyle w:val="Footer"/>
      <w:tabs>
        <w:tab w:val="clear" w:pos="4320"/>
        <w:tab w:val="center" w:pos="4680" w:leader="none"/>
        <w:tab w:val="right" w:pos="9821" w:leader="none"/>
      </w:tabs>
      <w:rPr/>
    </w:pPr>
    <w:r>
      <w:rPr>
        <w:rStyle w:val="PageNumber"/>
        <w:rFonts w:cs="Times New Roman"/>
        <w:sz w:val="16"/>
      </w:rPr>
      <w:t>DWT San Francisco</w:t>
    </w:r>
  </w:p>
  <w:p>
    <w:pPr>
      <w:pStyle w:val="Footer"/>
      <w:rPr>
        <w:rStyle w:val="PageNumber"/>
        <w:rFonts w:ascii="Times New Roman" w:hAnsi="Times New Roman" w:cs="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r>
    <w:r>
      <w:rPr/>
      <w:fldChar w:fldCharType="end"/>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w:t>
    </w:r>
    <w:r>
      <w:rPr/>
      <w:fldChar w:fldCharType="end"/>
    </w: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120"/>
        <w:ind w:hanging="432" w:start="432" w:end="0"/>
        <w:rPr/>
      </w:pPr>
      <w:r>
        <w:rPr>
          <w:rStyle w:val="FootnoteCharacters"/>
        </w:rPr>
        <w:footnoteRef/>
      </w:r>
      <w:r>
        <w:rPr/>
        <w:tab/>
        <w:t>Pacific Gas and Electric Company (“PG&amp;E”), Aglet Consumer Alliance, Calpine Corporation, City of Palo Alto, Enron Corporation, Kern River Gas Transmission Company, Interstate Gas Services, Inc., Office of Ratepayer Advocates, School Project for Utility Rate Reduction, The Utility Reform Network, UtiliCorp Energy Solutions, Inc., Suncor, Inc., TXU Energy Services and Wild Goose Storage, Inc.</w:t>
      </w:r>
    </w:p>
  </w:footnote>
  <w:footnote w:id="3">
    <w:p>
      <w:pPr>
        <w:pStyle w:val="FootnoteText"/>
        <w:spacing w:lineRule="exact" w:line="240" w:before="0" w:after="120"/>
        <w:ind w:hanging="432" w:start="432" w:end="0"/>
        <w:rPr/>
      </w:pPr>
      <w:r>
        <w:rPr>
          <w:rStyle w:val="FootnoteCharacters"/>
        </w:rPr>
        <w:footnoteRef/>
      </w:r>
      <w:r>
        <w:rPr/>
        <w:tab/>
        <w:t>In accordance with Rule 51.4, replies to these Comments are due fifteen (15) days from the date filed.</w:t>
      </w:r>
    </w:p>
  </w:footnote>
  <w:footnote w:id="4">
    <w:p>
      <w:pPr>
        <w:pStyle w:val="FootnoteText"/>
        <w:spacing w:lineRule="exact" w:line="240" w:before="0" w:after="120"/>
        <w:ind w:hanging="432" w:start="432" w:end="0"/>
        <w:rPr/>
      </w:pPr>
      <w:r>
        <w:rPr>
          <w:rStyle w:val="FootnoteCharacters"/>
        </w:rPr>
        <w:footnoteRef/>
      </w:r>
      <w:r>
        <w:rPr/>
        <w:tab/>
        <w:t>Tr. p. 73:1-5.</w:t>
      </w:r>
    </w:p>
  </w:footnote>
  <w:footnote w:id="5">
    <w:p>
      <w:pPr>
        <w:pStyle w:val="FootnoteText"/>
        <w:spacing w:lineRule="exact" w:line="240" w:before="0" w:after="120"/>
        <w:ind w:hanging="432" w:start="432" w:end="0"/>
        <w:rPr/>
      </w:pPr>
      <w:r>
        <w:rPr>
          <w:rStyle w:val="FootnoteCharacters"/>
        </w:rPr>
        <w:footnoteRef/>
      </w:r>
      <w:r>
        <w:rPr/>
        <w:tab/>
        <w:t>Tr. pp. 64:3-14; 70:27-71:11.</w:t>
      </w:r>
    </w:p>
  </w:footnote>
  <w:footnote w:id="6">
    <w:p>
      <w:pPr>
        <w:pStyle w:val="FootnoteText"/>
        <w:spacing w:lineRule="exact" w:line="240" w:before="0" w:after="120"/>
        <w:ind w:hanging="432" w:start="432" w:end="0"/>
        <w:rPr/>
      </w:pPr>
      <w:r>
        <w:rPr>
          <w:rStyle w:val="FootnoteCharacters"/>
        </w:rPr>
        <w:footnoteRef/>
      </w:r>
      <w:r>
        <w:rPr/>
        <w:tab/>
        <w:t>See Joint Motion, p. 2; Declaration, p. 1.</w:t>
      </w:r>
    </w:p>
  </w:footnote>
  <w:footnote w:id="7">
    <w:p>
      <w:pPr>
        <w:pStyle w:val="FootnoteText"/>
        <w:spacing w:lineRule="exact" w:line="240" w:before="0" w:after="120"/>
        <w:ind w:hanging="432" w:start="432" w:end="0"/>
        <w:rPr/>
      </w:pPr>
      <w:r>
        <w:rPr>
          <w:rStyle w:val="FootnoteCharacters"/>
        </w:rPr>
        <w:footnoteRef/>
      </w:r>
      <w:r>
        <w:rPr/>
        <w:tab/>
        <w:t>See Joint Motion, pp. 2-3; Declaration, p. 2.</w:t>
      </w:r>
    </w:p>
  </w:footnote>
  <w:footnote w:id="8">
    <w:p>
      <w:pPr>
        <w:pStyle w:val="FootnoteText"/>
        <w:spacing w:lineRule="exact" w:line="240" w:before="0" w:after="120"/>
        <w:ind w:hanging="432" w:start="432" w:end="0"/>
        <w:rPr/>
      </w:pPr>
      <w:r>
        <w:rPr>
          <w:rStyle w:val="FootnoteCharacters"/>
        </w:rPr>
        <w:footnoteRef/>
      </w:r>
      <w:r>
        <w:rPr/>
        <w:tab/>
        <w:t>Settlement, p. 1.</w:t>
      </w:r>
    </w:p>
  </w:footnote>
  <w:footnote w:id="9">
    <w:p>
      <w:pPr>
        <w:pStyle w:val="FootnoteText"/>
        <w:spacing w:lineRule="exact" w:line="240" w:before="0" w:after="120"/>
        <w:ind w:hanging="432" w:start="432" w:end="0"/>
        <w:rPr/>
      </w:pPr>
      <w:r>
        <w:rPr>
          <w:rStyle w:val="FootnoteCharacters"/>
        </w:rPr>
        <w:footnoteRef/>
      </w:r>
      <w:r>
        <w:rPr/>
        <w:tab/>
        <w:t>Settlement, p. 2.</w:t>
      </w:r>
    </w:p>
  </w:footnote>
  <w:footnote w:id="10">
    <w:p>
      <w:pPr>
        <w:pStyle w:val="FootnoteText"/>
        <w:spacing w:lineRule="exact" w:line="240" w:before="0" w:after="120"/>
        <w:ind w:hanging="432" w:start="432" w:end="0"/>
        <w:rPr/>
      </w:pPr>
      <w:r>
        <w:rPr>
          <w:rStyle w:val="FootnoteCharacters"/>
        </w:rPr>
        <w:footnoteRef/>
      </w:r>
      <w:r>
        <w:rPr/>
        <w:tab/>
        <w:t>Pub. Util. Code § 1708 provides that the Commission may alter or amend any decision upon providing parties with opportunity to be heard.  The Settlement does not substantively alter the provisions of the Gas Accord, or any other Commission decision.  Moreover, in this case a broad-based coalition, including the utility, shippers, consumer groups, ORA and others have agreed to additional protocols based upon concerns already expressed in a hearing held in Rulemaking 98-01-011.  Thus, Pub. Util. Code § 1708 does not in this case require that the Commission hold a hearing before approving the Settlement.</w:t>
      </w:r>
    </w:p>
  </w:footnote>
  <w:footnote w:id="11">
    <w:p>
      <w:pPr>
        <w:pStyle w:val="FootnoteText"/>
        <w:spacing w:lineRule="exact" w:line="240" w:before="0" w:after="120"/>
        <w:ind w:hanging="432" w:start="432" w:end="0"/>
        <w:rPr/>
      </w:pPr>
      <w:r>
        <w:rPr>
          <w:rStyle w:val="FootnoteCharacters"/>
        </w:rPr>
        <w:footnoteRef/>
      </w:r>
      <w:r>
        <w:rPr/>
        <w:tab/>
        <w:t>SB 1602 does not define “restructuring decisions.”  The common definition of the term “restructure” is “to give a new structure or organization to.” (Webster’s Third New International Dictionary, Unabridged 1993 Ed., p. 1937).  Clearly, the Settlement does not constitute a change in the structure or organization of core service.</w:t>
      </w:r>
    </w:p>
  </w:footnote>
  <w:footnote w:id="12">
    <w:p>
      <w:pPr>
        <w:pStyle w:val="FootnoteText"/>
        <w:spacing w:lineRule="exact" w:line="240" w:before="0" w:after="120"/>
        <w:ind w:hanging="432" w:start="432" w:end="0"/>
        <w:rPr/>
      </w:pPr>
      <w:r>
        <w:rPr>
          <w:rStyle w:val="FootnoteCharacters"/>
        </w:rPr>
        <w:footnoteRef/>
      </w:r>
      <w:r>
        <w:rPr/>
        <w:tab/>
        <w:t>Settlement, p. 2.</w:t>
      </w:r>
    </w:p>
  </w:footnote>
  <w:footnote w:id="13">
    <w:p>
      <w:pPr>
        <w:pStyle w:val="FootnoteText"/>
        <w:spacing w:lineRule="exact" w:line="240" w:before="0" w:after="120"/>
        <w:ind w:hanging="432" w:start="432" w:end="0"/>
        <w:rPr/>
      </w:pPr>
      <w:r>
        <w:rPr>
          <w:rStyle w:val="FootnoteCharacters"/>
        </w:rPr>
        <w:footnoteRef/>
      </w:r>
      <w:r>
        <w:rPr/>
        <w:tab/>
      </w:r>
      <w:r>
        <w:rPr>
          <w:u w:val="single"/>
        </w:rPr>
        <w:t>Id</w:t>
      </w:r>
      <w:r>
        <w:rPr/>
        <w:t>., p. 3.</w:t>
      </w:r>
    </w:p>
  </w:footnote>
  <w:footnote w:id="14">
    <w:p>
      <w:pPr>
        <w:pStyle w:val="FootnoteText"/>
        <w:spacing w:lineRule="exact" w:line="240" w:before="0" w:after="120"/>
        <w:ind w:hanging="432" w:start="432" w:end="0"/>
        <w:rPr/>
      </w:pPr>
      <w:r>
        <w:rPr>
          <w:rStyle w:val="FootnoteCharacters"/>
        </w:rPr>
        <w:footnoteRef/>
      </w:r>
      <w:r>
        <w:rPr/>
        <w:tab/>
        <w:t>Counsel for PG&amp;E has been authorized to sign on behalf of all listed parties.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lineRule="exact" w:line="480" w:before="720" w:after="0"/>
            <w:ind w:hanging="0" w:start="0" w:end="144"/>
            <w:jc w:val="end"/>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align>top</wp:align>
              </wp:positionV>
              <wp:extent cx="6858000" cy="10058400"/>
              <wp:effectExtent l="0" t="0" r="0" b="0"/>
              <wp:wrapNone/>
              <wp:docPr id="6" name="Frame6"/>
              <a:graphic xmlns:a="http://schemas.openxmlformats.org/drawingml/2006/main">
                <a:graphicData uri="http://schemas.microsoft.com/office/word/2010/wordprocessingShape">
                  <wps:wsp>
                    <wps:cNvSpPr txBox="1"/>
                    <wps:spPr>
                      <a:xfrm>
                        <a:off x="0" y="0"/>
                        <a:ext cx="6858000" cy="10058400"/>
                      </a:xfrm>
                      <a:prstGeom prst="rect"/>
                      <a:solidFill>
                        <a:srgbClr val="FFFFFF"/>
                      </a:solidFill>
                    </wps:spPr>
                    <wps:txbx>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smallCaps/>
                                  </w:rPr>
                                </w:pPr>
                                <w:r>
                                  <w:rPr>
                                    <w:b/>
                                    <w:smallCaps/>
                                  </w:rPr>
                                  <w:t>Table of Authorities</w:t>
                                </w:r>
                              </w:p>
                              <w:p>
                                <w:pPr>
                                  <w:pStyle w:val="Normal"/>
                                  <w:rPr>
                                    <w:b/>
                                    <w:smallCaps/>
                                  </w:rPr>
                                </w:pPr>
                                <w:r>
                                  <w:rPr>
                                    <w:b/>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smallCaps/>
                                  </w:rPr>
                                </w:pPr>
                                <w:r>
                                  <w:rPr>
                                    <w:b/>
                                    <w:smallCaps/>
                                  </w:rPr>
                                </w:r>
                              </w:p>
                            </w:tc>
                          </w:tr>
                          <w:tr>
                            <w:trPr>
                              <w:trHeight w:val="15000" w:hRule="exact"/>
                            </w:trPr>
                            <w:tc>
                              <w:tcPr>
                                <w:tcW w:w="540" w:type="dxa"/>
                                <w:tcBorders>
                                  <w:end w:val="double" w:sz="6" w:space="0" w:color="000000"/>
                                </w:tcBorders>
                              </w:tcPr>
                              <w:p>
                                <w:pPr>
                                  <w:pStyle w:val="HeaderNumbers"/>
                                  <w:snapToGrid w:val="false"/>
                                  <w:spacing w:before="700" w:after="0"/>
                                  <w:rPr>
                                    <w:b/>
                                    <w:smallCaps/>
                                  </w:rPr>
                                </w:pPr>
                                <w:r>
                                  <w:rPr>
                                    <w:b/>
                                    <w:smallCaps/>
                                  </w:rPr>
                                </w:r>
                              </w:p>
                            </w:tc>
                            <w:tc>
                              <w:tcPr>
                                <w:tcW w:w="10260" w:type="dxa"/>
                                <w:tcBorders>
                                  <w:end w:val="single" w:sz="6" w:space="0" w:color="000000"/>
                                </w:tcBorders>
                              </w:tcPr>
                              <w:p>
                                <w:pPr>
                                  <w:pStyle w:val="Normal"/>
                                  <w:snapToGrid w:val="false"/>
                                  <w:spacing w:before="900" w:after="0"/>
                                  <w:jc w:val="center"/>
                                  <w:rPr>
                                    <w:b/>
                                    <w:smallCaps/>
                                  </w:rPr>
                                </w:pPr>
                                <w:r>
                                  <w:rPr>
                                    <w:b/>
                                    <w:smallCaps/>
                                  </w:rPr>
                                </w:r>
                              </w:p>
                            </w:tc>
                          </w:tr>
                        </w:tbl>
                      </w:txbxContent>
                    </wps:txbx>
                    <wps:bodyPr anchor="t" lIns="0" tIns="0" rIns="0" bIns="0">
                      <a:noAutofit/>
                    </wps:bodyPr>
                  </wps:wsp>
                </a:graphicData>
              </a:graphic>
            </wp:anchor>
          </w:drawing>
        </mc:Choice>
        <mc:Fallback>
          <w:pict>
            <v:rect style="position:absolute;rotation:-0;width:540pt;height:792pt;mso-wrap-distance-left:0pt;mso-wrap-distance-right:0pt;mso-wrap-distance-top:0pt;mso-wrap-distance-bottom:0pt;margin-top:-14.4pt;mso-position-vertical:top;mso-position-vertical-relative:text;margin-left:-18.05pt;mso-position-horizontal:left;mso-position-horizontal-relative:text">
              <v:textbox inset="0in,0in,0in,0in">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smallCaps/>
                            </w:rPr>
                          </w:pPr>
                          <w:r>
                            <w:rPr>
                              <w:b/>
                              <w:smallCaps/>
                            </w:rPr>
                            <w:t>Table of Authorities</w:t>
                          </w:r>
                        </w:p>
                        <w:p>
                          <w:pPr>
                            <w:pStyle w:val="Normal"/>
                            <w:rPr>
                              <w:b/>
                              <w:smallCaps/>
                            </w:rPr>
                          </w:pPr>
                          <w:r>
                            <w:rPr>
                              <w:b/>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smallCaps/>
                            </w:rPr>
                          </w:pPr>
                          <w:r>
                            <w:rPr>
                              <w:b/>
                              <w:smallCaps/>
                            </w:rPr>
                          </w:r>
                        </w:p>
                      </w:tc>
                    </w:tr>
                    <w:tr>
                      <w:trPr>
                        <w:trHeight w:val="15000" w:hRule="exact"/>
                      </w:trPr>
                      <w:tc>
                        <w:tcPr>
                          <w:tcW w:w="540" w:type="dxa"/>
                          <w:tcBorders>
                            <w:end w:val="double" w:sz="6" w:space="0" w:color="000000"/>
                          </w:tcBorders>
                        </w:tcPr>
                        <w:p>
                          <w:pPr>
                            <w:pStyle w:val="HeaderNumbers"/>
                            <w:snapToGrid w:val="false"/>
                            <w:spacing w:before="700" w:after="0"/>
                            <w:rPr>
                              <w:b/>
                              <w:smallCaps/>
                            </w:rPr>
                          </w:pPr>
                          <w:r>
                            <w:rPr>
                              <w:b/>
                              <w:smallCaps/>
                            </w:rPr>
                          </w:r>
                        </w:p>
                      </w:tc>
                      <w:tc>
                        <w:tcPr>
                          <w:tcW w:w="10260" w:type="dxa"/>
                          <w:tcBorders>
                            <w:end w:val="single" w:sz="6" w:space="0" w:color="000000"/>
                          </w:tcBorders>
                        </w:tcPr>
                        <w:p>
                          <w:pPr>
                            <w:pStyle w:val="Normal"/>
                            <w:snapToGrid w:val="false"/>
                            <w:spacing w:before="900" w:after="0"/>
                            <w:jc w:val="center"/>
                            <w:rPr>
                              <w:b/>
                              <w:smallCaps/>
                            </w:rPr>
                          </w:pPr>
                          <w:r>
                            <w:rPr>
                              <w:b/>
                              <w:smallCaps/>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er"/>
            <w:snapToGrid w:val="false"/>
            <w:rPr>
              <w:rFonts w:ascii="Times New Roman" w:hAnsi="Times New Roman" w:cs="Times New Roman"/>
            </w:rPr>
          </w:pPr>
          <w:r>
            <w:rPr>
              <w:rFonts w:cs="Times New Roman" w:ascii="Times New Roman" w:hAnsi="Times New Roman"/>
            </w:rPr>
          </w:r>
        </w:p>
      </w:tc>
      <w:tc>
        <w:tcPr>
          <w:tcW w:w="4788" w:type="dxa"/>
          <w:tcBorders/>
        </w:tcPr>
        <w:p>
          <w:pPr>
            <w:pStyle w:val="Header"/>
            <w:snapToGrid w:val="false"/>
            <w:jc w:val="end"/>
            <w:rPr>
              <w:rFonts w:ascii="Times New Roman" w:hAnsi="Times New Roman" w:cs="Times New Roman"/>
              <w:sz w:val="16"/>
            </w:rPr>
          </w:pPr>
          <w:r>
            <w:rPr>
              <w:rFonts w:cs="Times New Roman" w:ascii="Times New Roman" w:hAnsi="Times New Roman"/>
              <w:sz w:val="16"/>
            </w:rPr>
          </w:r>
        </w:p>
      </w:tc>
    </w:tr>
  </w:tbl>
  <w:p>
    <w:pPr>
      <w:pStyle w:val="Header"/>
      <w:jc w:val="end"/>
      <w:rPr>
        <w:rFonts w:ascii="Times New Roman" w:hAnsi="Times New Roman" w:cs="Times New Roman"/>
      </w:rPr>
    </w:pPr>
    <w:r>
      <w:rPr>
        <w:rFonts w:cs="Times New Roman"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lineRule="exact" w:line="480" w:before="720" w:after="0"/>
            <w:ind w:hanging="0" w:start="0" w:end="144"/>
            <w:jc w:val="end"/>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6826250" cy="9525000"/>
              <wp:effectExtent l="0" t="0" r="0" b="0"/>
              <wp:wrapNone/>
              <wp:docPr id="2" name="Frame3"/>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13309600" cy="14605"/>
              <wp:effectExtent l="0" t="0" r="0" b="0"/>
              <wp:wrapNone/>
              <wp:docPr id="3" name="Frame5"/>
              <a:graphic xmlns:a="http://schemas.openxmlformats.org/drawingml/2006/main">
                <a:graphicData uri="http://schemas.microsoft.com/office/word/2010/wordprocessingShape">
                  <wps:wsp>
                    <wps:cNvSpPr txBox="1"/>
                    <wps:spPr>
                      <a:xfrm>
                        <a:off x="0" y="0"/>
                        <a:ext cx="13309600" cy="14605"/>
                      </a:xfrm>
                      <a:prstGeom prst="rect"/>
                      <a:solidFill>
                        <a:srgbClr val="FFFFFF"/>
                      </a:solidFill>
                    </wps:spPr>
                    <wps:txbx>
                      <w:txbxContent>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spacing w:before="840" w:after="0"/>
                                  <w:jc w:val="center"/>
                                  <w:rPr>
                                    <w:rFonts w:ascii="Times New Roman" w:hAnsi="Times New Roman" w:cs="Times New Roman"/>
                                    <w:b/>
                                    <w:smallCaps/>
                                  </w:rPr>
                                </w:pPr>
                                <w:r>
                                  <w:rPr>
                                    <w:rFonts w:cs="Times New Roman" w:ascii="Times New Roman" w:hAnsi="Times New Roman"/>
                                    <w:b/>
                                    <w:smallCaps/>
                                  </w:rPr>
                                  <w:t>Table of Contents</w:t>
                                </w:r>
                              </w:p>
                              <w:p>
                                <w:pPr>
                                  <w:pStyle w:val="Normal"/>
                                  <w:jc w:val="center"/>
                                  <w:rPr>
                                    <w:b/>
                                    <w:smallCaps/>
                                  </w:rPr>
                                </w:pPr>
                                <w:r>
                                  <w:rPr>
                                    <w:b/>
                                    <w:smallCaps/>
                                  </w:rPr>
                                  <w:t>(continued)</w:t>
                                </w:r>
                              </w:p>
                              <w:p>
                                <w:pPr>
                                  <w:pStyle w:val="Normal"/>
                                  <w:ind w:end="173"/>
                                  <w:jc w:val="end"/>
                                  <w:rPr>
                                    <w:b/>
                                    <w:smallCaps/>
                                  </w:rPr>
                                </w:pPr>
                                <w:r>
                                  <w:rPr>
                                    <w:b/>
                                    <w:smallCaps/>
                                  </w:rPr>
                                  <w:t>Page</w:t>
                                </w:r>
                              </w:p>
                              <w:p>
                                <w:pPr>
                                  <w:pStyle w:val="Normal"/>
                                  <w:ind w:end="173"/>
                                  <w:jc w:val="end"/>
                                  <w:rPr/>
                                </w:pPr>
                                <w:r>
                                  <w:rPr/>
                                </w:r>
                              </w:p>
                              <w:p>
                                <w:pPr>
                                  <w:pStyle w:val="Normal"/>
                                  <w:rPr/>
                                </w:pPr>
                                <w:r>
                                  <w:rPr/>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1048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spacing w:before="840" w:after="0"/>
                            <w:jc w:val="center"/>
                            <w:rPr>
                              <w:rFonts w:ascii="Times New Roman" w:hAnsi="Times New Roman" w:cs="Times New Roman"/>
                              <w:b/>
                              <w:smallCaps/>
                            </w:rPr>
                          </w:pPr>
                          <w:r>
                            <w:rPr>
                              <w:rFonts w:cs="Times New Roman" w:ascii="Times New Roman" w:hAnsi="Times New Roman"/>
                              <w:b/>
                              <w:smallCaps/>
                            </w:rPr>
                            <w:t>Table of Contents</w:t>
                          </w:r>
                        </w:p>
                        <w:p>
                          <w:pPr>
                            <w:pStyle w:val="Normal"/>
                            <w:jc w:val="center"/>
                            <w:rPr>
                              <w:b/>
                              <w:smallCaps/>
                            </w:rPr>
                          </w:pPr>
                          <w:r>
                            <w:rPr>
                              <w:b/>
                              <w:smallCaps/>
                            </w:rPr>
                            <w:t>(continued)</w:t>
                          </w:r>
                        </w:p>
                        <w:p>
                          <w:pPr>
                            <w:pStyle w:val="Normal"/>
                            <w:ind w:end="173"/>
                            <w:jc w:val="end"/>
                            <w:rPr>
                              <w:b/>
                              <w:smallCaps/>
                            </w:rPr>
                          </w:pPr>
                          <w:r>
                            <w:rPr>
                              <w:b/>
                              <w:smallCaps/>
                            </w:rPr>
                            <w:t>Page</w:t>
                          </w:r>
                        </w:p>
                        <w:p>
                          <w:pPr>
                            <w:pStyle w:val="Normal"/>
                            <w:ind w:end="173"/>
                            <w:jc w:val="end"/>
                            <w:rPr/>
                          </w:pPr>
                          <w:r>
                            <w:rPr/>
                          </w:r>
                        </w:p>
                        <w:p>
                          <w:pPr>
                            <w:pStyle w:val="Normal"/>
                            <w:rPr/>
                          </w:pPr>
                          <w:r>
                            <w:rPr/>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align>top</wp:align>
              </wp:positionV>
              <wp:extent cx="6858000" cy="10058400"/>
              <wp:effectExtent l="0" t="0" r="0" b="0"/>
              <wp:wrapNone/>
              <wp:docPr id="4" name="Frame4"/>
              <a:graphic xmlns:a="http://schemas.openxmlformats.org/drawingml/2006/main">
                <a:graphicData uri="http://schemas.microsoft.com/office/word/2010/wordprocessingShape">
                  <wps:wsp>
                    <wps:cNvSpPr txBox="1"/>
                    <wps:spPr>
                      <a:xfrm>
                        <a:off x="0" y="0"/>
                        <a:ext cx="6858000" cy="10058400"/>
                      </a:xfrm>
                      <a:prstGeom prst="rect"/>
                      <a:solidFill>
                        <a:srgbClr val="FFFFFF"/>
                      </a:solidFill>
                    </wps:spPr>
                    <wps:txbx>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smallCaps/>
                                  </w:rPr>
                                </w:pPr>
                                <w:r>
                                  <w:rPr>
                                    <w:b/>
                                    <w:smallCaps/>
                                  </w:rPr>
                                  <w:t>Table of Contents</w:t>
                                </w:r>
                              </w:p>
                              <w:p>
                                <w:pPr>
                                  <w:pStyle w:val="Normal"/>
                                  <w:rPr>
                                    <w:b/>
                                    <w:smallCaps/>
                                  </w:rPr>
                                </w:pPr>
                                <w:r>
                                  <w:rPr>
                                    <w:b/>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smallCaps/>
                                  </w:rPr>
                                </w:pPr>
                                <w:r>
                                  <w:rPr>
                                    <w:b/>
                                    <w:smallCaps/>
                                  </w:rPr>
                                </w:r>
                              </w:p>
                            </w:tc>
                          </w:tr>
                          <w:tr>
                            <w:trPr>
                              <w:trHeight w:val="15000" w:hRule="exact"/>
                            </w:trPr>
                            <w:tc>
                              <w:tcPr>
                                <w:tcW w:w="540" w:type="dxa"/>
                                <w:tcBorders>
                                  <w:end w:val="double" w:sz="6" w:space="0" w:color="000000"/>
                                </w:tcBorders>
                              </w:tcPr>
                              <w:p>
                                <w:pPr>
                                  <w:pStyle w:val="HeaderNumbers"/>
                                  <w:snapToGrid w:val="false"/>
                                  <w:spacing w:before="700" w:after="0"/>
                                  <w:rPr>
                                    <w:b/>
                                    <w:smallCaps/>
                                  </w:rPr>
                                </w:pPr>
                                <w:r>
                                  <w:rPr>
                                    <w:b/>
                                    <w:smallCaps/>
                                  </w:rPr>
                                </w:r>
                              </w:p>
                            </w:tc>
                            <w:tc>
                              <w:tcPr>
                                <w:tcW w:w="10260" w:type="dxa"/>
                                <w:tcBorders>
                                  <w:end w:val="single" w:sz="6" w:space="0" w:color="000000"/>
                                </w:tcBorders>
                              </w:tcPr>
                              <w:p>
                                <w:pPr>
                                  <w:pStyle w:val="Normal"/>
                                  <w:snapToGrid w:val="false"/>
                                  <w:spacing w:before="900" w:after="0"/>
                                  <w:jc w:val="center"/>
                                  <w:rPr>
                                    <w:b/>
                                    <w:smallCaps/>
                                  </w:rPr>
                                </w:pPr>
                                <w:r>
                                  <w:rPr>
                                    <w:b/>
                                    <w:smallCaps/>
                                  </w:rPr>
                                </w:r>
                              </w:p>
                            </w:tc>
                          </w:tr>
                        </w:tbl>
                      </w:txbxContent>
                    </wps:txbx>
                    <wps:bodyPr anchor="t" lIns="0" tIns="0" rIns="0" bIns="0">
                      <a:noAutofit/>
                    </wps:bodyPr>
                  </wps:wsp>
                </a:graphicData>
              </a:graphic>
            </wp:anchor>
          </w:drawing>
        </mc:Choice>
        <mc:Fallback>
          <w:pict>
            <v:rect style="position:absolute;rotation:-0;width:540pt;height:792pt;mso-wrap-distance-left:0pt;mso-wrap-distance-right:0pt;mso-wrap-distance-top:0pt;mso-wrap-distance-bottom:0pt;margin-top:-14.4pt;mso-position-vertical:top;mso-position-vertical-relative:text;margin-left:-18.05pt;mso-position-horizontal:left;mso-position-horizontal-relative:text">
              <v:textbox inset="0in,0in,0in,0in">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smallCaps/>
                            </w:rPr>
                          </w:pPr>
                          <w:r>
                            <w:rPr>
                              <w:b/>
                              <w:smallCaps/>
                            </w:rPr>
                            <w:t>Table of Contents</w:t>
                          </w:r>
                        </w:p>
                        <w:p>
                          <w:pPr>
                            <w:pStyle w:val="Normal"/>
                            <w:rPr>
                              <w:b/>
                              <w:smallCaps/>
                            </w:rPr>
                          </w:pPr>
                          <w:r>
                            <w:rPr>
                              <w:b/>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smallCaps/>
                            </w:rPr>
                          </w:pPr>
                          <w:r>
                            <w:rPr>
                              <w:b/>
                              <w:smallCaps/>
                            </w:rPr>
                          </w:r>
                        </w:p>
                      </w:tc>
                    </w:tr>
                    <w:tr>
                      <w:trPr>
                        <w:trHeight w:val="15000" w:hRule="exact"/>
                      </w:trPr>
                      <w:tc>
                        <w:tcPr>
                          <w:tcW w:w="540" w:type="dxa"/>
                          <w:tcBorders>
                            <w:end w:val="double" w:sz="6" w:space="0" w:color="000000"/>
                          </w:tcBorders>
                        </w:tcPr>
                        <w:p>
                          <w:pPr>
                            <w:pStyle w:val="HeaderNumbers"/>
                            <w:snapToGrid w:val="false"/>
                            <w:spacing w:before="700" w:after="0"/>
                            <w:rPr>
                              <w:b/>
                              <w:smallCaps/>
                            </w:rPr>
                          </w:pPr>
                          <w:r>
                            <w:rPr>
                              <w:b/>
                              <w:smallCaps/>
                            </w:rPr>
                          </w:r>
                        </w:p>
                      </w:tc>
                      <w:tc>
                        <w:tcPr>
                          <w:tcW w:w="10260" w:type="dxa"/>
                          <w:tcBorders>
                            <w:end w:val="single" w:sz="6" w:space="0" w:color="000000"/>
                          </w:tcBorders>
                        </w:tcPr>
                        <w:p>
                          <w:pPr>
                            <w:pStyle w:val="Normal"/>
                            <w:snapToGrid w:val="false"/>
                            <w:spacing w:before="900" w:after="0"/>
                            <w:jc w:val="center"/>
                            <w:rPr>
                              <w:b/>
                              <w:smallCaps/>
                            </w:rPr>
                          </w:pPr>
                          <w:r>
                            <w:rPr>
                              <w:b/>
                              <w:smallCaps/>
                            </w:rPr>
                          </w:r>
                        </w:p>
                      </w:tc>
                    </w:tr>
                  </w:tbl>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826250" cy="14605"/>
              <wp:effectExtent l="0" t="0" r="0" b="0"/>
              <wp:wrapNone/>
              <wp:docPr id="5" name="Frame7"/>
              <a:graphic xmlns:a="http://schemas.openxmlformats.org/drawingml/2006/main">
                <a:graphicData uri="http://schemas.microsoft.com/office/word/2010/wordprocessingShape">
                  <wps:wsp>
                    <wps:cNvSpPr txBox="1"/>
                    <wps:spPr>
                      <a:xfrm>
                        <a:off x="0" y="0"/>
                        <a:ext cx="6826250" cy="14605"/>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1.15pt;mso-wrap-distance-left:0pt;mso-wrap-distance-right:0pt;mso-wrap-distance-top:0pt;mso-wrap-distance-bottom:0pt;margin-top:0pt;mso-position-vertical:top;mso-position-vertical-relative:text;margin-left:-15.55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0"/>
        </w:tabs>
        <w:ind w:start="0" w:hanging="0"/>
      </w:pPr>
      <w:rPr>
        <w:u w:val="none"/>
      </w:rPr>
    </w:lvl>
    <w:lvl w:ilvl="1">
      <w:start w:val="1"/>
      <w:numFmt w:val="upperLetter"/>
      <w:lvlText w:val="%2."/>
      <w:lvlJc w:val="start"/>
      <w:pPr>
        <w:tabs>
          <w:tab w:val="num" w:pos="720"/>
        </w:tabs>
        <w:ind w:start="1440" w:hanging="720"/>
      </w:pPr>
      <w:rPr>
        <w:u w:val="none"/>
      </w:rPr>
    </w:lvl>
    <w:lvl w:ilvl="2">
      <w:start w:val="1"/>
      <w:numFmt w:val="decimal"/>
      <w:lvlText w:val="%3."/>
      <w:lvlJc w:val="start"/>
      <w:pPr>
        <w:tabs>
          <w:tab w:val="num" w:pos="720"/>
        </w:tabs>
        <w:ind w:start="2160" w:hanging="720"/>
      </w:pPr>
      <w:rPr>
        <w:u w:val="none"/>
      </w:rPr>
    </w:lvl>
    <w:lvl w:ilvl="3">
      <w:start w:val="1"/>
      <w:numFmt w:val="lowerLetter"/>
      <w:lvlText w:val="%4."/>
      <w:lvlJc w:val="start"/>
      <w:pPr>
        <w:tabs>
          <w:tab w:val="num" w:pos="720"/>
        </w:tabs>
        <w:ind w:start="2880" w:hanging="720"/>
      </w:pPr>
      <w:rPr>
        <w:u w:val="none"/>
      </w:rPr>
    </w:lvl>
    <w:lvl w:ilvl="4">
      <w:start w:val="1"/>
      <w:numFmt w:val="decimal"/>
      <w:lvlText w:val="(%5)"/>
      <w:lvlJc w:val="start"/>
      <w:pPr>
        <w:tabs>
          <w:tab w:val="num" w:pos="720"/>
        </w:tabs>
        <w:ind w:start="3600" w:hanging="720"/>
      </w:pPr>
      <w:rPr>
        <w:u w:val="none"/>
      </w:rPr>
    </w:lvl>
    <w:lvl w:ilvl="5">
      <w:start w:val="1"/>
      <w:numFmt w:val="lowerLetter"/>
      <w:lvlText w:val="(%6)"/>
      <w:lvlJc w:val="start"/>
      <w:pPr>
        <w:tabs>
          <w:tab w:val="num" w:pos="720"/>
        </w:tabs>
        <w:ind w:start="4320" w:hanging="720"/>
      </w:pPr>
      <w:rPr>
        <w:u w:val="none"/>
      </w:rPr>
    </w:lvl>
    <w:lvl w:ilvl="6">
      <w:start w:val="1"/>
      <w:numFmt w:val="lowerRoman"/>
      <w:lvlText w:val="(%7)"/>
      <w:lvlJc w:val="start"/>
      <w:pPr>
        <w:tabs>
          <w:tab w:val="num" w:pos="720"/>
        </w:tabs>
        <w:ind w:start="5040" w:hanging="720"/>
      </w:pPr>
      <w:rPr>
        <w:u w:val="none"/>
      </w:rPr>
    </w:lvl>
    <w:lvl w:ilvl="7">
      <w:start w:val="1"/>
      <w:numFmt w:val="lowerLetter"/>
      <w:lvlText w:val="%8)"/>
      <w:lvlJc w:val="start"/>
      <w:pPr>
        <w:tabs>
          <w:tab w:val="num" w:pos="720"/>
        </w:tabs>
        <w:ind w:start="5760" w:hanging="720"/>
      </w:pPr>
      <w:rPr>
        <w:u w:val="none"/>
      </w:rPr>
    </w:lvl>
    <w:lvl w:ilvl="8">
      <w:start w:val="1"/>
      <w:numFmt w:val="lowerRoman"/>
      <w:lvlText w:val="%9)"/>
      <w:lvlJc w:val="start"/>
      <w:pPr>
        <w:tabs>
          <w:tab w:val="num" w:pos="720"/>
        </w:tabs>
        <w:ind w:start="6480" w:hanging="720"/>
      </w:pPr>
      <w:rPr>
        <w:u w:val="none"/>
      </w:r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TCField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2"/>
      </w:numPr>
      <w:spacing w:before="240" w:after="0"/>
      <w:ind w:hanging="720" w:start="720" w:end="0"/>
      <w:outlineLvl w:val="0"/>
    </w:pPr>
    <w:rPr>
      <w:b/>
      <w:caps/>
    </w:rPr>
  </w:style>
  <w:style w:type="paragraph" w:styleId="Heading2">
    <w:name w:val="heading 2"/>
    <w:basedOn w:val="Heading1"/>
    <w:next w:val="BodyText"/>
    <w:qFormat/>
    <w:pPr>
      <w:numPr>
        <w:ilvl w:val="0"/>
        <w:numId w:val="2"/>
      </w:numPr>
      <w:ind w:hanging="720" w:start="720" w:end="1440"/>
      <w:outlineLvl w:val="1"/>
    </w:pPr>
    <w:rPr>
      <w:caps w:val="false"/>
      <w:smallCaps w:val="false"/>
    </w:rPr>
  </w:style>
  <w:style w:type="paragraph" w:styleId="Heading3">
    <w:name w:val="heading 3"/>
    <w:basedOn w:val="Heading2"/>
    <w:next w:val="BodyText"/>
    <w:qFormat/>
    <w:pPr>
      <w:numPr>
        <w:ilvl w:val="0"/>
        <w:numId w:val="2"/>
      </w:numPr>
      <w:outlineLvl w:val="2"/>
    </w:pPr>
    <w:rPr/>
  </w:style>
  <w:style w:type="paragraph" w:styleId="Heading4">
    <w:name w:val="heading 4"/>
    <w:basedOn w:val="Heading3"/>
    <w:next w:val="BodyText"/>
    <w:qFormat/>
    <w:pPr>
      <w:numPr>
        <w:ilvl w:val="0"/>
        <w:numId w:val="2"/>
      </w:numPr>
      <w:outlineLvl w:val="3"/>
    </w:pPr>
    <w:rPr/>
  </w:style>
  <w:style w:type="paragraph" w:styleId="Heading5">
    <w:name w:val="heading 5"/>
    <w:basedOn w:val="Heading4"/>
    <w:next w:val="BodyText"/>
    <w:qFormat/>
    <w:pPr>
      <w:numPr>
        <w:ilvl w:val="0"/>
        <w:numId w:val="2"/>
      </w:numPr>
      <w:outlineLvl w:val="4"/>
    </w:pPr>
    <w:rPr/>
  </w:style>
  <w:style w:type="paragraph" w:styleId="Heading6">
    <w:name w:val="heading 6"/>
    <w:basedOn w:val="Heading5"/>
    <w:next w:val="BodyText"/>
    <w:qFormat/>
    <w:pPr>
      <w:numPr>
        <w:ilvl w:val="0"/>
        <w:numId w:val="2"/>
      </w:numPr>
      <w:outlineLvl w:val="5"/>
    </w:pPr>
    <w:rPr>
      <w:b w:val="false"/>
    </w:rPr>
  </w:style>
  <w:style w:type="paragraph" w:styleId="Heading7">
    <w:name w:val="heading 7"/>
    <w:basedOn w:val="Heading6"/>
    <w:next w:val="BodyText"/>
    <w:qFormat/>
    <w:pPr>
      <w:numPr>
        <w:ilvl w:val="0"/>
        <w:numId w:val="2"/>
      </w:numPr>
      <w:outlineLvl w:val="6"/>
    </w:pPr>
    <w:rPr/>
  </w:style>
  <w:style w:type="paragraph" w:styleId="Heading8">
    <w:name w:val="heading 8"/>
    <w:basedOn w:val="Heading7"/>
    <w:next w:val="BodyText"/>
    <w:qFormat/>
    <w:pPr>
      <w:numPr>
        <w:ilvl w:val="0"/>
        <w:numId w:val="2"/>
      </w:numPr>
      <w:outlineLvl w:val="7"/>
    </w:pPr>
    <w:rPr/>
  </w:style>
  <w:style w:type="paragraph" w:styleId="Heading9">
    <w:name w:val="heading 9"/>
    <w:basedOn w:val="Heading8"/>
    <w:next w:val="BodyText"/>
    <w:qFormat/>
    <w:pPr>
      <w:numPr>
        <w:ilvl w:val="0"/>
        <w:numId w:val="2"/>
      </w:numPr>
      <w:tabs>
        <w:tab w:val="clear" w:pos="720"/>
        <w:tab w:val="left" w:pos="360" w:leader="none"/>
      </w:tabs>
      <w:outlineLvl w:val="8"/>
    </w:pPr>
    <w:rPr/>
  </w:style>
  <w:style w:type="character" w:styleId="WW8Num1z0">
    <w:name w:val="WW8Num1z0"/>
    <w:qFormat/>
    <w:rPr>
      <w:u w:val="none"/>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color w:val="auto"/>
      <w:spacing w:val="0"/>
      <w:kern w:val="0"/>
      <w:sz w:val="24"/>
      <w:u w:val="none"/>
      <w:vertAlign w:val="superscript"/>
      <w:lang w:val="en-US"/>
    </w:rPr>
  </w:style>
  <w:style w:type="character" w:styleId="PageNumber">
    <w:name w:val="page number"/>
    <w:basedOn w:val="DefaultParagraphFont"/>
    <w:rPr>
      <w:rFonts w:ascii="Courier New" w:hAnsi="Courier New" w:cs="Courier New"/>
      <w:color w:val="auto"/>
      <w:spacing w:val="0"/>
      <w:kern w:val="0"/>
      <w:position w:val="0"/>
      <w:sz w:val="24"/>
      <w:sz w:val="24"/>
      <w:u w:val="none"/>
      <w:vertAlign w:val="baseline"/>
      <w:lang w:val="en-US"/>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240"/>
      <w:ind w:hanging="0" w:start="720" w:end="720"/>
      <w:jc w:val="center"/>
    </w:pPr>
    <w:rPr>
      <w:b/>
      <w:kern w:val="2"/>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spacing w:lineRule="exact" w:line="240"/>
      <w:ind w:hanging="0" w:start="360" w:end="0"/>
    </w:pPr>
    <w:rPr>
      <w:rFonts w:ascii="Courier New" w:hAnsi="Courier New" w:cs="Courier New"/>
    </w:rPr>
  </w:style>
  <w:style w:type="paragraph" w:styleId="Centered">
    <w:name w:val="Centered"/>
    <w:basedOn w:val="Normal"/>
    <w:next w:val="BodyText"/>
    <w:qFormat/>
    <w:pPr>
      <w:spacing w:lineRule="exact" w:line="240" w:before="0" w:after="240"/>
      <w:jc w:val="center"/>
    </w:pPr>
    <w:rPr>
      <w:rFonts w:ascii="Courier New" w:hAnsi="Courier New" w:cs="Courier New"/>
    </w:rPr>
  </w:style>
  <w:style w:type="paragraph" w:styleId="Disclaimer">
    <w:name w:val="Disclaimer"/>
    <w:basedOn w:val="Normal"/>
    <w:qFormat/>
    <w:pPr>
      <w:jc w:val="both"/>
    </w:pPr>
    <w:rPr>
      <w:rFonts w:ascii="Arial" w:hAnsi="Arial" w:cs="Arial"/>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9821" w:leader="none"/>
      </w:tabs>
      <w:spacing w:lineRule="exact" w:line="240"/>
    </w:pPr>
    <w:rPr/>
  </w:style>
  <w:style w:type="paragraph" w:styleId="FootnoteText">
    <w:name w:val="footnote text"/>
    <w:basedOn w:val="Normal"/>
    <w:pPr>
      <w:tabs>
        <w:tab w:val="clear" w:pos="720"/>
        <w:tab w:val="left" w:pos="432" w:leader="none"/>
      </w:tabs>
      <w:spacing w:lineRule="exact" w:line="240" w:before="0" w:after="120"/>
      <w:ind w:hanging="432" w:start="432" w:end="0"/>
    </w:pPr>
    <w:rPr>
      <w:sz w:val="20"/>
    </w:rPr>
  </w:style>
  <w:style w:type="paragraph" w:styleId="Header">
    <w:name w:val="header"/>
    <w:basedOn w:val="Normal"/>
    <w:pPr>
      <w:widowControl w:val="false"/>
      <w:tabs>
        <w:tab w:val="clear" w:pos="720"/>
        <w:tab w:val="center" w:pos="4320" w:leader="none"/>
        <w:tab w:val="right" w:pos="9821" w:leader="none"/>
      </w:tabs>
      <w:spacing w:lineRule="exact" w:line="240"/>
    </w:pPr>
    <w:rPr>
      <w:rFonts w:ascii="Courier New" w:hAnsi="Courier New" w:cs="Courier New"/>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spacing w:lineRule="exact" w:line="240"/>
    </w:pPr>
    <w:rPr>
      <w:rFonts w:ascii="Courier New" w:hAnsi="Courier New" w:cs="Courier New"/>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806" w:leader="dot"/>
      </w:tabs>
      <w:spacing w:before="120" w:after="0"/>
      <w:ind w:hanging="0" w:start="720" w:end="720"/>
    </w:pPr>
    <w:rPr/>
  </w:style>
  <w:style w:type="paragraph" w:styleId="TOAHeading">
    <w:name w:val="TOA Heading"/>
    <w:basedOn w:val="Normal"/>
    <w:next w:val="TableofAuthorities"/>
    <w:qFormat/>
    <w:pPr>
      <w:keepNext w:val="true"/>
      <w:spacing w:before="120" w:after="0"/>
    </w:pPr>
    <w:rPr>
      <w:b/>
      <w:caps/>
    </w:rPr>
  </w:style>
  <w:style w:type="paragraph" w:styleId="TOC1">
    <w:name w:val="toc 1"/>
    <w:basedOn w:val="Normal"/>
    <w:pPr>
      <w:keepLines/>
      <w:tabs>
        <w:tab w:val="clear" w:pos="720"/>
        <w:tab w:val="right" w:pos="9835" w:leader="dot"/>
      </w:tabs>
      <w:spacing w:before="120" w:after="120"/>
      <w:ind w:hanging="806" w:start="806" w:end="1440"/>
    </w:pPr>
    <w:rPr>
      <w:caps/>
    </w:rPr>
  </w:style>
  <w:style w:type="paragraph" w:styleId="TOC2">
    <w:name w:val="toc 2"/>
    <w:basedOn w:val="Normal"/>
    <w:pPr>
      <w:tabs>
        <w:tab w:val="clear" w:pos="720"/>
        <w:tab w:val="right" w:pos="9835" w:leader="dot"/>
      </w:tabs>
      <w:spacing w:before="120" w:after="0"/>
      <w:ind w:hanging="634" w:start="1440" w:end="1440"/>
    </w:pPr>
    <w:rPr/>
  </w:style>
  <w:style w:type="paragraph" w:styleId="TOC3">
    <w:name w:val="toc 3"/>
    <w:basedOn w:val="Normal"/>
    <w:pPr>
      <w:keepLines/>
      <w:tabs>
        <w:tab w:val="clear" w:pos="720"/>
        <w:tab w:val="right" w:pos="9835" w:leader="dot"/>
      </w:tabs>
      <w:spacing w:before="120" w:after="0"/>
      <w:ind w:hanging="720" w:start="2160" w:end="1440"/>
    </w:pPr>
    <w:rPr/>
  </w:style>
  <w:style w:type="paragraph" w:styleId="TOC4">
    <w:name w:val="toc 4"/>
    <w:basedOn w:val="Normal"/>
    <w:pPr>
      <w:keepLines/>
      <w:tabs>
        <w:tab w:val="clear" w:pos="720"/>
        <w:tab w:val="right" w:pos="9835" w:leader="dot"/>
      </w:tabs>
      <w:spacing w:before="120" w:after="0"/>
      <w:ind w:hanging="720" w:start="2880" w:end="1440"/>
    </w:pPr>
    <w:rPr/>
  </w:style>
  <w:style w:type="paragraph" w:styleId="TOC5">
    <w:name w:val="toc 5"/>
    <w:basedOn w:val="Normal"/>
    <w:pPr>
      <w:keepLines/>
      <w:tabs>
        <w:tab w:val="clear" w:pos="720"/>
        <w:tab w:val="right" w:pos="9835" w:leader="dot"/>
      </w:tabs>
      <w:spacing w:before="120" w:after="0"/>
      <w:ind w:hanging="720" w:start="3600" w:end="1440"/>
    </w:pPr>
    <w:rPr/>
  </w:style>
  <w:style w:type="paragraph" w:styleId="TOC6">
    <w:name w:val="toc 6"/>
    <w:basedOn w:val="Normal"/>
    <w:pPr>
      <w:keepLines/>
      <w:tabs>
        <w:tab w:val="clear" w:pos="720"/>
        <w:tab w:val="right" w:pos="9835" w:leader="dot"/>
      </w:tabs>
      <w:spacing w:before="120" w:after="0"/>
      <w:ind w:hanging="720" w:start="4320" w:end="1440"/>
    </w:pPr>
    <w:rPr/>
  </w:style>
  <w:style w:type="paragraph" w:styleId="TOC7">
    <w:name w:val="toc 7"/>
    <w:basedOn w:val="Normal"/>
    <w:pPr>
      <w:keepLines/>
      <w:tabs>
        <w:tab w:val="clear" w:pos="720"/>
        <w:tab w:val="right" w:pos="9835" w:leader="dot"/>
      </w:tabs>
      <w:spacing w:before="120" w:after="0"/>
      <w:ind w:hanging="806" w:start="5126" w:end="1440"/>
    </w:pPr>
    <w:rPr/>
  </w:style>
  <w:style w:type="paragraph" w:styleId="TOC8">
    <w:name w:val="toc 8"/>
    <w:basedOn w:val="Normal"/>
    <w:pPr>
      <w:keepLines/>
      <w:tabs>
        <w:tab w:val="clear" w:pos="720"/>
        <w:tab w:val="right" w:pos="9835" w:leader="dot"/>
      </w:tabs>
      <w:spacing w:before="120" w:after="0"/>
      <w:ind w:hanging="634" w:start="5760" w:end="1440"/>
    </w:pPr>
    <w:rPr/>
  </w:style>
  <w:style w:type="paragraph" w:styleId="TOC9">
    <w:name w:val="toc 9"/>
    <w:basedOn w:val="Normal"/>
    <w:pPr>
      <w:keepLines/>
      <w:tabs>
        <w:tab w:val="clear" w:pos="720"/>
        <w:tab w:val="right" w:pos="9835" w:leader="dot"/>
      </w:tabs>
      <w:spacing w:before="120" w:after="0"/>
      <w:ind w:hanging="720" w:start="6480" w:end="1440"/>
    </w:pPr>
    <w:rPr/>
  </w:style>
  <w:style w:type="paragraph" w:styleId="EnvelopeAddress">
    <w:name w:val="envelope address"/>
    <w:basedOn w:val="Normal"/>
    <w:pPr>
      <w:ind w:hanging="0" w:start="2880" w:end="0"/>
    </w:pPr>
    <w:rPr>
      <w:rFonts w:ascii="Courier New" w:hAnsi="Courier New" w:cs="Courier New"/>
    </w:rPr>
  </w:style>
  <w:style w:type="paragraph" w:styleId="HeaderNumbersOld">
    <w:name w:val="HeaderNumbersOld"/>
    <w:basedOn w:val="Normal"/>
    <w:qFormat/>
    <w:pPr>
      <w:spacing w:lineRule="exact" w:line="480" w:before="720" w:after="0"/>
      <w:ind w:hanging="0" w:start="0" w:end="144"/>
      <w:jc w:val="end"/>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rFonts w:ascii="Times New Roman" w:hAnsi="Times New Roman" w:cs="Times New Roman"/>
    </w:rPr>
  </w:style>
  <w:style w:type="paragraph" w:styleId="LineNumbers">
    <w:name w:val="LineNumbers"/>
    <w:basedOn w:val="Normal"/>
    <w:qFormat/>
    <w:pPr>
      <w:spacing w:lineRule="auto" w:line="240"/>
      <w:jc w:val="end"/>
    </w:pPr>
    <w:rPr>
      <w:rFonts w:ascii="Times New Roman" w:hAnsi="Times New Roman" w:cs="Times New Roman"/>
      <w:sz w:val="18"/>
    </w:rPr>
  </w:style>
  <w:style w:type="paragraph" w:styleId="SingleSpacing">
    <w:name w:val="Single Spacing"/>
    <w:basedOn w:val="Normal"/>
    <w:qFormat/>
    <w:pPr>
      <w:spacing w:lineRule="exact" w:line="249"/>
    </w:pPr>
    <w:rPr>
      <w:rFonts w:ascii="Times New Roman" w:hAnsi="Times New Roman" w:cs="Times New Roman"/>
    </w:rPr>
  </w:style>
  <w:style w:type="paragraph" w:styleId="Address">
    <w:name w:val="Address"/>
    <w:basedOn w:val="SingleSpacing"/>
    <w:qFormat/>
    <w:pPr/>
    <w:rPr/>
  </w:style>
  <w:style w:type="paragraph" w:styleId="DoubleSpacing">
    <w:name w:val="Double Spacing"/>
    <w:basedOn w:val="Normal"/>
    <w:qFormat/>
    <w:pPr>
      <w:spacing w:lineRule="auto" w:line="240"/>
    </w:pPr>
    <w:rPr>
      <w:rFonts w:ascii="Times New Roman" w:hAnsi="Times New Roman" w:cs="Times New Roman"/>
      <w:sz w:val="18"/>
    </w:rPr>
  </w:style>
  <w:style w:type="paragraph" w:styleId="CourtName">
    <w:name w:val="CourtName"/>
    <w:basedOn w:val="Normal"/>
    <w:qFormat/>
    <w:pPr>
      <w:spacing w:lineRule="auto" w:line="240"/>
      <w:jc w:val="center"/>
    </w:pPr>
    <w:rPr>
      <w:rFonts w:ascii="Times New Roman" w:hAnsi="Times New Roman" w:cs="Times New Roman"/>
    </w:rPr>
  </w:style>
  <w:style w:type="paragraph" w:styleId="indentsingle">
    <w:name w:val="indent single"/>
    <w:basedOn w:val="Heading3"/>
    <w:qFormat/>
    <w:pPr>
      <w:numPr>
        <w:ilvl w:val="0"/>
        <w:numId w:val="2"/>
      </w:numPr>
      <w:spacing w:lineRule="exact" w:line="249" w:before="249" w:after="249"/>
      <w:ind w:hanging="720" w:start="1440" w:end="1440"/>
      <w:outlineLvl w:val="9"/>
    </w:pPr>
    <w:rPr>
      <w:rFonts w:ascii="Times New Roman" w:hAnsi="Times New Roman" w:cs="Times New Roman"/>
      <w:b w:val="false"/>
    </w:rPr>
  </w:style>
  <w:style w:type="paragraph" w:styleId="normalpara">
    <w:name w:val="normal para"/>
    <w:basedOn w:val="Normal"/>
    <w:qFormat/>
    <w:pPr>
      <w:spacing w:lineRule="auto" w:line="480"/>
      <w:ind w:firstLine="1440" w:start="0" w:end="0"/>
    </w:pPr>
    <w:rPr>
      <w:rFonts w:ascii="Times New Roman" w:hAnsi="Times New Roman" w:cs="Times New Roman"/>
      <w:sz w:val="25"/>
    </w:rPr>
  </w:style>
  <w:style w:type="paragraph" w:styleId="QA">
    <w:name w:val="QA"/>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exact" w:line="480"/>
      <w:ind w:hanging="720" w:start="720" w:end="0"/>
    </w:pPr>
    <w:rPr>
      <w:rFonts w:ascii="Times New Roman" w:hAnsi="Times New Roman" w:cs="Times New Roman"/>
    </w:rPr>
  </w:style>
  <w:style w:type="paragraph" w:styleId="QA-text">
    <w:name w:val="QA - text"/>
    <w:basedOn w:val="QA"/>
    <w:qFormat/>
    <w:pPr>
      <w:ind w:firstLine="720" w:start="720" w:end="0"/>
    </w:pPr>
    <w:rPr/>
  </w:style>
  <w:style w:type="paragraph" w:styleId="indentquote">
    <w:name w:val="indent quote"/>
    <w:basedOn w:val="NormalIndent"/>
    <w:qFormat/>
    <w:pPr>
      <w:spacing w:lineRule="exact" w:line="249"/>
      <w:ind w:hanging="0" w:start="1440" w:end="1584"/>
    </w:pPr>
    <w:rPr>
      <w:rFonts w:ascii="Times New Roman" w:hAnsi="Times New Roman" w:cs="Times New Roman"/>
    </w:rPr>
  </w:style>
  <w:style w:type="paragraph" w:styleId="testimonyheader">
    <w:name w:val="testimony header"/>
    <w:basedOn w:val="Normal"/>
    <w:next w:val="Heading1"/>
    <w:qFormat/>
    <w:pPr>
      <w:spacing w:lineRule="exact" w:line="480" w:before="0" w:after="480"/>
      <w:jc w:val="center"/>
    </w:pPr>
    <w:rPr>
      <w:caps/>
    </w:rPr>
  </w:style>
  <w:style w:type="paragraph" w:styleId="Footnote-Testimony">
    <w:name w:val="Footnote - Testimony"/>
    <w:basedOn w:val="Normal"/>
    <w:qFormat/>
    <w:pPr>
      <w:spacing w:lineRule="auto" w:line="240"/>
      <w:ind w:hanging="720" w:start="720" w:end="0"/>
    </w:pPr>
    <w:rPr>
      <w:sz w:val="20"/>
    </w:rPr>
  </w:style>
  <w:style w:type="paragraph" w:styleId="Normal-Testimony">
    <w:name w:val="Normal - Testimony"/>
    <w:basedOn w:val="testimonyheader"/>
    <w:qFormat/>
    <w:pPr>
      <w:spacing w:before="0" w:after="0"/>
      <w:ind w:firstLine="432" w:start="0" w:end="0"/>
      <w:jc w:val="start"/>
    </w:pPr>
    <w:rPr>
      <w:caps w:val="false"/>
      <w:smallCaps w:val="false"/>
    </w:rPr>
  </w:style>
  <w:style w:type="paragraph" w:styleId="bodytext2-unindent">
    <w:name w:val="body text 2 - unindent"/>
    <w:basedOn w:val="Normal"/>
    <w:qFormat/>
    <w:pPr>
      <w:tabs>
        <w:tab w:val="clear" w:pos="720"/>
        <w:tab w:val="left" w:pos="288" w:leader="none"/>
      </w:tabs>
      <w:spacing w:lineRule="exact" w:line="480"/>
      <w:ind w:hanging="0" w:start="864" w:end="0"/>
    </w:pPr>
    <w:rPr/>
  </w:style>
  <w:style w:type="paragraph" w:styleId="bodytext2">
    <w:name w:val="body text 2"/>
    <w:basedOn w:val="Normal"/>
    <w:qFormat/>
    <w:pPr>
      <w:tabs>
        <w:tab w:val="clear" w:pos="720"/>
        <w:tab w:val="left" w:pos="288" w:leader="none"/>
      </w:tabs>
      <w:spacing w:lineRule="exact" w:line="480"/>
      <w:ind w:firstLine="432" w:start="864" w:end="0"/>
    </w:pPr>
    <w:rPr/>
  </w:style>
  <w:style w:type="paragraph" w:styleId="bodytext3">
    <w:name w:val="body text 3"/>
    <w:basedOn w:val="Normal"/>
    <w:qFormat/>
    <w:pPr>
      <w:tabs>
        <w:tab w:val="clear" w:pos="720"/>
        <w:tab w:val="left" w:pos="288" w:leader="none"/>
      </w:tabs>
      <w:spacing w:lineRule="exact" w:line="480"/>
      <w:ind w:firstLine="432" w:start="1296" w:end="0"/>
    </w:pPr>
    <w:rPr/>
  </w:style>
  <w:style w:type="paragraph" w:styleId="DWTNorm">
    <w:name w:val="DWTNorm"/>
    <w:basedOn w:val="Normal"/>
    <w:qFormat/>
    <w:pPr>
      <w:widowControl w:val="false"/>
      <w:spacing w:lineRule="auto" w:line="480"/>
      <w:ind w:firstLine="720" w:start="0" w:end="0"/>
    </w:pPr>
    <w:rPr>
      <w:color w:val="000000"/>
    </w:rPr>
  </w:style>
  <w:style w:type="paragraph" w:styleId="DWTQuote">
    <w:name w:val="DWTQuote"/>
    <w:basedOn w:val="Normal"/>
    <w:next w:val="Normal"/>
    <w:qFormat/>
    <w:pPr>
      <w:widowControl w:val="false"/>
      <w:spacing w:lineRule="auto" w:line="240" w:before="0" w:after="240"/>
      <w:ind w:hanging="0" w:start="1440" w:end="1440"/>
    </w:pPr>
    <w:rPr>
      <w:color w:val="000000"/>
    </w:rPr>
  </w:style>
  <w:style w:type="paragraph" w:styleId="OutHead1">
    <w:name w:val="OutHead1"/>
    <w:basedOn w:val="Normal"/>
    <w:next w:val="DWTNorm"/>
    <w:qFormat/>
    <w:pPr>
      <w:keepNext w:val="true"/>
      <w:widowControl w:val="false"/>
      <w:tabs>
        <w:tab w:val="left" w:pos="720" w:leader="none"/>
      </w:tabs>
      <w:spacing w:lineRule="auto" w:line="240" w:before="0" w:after="240"/>
      <w:ind w:hanging="720" w:start="720" w:end="0"/>
    </w:pPr>
    <w:rPr>
      <w:b/>
      <w:caps/>
      <w:color w:val="000000"/>
    </w:rPr>
  </w:style>
  <w:style w:type="paragraph" w:styleId="OutHead2">
    <w:name w:val="OutHead2"/>
    <w:basedOn w:val="Normal"/>
    <w:next w:val="DWTNorm"/>
    <w:qFormat/>
    <w:pPr>
      <w:keepNext w:val="true"/>
      <w:widowControl w:val="false"/>
      <w:tabs>
        <w:tab w:val="clear" w:pos="720"/>
        <w:tab w:val="left" w:pos="1440" w:leader="none"/>
      </w:tabs>
      <w:spacing w:lineRule="auto" w:line="240" w:before="0" w:after="240"/>
      <w:ind w:hanging="720" w:start="1440" w:end="0"/>
    </w:pPr>
    <w:rPr>
      <w:b/>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1999-11-17T16:46:00Z</dcterms:created>
  <dc:creator>Stephanie Louie</dc:creator>
  <dc:description/>
  <dc:language>en-CA</dc:language>
  <cp:lastModifiedBy>Salle Yoo</cp:lastModifiedBy>
  <cp:lastPrinted>1999-11-17T12:30:00Z</cp:lastPrinted>
  <dcterms:modified xsi:type="dcterms:W3CDTF">1999-11-17T19:42:00Z</dcterms:modified>
  <cp:revision>7</cp:revision>
  <dc:subject/>
  <dc:title>BEFORE THE</dc:title>
</cp:coreProperties>
</file>