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 UNITED STATES OF AMERICA</w:t>
      </w:r>
    </w:p>
    <w:p>
      <w:pPr>
        <w:pStyle w:val="Normal"/>
        <w:jc w:val="center"/>
        <w:rPr>
          <w:b/>
          <w:bCs/>
        </w:rPr>
      </w:pPr>
      <w:r>
        <w:rPr>
          <w:b/>
          <w:bCs/>
        </w:rPr>
        <w:t>FEDERAL ENERGY REGULATORY COMMISSION</w:t>
      </w:r>
    </w:p>
    <w:p>
      <w:pPr>
        <w:pStyle w:val="Normal"/>
        <w:jc w:val="center"/>
        <w:rPr>
          <w:b/>
          <w:bCs/>
        </w:rPr>
      </w:pPr>
      <w:r>
        <w:rPr>
          <w:b/>
          <w:bCs/>
        </w:rPr>
      </w:r>
    </w:p>
    <w:p>
      <w:pPr>
        <w:pStyle w:val="Normal"/>
        <w:jc w:val="both"/>
        <w:rPr>
          <w:b/>
          <w:bCs/>
        </w:rPr>
      </w:pPr>
      <w:r>
        <w:rPr>
          <w:b/>
          <w:bCs/>
        </w:rPr>
      </w:r>
    </w:p>
    <w:p>
      <w:pPr>
        <w:pStyle w:val="Normal"/>
        <w:jc w:val="both"/>
        <w:rPr>
          <w:b/>
          <w:bCs/>
        </w:rPr>
      </w:pPr>
      <w:r>
        <w:rPr>
          <w:b/>
          <w:bCs/>
        </w:rPr>
        <w:t>San Diego Gas &amp; Electric Company</w:t>
        <w:tab/>
        <w:tab/>
        <w:t>}</w:t>
        <w:tab/>
        <w:t>Docket No. RP01-180-000</w:t>
      </w:r>
    </w:p>
    <w:p>
      <w:pPr>
        <w:pStyle w:val="Normal"/>
        <w:jc w:val="both"/>
        <w:rPr>
          <w:b/>
          <w:bCs/>
        </w:rPr>
      </w:pPr>
      <w:r>
        <w:rPr>
          <w:b/>
          <w:bCs/>
        </w:rPr>
        <w:tab/>
        <w:tab/>
        <w:tab/>
        <w:tab/>
        <w:tab/>
        <w:tab/>
        <w:tab/>
        <w:t>}</w:t>
      </w:r>
    </w:p>
    <w:p>
      <w:pPr>
        <w:pStyle w:val="Normal"/>
        <w:jc w:val="both"/>
        <w:rPr>
          <w:b/>
          <w:bCs/>
        </w:rPr>
      </w:pPr>
      <w:r>
        <w:rPr>
          <w:b/>
          <w:bCs/>
        </w:rPr>
        <w:t xml:space="preserve">The Los Angeles Department of Water </w:t>
        <w:tab/>
        <w:tab/>
        <w:t>}</w:t>
      </w:r>
    </w:p>
    <w:p>
      <w:pPr>
        <w:pStyle w:val="Normal"/>
        <w:ind w:firstLine="720" w:end="0"/>
        <w:jc w:val="both"/>
        <w:rPr>
          <w:b/>
          <w:bCs/>
        </w:rPr>
      </w:pPr>
      <w:r>
        <w:rPr>
          <w:b/>
          <w:bCs/>
        </w:rPr>
        <w:t>and Power</w:t>
        <w:tab/>
        <w:tab/>
        <w:tab/>
        <w:tab/>
        <w:tab/>
        <w:t>}</w:t>
        <w:tab/>
        <w:t>Docket No. RP01-222-000</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center"/>
        <w:rPr>
          <w:b/>
          <w:bCs/>
        </w:rPr>
      </w:pPr>
      <w:r>
        <w:rPr>
          <w:b/>
          <w:bCs/>
        </w:rPr>
        <w:t>COMMENTS OF ENRON NORTH AMERICA CORP.</w:t>
      </w:r>
    </w:p>
    <w:p>
      <w:pPr>
        <w:pStyle w:val="Normal"/>
        <w:jc w:val="center"/>
        <w:rPr>
          <w:b/>
          <w:bCs/>
        </w:rPr>
      </w:pPr>
      <w:r>
        <w:rPr>
          <w:b/>
          <w:bCs/>
        </w:rPr>
        <w:t>AND ENRON ENERGY SERVICES, INC. ON THE</w:t>
      </w:r>
    </w:p>
    <w:p>
      <w:pPr>
        <w:pStyle w:val="Normal"/>
        <w:jc w:val="center"/>
        <w:rPr>
          <w:b/>
          <w:bCs/>
        </w:rPr>
      </w:pPr>
      <w:r>
        <w:rPr>
          <w:b/>
          <w:bCs/>
        </w:rPr>
        <w:t xml:space="preserve">REIMPOSITION OF MAXIMUM RATE CEILINGS ON </w:t>
      </w:r>
    </w:p>
    <w:p>
      <w:pPr>
        <w:pStyle w:val="Normal"/>
        <w:jc w:val="center"/>
        <w:rPr>
          <w:b/>
          <w:bCs/>
        </w:rPr>
      </w:pPr>
      <w:r>
        <w:rPr>
          <w:b/>
          <w:bCs/>
        </w:rPr>
        <w:t>SHORT-TERM CAPACITY RELEASES INTO CALIFORNIA</w:t>
      </w:r>
    </w:p>
    <w:p>
      <w:pPr>
        <w:pStyle w:val="Normal"/>
        <w:rPr>
          <w:b/>
          <w:bCs/>
        </w:rPr>
      </w:pPr>
      <w:r>
        <w:rPr>
          <w:b/>
          <w:bCs/>
        </w:rPr>
      </w:r>
    </w:p>
    <w:p>
      <w:pPr>
        <w:pStyle w:val="Normal"/>
        <w:jc w:val="center"/>
        <w:rPr/>
      </w:pPr>
      <w:r>
        <w:rPr/>
      </w:r>
    </w:p>
    <w:p>
      <w:pPr>
        <w:pStyle w:val="BodyText"/>
        <w:ind w:firstLine="720" w:end="0"/>
        <w:rPr/>
      </w:pPr>
      <w:r>
        <w:rPr/>
        <w:t>On May 22, 2001, the Federal Energy Regulatory Commission (“Commission”) issued a notice in the above-captioned dockets, requesting comments on whether it should reimpose the maximum rate ceiling on short-term capacity releases into California and the effects of such actions on the California gas market.  Enron North America Corp. and Enron Energy Services, Inc. (collectively “Enron”) hereby file their comments against the reimposition of maximum rate ceilings on short-term capacity releases.</w:t>
      </w:r>
    </w:p>
    <w:p>
      <w:pPr>
        <w:pStyle w:val="BodyText"/>
        <w:spacing w:before="240" w:after="0"/>
        <w:jc w:val="center"/>
        <w:rPr>
          <w:b/>
          <w:bCs/>
        </w:rPr>
      </w:pPr>
      <w:r>
        <w:rPr>
          <w:b/>
          <w:bCs/>
        </w:rPr>
        <w:t>Introduction</w:t>
      </w:r>
    </w:p>
    <w:p>
      <w:pPr>
        <w:pStyle w:val="Normal"/>
        <w:spacing w:lineRule="auto" w:line="480"/>
        <w:ind w:firstLine="720" w:end="0"/>
        <w:jc w:val="both"/>
        <w:rPr/>
      </w:pPr>
      <w:r>
        <w:rPr/>
        <w:t>In Order No. 637, the Commission removed price caps for capacity release transactions with terms of less than one year only.  Both San Diego Gas &amp; Electric Co. and the Los Angeles Department of Water Resources have requested that the Commission reimpose price caps on short-term capacity release transactions, presumably on the theory that the elimination of price caps for these transactions has contributed to significant increases in the price of natural gas being delivered to California.</w:t>
      </w:r>
    </w:p>
    <w:p>
      <w:pPr>
        <w:pStyle w:val="Normal"/>
        <w:spacing w:lineRule="auto" w:line="480"/>
        <w:ind w:firstLine="720" w:end="0"/>
        <w:jc w:val="both"/>
        <w:rPr/>
      </w:pPr>
      <w:r>
        <w:rPr/>
        <w:t>Enron North America Corp. is primarily a provider of wholesale supplies of both gas and electricity, and Enron Energy Services, Inc. serves retail gas and electric markets.  We buy and sell natural gas that is delivered into California markets on both a wholesale and retail basis.  As detailed in these comments, Enron is convinced that reimposition of short-term capacity release price caps will not have any ameliorative effect on the price levels of natural gas delivered in California.</w:t>
      </w:r>
    </w:p>
    <w:p>
      <w:pPr>
        <w:pStyle w:val="Heading1"/>
        <w:spacing w:before="240" w:after="0"/>
        <w:ind w:hanging="0" w:start="0"/>
        <w:rPr/>
      </w:pPr>
      <w:r>
        <w:rPr/>
        <w:t>Background</w:t>
      </w:r>
    </w:p>
    <w:p>
      <w:pPr>
        <w:pStyle w:val="Normal"/>
        <w:spacing w:lineRule="auto" w:line="480"/>
        <w:ind w:firstLine="720" w:end="0"/>
        <w:jc w:val="both"/>
        <w:rPr/>
      </w:pPr>
      <w:r>
        <w:rPr/>
        <w:t xml:space="preserve">Before responding to the Commission’s specific inquiries, below we outline the key factors we believe have impacted natural gas prices in California in order to provide a framework for our responses.  While natural gas prices have increased throughout the country over the past year, increases in California markets have certainly been the most dramatic.  In our view, the primary reasons for the severity of the price spikes in California, relative to other markets, are (1) the fact that the interstate pipelines are operating at full capacity, limiting access to incremental supplies, (2) intrastate takeaway capacity is limited and is less than the interstate deliverability at the California border regardless of whether the interstate pipelines are running full or not, and (3) demand for natural gas in California continues to increase.  </w:t>
      </w:r>
    </w:p>
    <w:p>
      <w:pPr>
        <w:pStyle w:val="Normal"/>
        <w:spacing w:lineRule="auto" w:line="480"/>
        <w:ind w:firstLine="720" w:end="0"/>
        <w:jc w:val="both"/>
        <w:rPr/>
      </w:pPr>
      <w:r>
        <w:rPr/>
        <w:t>The Commission itself has ample information on operating and take-away capacities of the pipelines serving the California markets and their historic utilization.  Undoubtedly the availability of capacity is a key determinant in natural gas prices in California.  Indeed, in a recent report, the California Energy Commission concluded that “an inadequate natural gas infrastructure is a major contributor to high prices for natural gas” in the State.</w:t>
      </w:r>
      <w:r>
        <w:rPr>
          <w:rStyle w:val="FootnoteCharacters"/>
          <w:rStyle w:val="FootnoteReference"/>
        </w:rPr>
        <w:footnoteReference w:id="2"/>
      </w:r>
      <w:r>
        <w:rPr/>
        <w:t xml:space="preserve">  </w:t>
      </w:r>
    </w:p>
    <w:p>
      <w:pPr>
        <w:pStyle w:val="Normal"/>
        <w:spacing w:lineRule="auto" w:line="480"/>
        <w:ind w:firstLine="720" w:end="0"/>
        <w:jc w:val="both"/>
        <w:rPr/>
      </w:pPr>
      <w:r>
        <w:rPr/>
        <w:t>As to the increase in demand for natural gas in California, data show that the state has seen annual growth of approximately 4.2 percent since 1995, up to 2,360 Bcf in 2000.</w:t>
      </w:r>
      <w:r>
        <w:rPr>
          <w:rStyle w:val="FootnoteCharacters"/>
          <w:rStyle w:val="FootnoteReference"/>
        </w:rPr>
        <w:footnoteReference w:id="3"/>
      </w:r>
      <w:r>
        <w:rPr/>
        <w:t xml:space="preserve">  Some of the increase in demand is due to variable factors, such as dry weather in the Pacific Northwest that limited the supply of hydroelectric generation, and decreasing electricity exports from the region into California which required more gas-fired generation to try to fill the gap.</w:t>
      </w:r>
      <w:r>
        <w:rPr>
          <w:rStyle w:val="FootnoteCharacters"/>
        </w:rPr>
        <w:t xml:space="preserve"> </w:t>
      </w:r>
      <w:r>
        <w:rPr>
          <w:rStyle w:val="FootnoteCharacters"/>
          <w:rStyle w:val="FootnoteReference"/>
        </w:rPr>
        <w:footnoteReference w:id="4"/>
      </w:r>
      <w:r>
        <w:rPr/>
        <w:t xml:space="preserve">  Other factors that have contributed to demand are more fundamental, such as the 29 percent growth in California’s economy over the last five years accompanied by a 24 percent increase in electricity consumption.</w:t>
      </w:r>
      <w:r>
        <w:rPr>
          <w:rStyle w:val="FootnoteCharacters"/>
          <w:rStyle w:val="FootnoteReference"/>
        </w:rPr>
        <w:footnoteReference w:id="5"/>
      </w:r>
      <w:r>
        <w:rPr/>
        <w:t xml:space="preserve"> </w:t>
      </w:r>
    </w:p>
    <w:p>
      <w:pPr>
        <w:pStyle w:val="BodyTextIndent3"/>
        <w:rPr/>
      </w:pPr>
      <w:r>
        <w:rPr/>
        <w:t xml:space="preserve">Finally, we note that the California marketplace was overly susceptible to the movement of prices in the spot market, due to regulatory policies at the state level that discouraged utilities from buying supplies on a managed portfolio basis.  Instead, some utilities purchased virtually all of their system supply on the spot market, without entering into any financial or physical hedges to mitigate price volatility.  Unhedged, spot-based procurement practices magnified the financial impact of upward movement in the spot market. </w:t>
      </w:r>
    </w:p>
    <w:p>
      <w:pPr>
        <w:pStyle w:val="Heading2"/>
        <w:spacing w:before="240" w:after="0"/>
        <w:ind w:hanging="0" w:end="0"/>
        <w:rPr/>
      </w:pPr>
      <w:r>
        <w:rPr/>
        <w:t>Discussion and Comments</w:t>
      </w:r>
    </w:p>
    <w:p>
      <w:pPr>
        <w:pStyle w:val="Normal"/>
        <w:spacing w:lineRule="auto" w:line="480"/>
        <w:ind w:firstLine="720" w:end="0"/>
        <w:jc w:val="both"/>
        <w:rPr/>
      </w:pPr>
      <w:r>
        <w:rPr/>
        <w:t>Much attention has been focused on the “basis differential” the California gas markets have seen, the basis differential here being the difference between the price of gas in the producing basins and the price at the California border.  It is important to understand that a basis differential is not simply the cost of transporting gas between two points.  Each point in the differential represents a different market, which responds to a variety of forces.  For example, if a supply basin is connected by pipelines to several different geographic markets, the basis differentials between that producing basin and the different markets could, and probably would, differ.  The differences between the basis differentials could reflect the “premium” that one of those markets might have to pay to pull the gas away from one of the other markets.  Basis differentials may also reflect transportation constraints or excess deliverability.  In fact, basis differentials can be negative when market demand drops or excess pipeline capacity exists.</w:t>
      </w:r>
    </w:p>
    <w:p>
      <w:pPr>
        <w:pStyle w:val="Normal"/>
        <w:spacing w:lineRule="auto" w:line="480"/>
        <w:ind w:firstLine="720" w:end="0"/>
        <w:jc w:val="both"/>
        <w:rPr/>
      </w:pPr>
      <w:r>
        <w:rPr/>
        <w:t xml:space="preserve">The complainants in this case seemingly believe that large “basis differentials” between the California border and the producing basins indicate that reliance on market forces to determine price has failed.  In fact, the opposite is true.  When transportation capacity is fully utilized, as it is into and within California, the basis differential increases in order to allocate the scarce capacity to those who value it the most, sending the signal that more capacity or supply into the market is needed.  The Southern California Gas Co. system is for all intents and purposes a closed system, and the California border price acts as a proxy for all in-state delivery points served by SoCalGas.  </w:t>
      </w:r>
    </w:p>
    <w:p>
      <w:pPr>
        <w:pStyle w:val="Normal"/>
        <w:spacing w:lineRule="auto" w:line="480"/>
        <w:ind w:firstLine="720" w:end="0"/>
        <w:jc w:val="both"/>
        <w:rPr/>
      </w:pPr>
      <w:r>
        <w:rPr/>
        <w:t>The California market is responding appropriately to signals that the basis differential is sending.  A number of proposals to expand capacity into and through California have been filed with the Commission.  As demand and supply come into balance with the addition of new capacity and new resources, the basis differential will shrink.  In fact, the forward price of natural gas is declining, particularly in the “out” years as the market takes into account the in-service date of new capacity projects.</w:t>
      </w:r>
      <w:r>
        <w:rPr>
          <w:rStyle w:val="FootnoteCharacters"/>
          <w:rStyle w:val="FootnoteReference"/>
        </w:rPr>
        <w:footnoteReference w:id="6"/>
      </w:r>
      <w:r>
        <w:rPr/>
        <w:t xml:space="preserve">  </w:t>
      </w:r>
    </w:p>
    <w:p>
      <w:pPr>
        <w:pStyle w:val="Normal"/>
        <w:spacing w:lineRule="auto" w:line="480"/>
        <w:ind w:firstLine="720" w:end="0"/>
        <w:jc w:val="both"/>
        <w:rPr/>
      </w:pPr>
      <w:r>
        <w:rPr/>
        <w:t xml:space="preserve">The correct policy is to let the markets continue to work.  Regulatory interference, particularly in the form of re-regulation of prices (commodity or capacity), will be counterproductive, discouraging parties from building needed infrastructure and developing new reserves of natural gas.  </w:t>
      </w:r>
    </w:p>
    <w:p>
      <w:pPr>
        <w:pStyle w:val="Normal"/>
        <w:spacing w:lineRule="auto" w:line="480"/>
        <w:ind w:firstLine="720" w:end="0"/>
        <w:jc w:val="both"/>
        <w:rPr/>
      </w:pPr>
      <w:r>
        <w:rPr/>
        <w:t>In its May 22 order, the Commission poses specific questions for comment to which we respond below.</w:t>
      </w:r>
    </w:p>
    <w:p>
      <w:pPr>
        <w:pStyle w:val="Normal"/>
        <w:numPr>
          <w:ilvl w:val="0"/>
          <w:numId w:val="2"/>
        </w:numPr>
        <w:jc w:val="both"/>
        <w:rPr>
          <w:i/>
          <w:i/>
          <w:iCs/>
        </w:rPr>
      </w:pPr>
      <w:r>
        <w:rPr>
          <w:i/>
          <w:iCs/>
        </w:rPr>
        <w:t>Would reimposition of the maximum rate ceilings on short-term capacity release transactions into California have any significant effect on the price of gas at the California border?</w:t>
      </w:r>
    </w:p>
    <w:p>
      <w:pPr>
        <w:pStyle w:val="BodyTextIndent"/>
        <w:spacing w:before="240" w:after="0"/>
        <w:ind w:firstLine="720" w:start="0" w:end="0"/>
        <w:rPr/>
      </w:pPr>
      <w:r>
        <w:rPr/>
        <w:t>Reimposition of maximum rate ceilings on short-term capacity release transactions into California will not have an appreciable effect on the price of gas into California.  As the Commission observed in the May 22 Notice, little capacity has been released at above-maximum rates during the period of time that gas prices in California spiked.  Thus, the basis differentials have largely not been captured by those who hold and release pipeline capacity.  Parties selling gas into California are capturing the economic rent attributable to holding scarce transportation rights (either on the interstate or intrastate systems) not through the release of capacity at above-maximum rates, but through the bundled delivered price of sales within California or at the California border.  Reimposition of price caps will simply force deals to be bundled at the border; firm capacity holders will be even less likely to release capacity than they are today.  Much trading activity has already moved to the border, likely as a result of the problems getting firm delivery rights through the interstate pipelines on into the intrastate market.</w:t>
      </w:r>
    </w:p>
    <w:p>
      <w:pPr>
        <w:pStyle w:val="Normal"/>
        <w:keepNext w:val="true"/>
        <w:numPr>
          <w:ilvl w:val="0"/>
          <w:numId w:val="2"/>
        </w:numPr>
        <w:jc w:val="both"/>
        <w:rPr>
          <w:i/>
          <w:i/>
          <w:iCs/>
        </w:rPr>
      </w:pPr>
      <w:r>
        <w:rPr>
          <w:i/>
          <w:iCs/>
        </w:rPr>
        <w:t>Should reimposition of the maximum rate ceiling on short-term capacity release transactions be limited to California or extended to pipelines delivering into the Western Systems Coordinating Council (WSCC) region?</w:t>
      </w:r>
    </w:p>
    <w:p>
      <w:pPr>
        <w:pStyle w:val="BodyTextIndent"/>
        <w:spacing w:before="240" w:after="0"/>
        <w:ind w:firstLine="720" w:start="0" w:end="0"/>
        <w:rPr/>
      </w:pPr>
      <w:r>
        <w:rPr/>
        <w:t>Since we do not agree that reimposition of price caps on short-term capacity releases will relieve the current situation, we do not support extending the price cap reimposition to pipelines other than those delivering at the California border.  The Commission must, at the very least, examine whether there have been short-term releases done on these pipelines at above maximum rates and whether these transactions, if there are any, are related in any way to gas price increases in California.  Certainly if the Commission takes any action, it should only affect California.</w:t>
      </w:r>
    </w:p>
    <w:p>
      <w:pPr>
        <w:pStyle w:val="Normal"/>
        <w:numPr>
          <w:ilvl w:val="0"/>
          <w:numId w:val="2"/>
        </w:numPr>
        <w:spacing w:lineRule="auto" w:line="480" w:before="120" w:after="0"/>
        <w:jc w:val="both"/>
        <w:rPr>
          <w:i/>
          <w:i/>
          <w:iCs/>
        </w:rPr>
      </w:pPr>
      <w:r>
        <w:rPr>
          <w:i/>
          <w:iCs/>
        </w:rPr>
        <w:t>What effect do capacity release transactions have on wholesale electric prices?</w:t>
      </w:r>
    </w:p>
    <w:p>
      <w:pPr>
        <w:pStyle w:val="Normal"/>
        <w:spacing w:lineRule="auto" w:line="480"/>
        <w:ind w:firstLine="720" w:end="0"/>
        <w:jc w:val="both"/>
        <w:rPr/>
      </w:pPr>
      <w:r>
        <w:rPr/>
        <w:t xml:space="preserve">In order to assess the impact of short-term capacity releases on wholesale electric prices, the Commission would have to know how each of the gas-fired generation plants serving California sources its fuel supplies.  We would assume that different facilities obtain their gas in a variety of ways, some relying on long-term firm transportation arrangements, some using storage, and others relying on less firm ways of obtaining gas.  The real question is not what impact capacity </w:t>
      </w:r>
      <w:r>
        <w:rPr>
          <w:i/>
          <w:iCs/>
        </w:rPr>
        <w:t>releases</w:t>
      </w:r>
      <w:r>
        <w:rPr/>
        <w:t xml:space="preserve"> have on wholesale prices, but rather what effect does the </w:t>
      </w:r>
      <w:r>
        <w:rPr>
          <w:i/>
          <w:iCs/>
        </w:rPr>
        <w:t>availability</w:t>
      </w:r>
      <w:r>
        <w:rPr/>
        <w:t xml:space="preserve"> of capacity have on those prices.  If generators are unable to obtain capacity when they need it, or have to pay higher prices for delivered gas or for use of transportation capacity because it is in short supply, then prices will rise.  This is because scarce resources must be allocated, not because short-term capacity releases may be transacted at negotiated above-pipeline-maximum rates.</w:t>
      </w:r>
    </w:p>
    <w:p>
      <w:pPr>
        <w:pStyle w:val="Normal"/>
        <w:keepNext w:val="true"/>
        <w:numPr>
          <w:ilvl w:val="0"/>
          <w:numId w:val="2"/>
        </w:numPr>
        <w:jc w:val="both"/>
        <w:rPr>
          <w:i/>
          <w:i/>
          <w:iCs/>
        </w:rPr>
      </w:pPr>
      <w:r>
        <w:rPr>
          <w:i/>
          <w:iCs/>
        </w:rPr>
        <w:t>What would be the effect of reimposing the maximum rate ceiling on short-term capacity release transactions into California given firm shippers’ ability to make bundled sales at the California border?</w:t>
      </w:r>
    </w:p>
    <w:p>
      <w:pPr>
        <w:pStyle w:val="BodyTextIndent2"/>
        <w:spacing w:before="240" w:after="0"/>
        <w:ind w:firstLine="720" w:start="0" w:end="0"/>
        <w:rPr/>
      </w:pPr>
      <w:r>
        <w:rPr/>
        <w:t xml:space="preserve">We cannot conceive that reimposition of maximum rates on short-term releases would have any discernible impact on natural gas prices in California.  The trading that occurs at the border, where gas is priced to move into the California markets, will find the market clearing price, regardless of the costs of transportation to the border.  And to the extent that price reflects capacity shortages or limitations on take-away rights, those prices will remain as long as demand exceeds capacity. </w:t>
      </w:r>
    </w:p>
    <w:p>
      <w:pPr>
        <w:pStyle w:val="Normal"/>
        <w:numPr>
          <w:ilvl w:val="0"/>
          <w:numId w:val="2"/>
        </w:numPr>
        <w:spacing w:before="120" w:after="0"/>
        <w:jc w:val="both"/>
        <w:rPr>
          <w:i/>
          <w:i/>
          <w:iCs/>
        </w:rPr>
      </w:pPr>
      <w:r>
        <w:rPr>
          <w:i/>
          <w:iCs/>
        </w:rPr>
        <w:t>How will reimposing the maximum rate ceiling for short-term capacity releases into California impact shippers’ ability to obtain short-term firm capacity?</w:t>
      </w:r>
    </w:p>
    <w:p>
      <w:pPr>
        <w:pStyle w:val="BodyTextIndent2"/>
        <w:spacing w:before="240" w:after="0"/>
        <w:ind w:firstLine="720" w:start="0" w:end="0"/>
        <w:rPr/>
      </w:pPr>
      <w:r>
        <w:rPr/>
        <w:t>While we cannot predict with any precision what impact the reimposition of maximum rates would have, from the viewpoint of economic theory, the ability of parties to bid for a resource without price ceilings enables the party who values that resource the most to obtain it.  If price caps are reimposed, then that landscape changes, and sought-after capacity will either be allocated among all parties willing to pay the maximum rate for that capacity, or it will go to one party who perhaps bid the same price as a number of others did, regardless of the different bidders’ comparative need for the gas.  Then the parties that have the greatest need for the capacity may not be able to get any or all of the capacity they require.</w:t>
      </w:r>
    </w:p>
    <w:p>
      <w:pPr>
        <w:pStyle w:val="BodyTextIndent2"/>
        <w:keepNext w:val="true"/>
        <w:spacing w:before="240" w:after="0"/>
        <w:ind w:start="0" w:end="0"/>
        <w:jc w:val="center"/>
        <w:rPr>
          <w:b/>
          <w:bCs/>
        </w:rPr>
      </w:pPr>
      <w:r>
        <w:rPr>
          <w:b/>
          <w:bCs/>
        </w:rPr>
        <w:t>Conclusion</w:t>
      </w:r>
    </w:p>
    <w:p>
      <w:pPr>
        <w:pStyle w:val="BodyTextIndent2"/>
        <w:ind w:firstLine="720" w:start="0" w:end="0"/>
        <w:rPr/>
      </w:pPr>
      <w:r>
        <w:rPr/>
        <w:t>In conclusion, Enron submits that there is no evidence that reimposition of price caps on short-term capacity releases would force down the price of gas into California.  Economic reality simply does not support the reimposition of capacity release price caps, particularly when the market needs the proper price signals to encourage transportation and resource development expansions.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North America Corp. and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Energy Services, Inc.</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June 11,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16"/>
          <w:u w:val="single"/>
        </w:rPr>
      </w:pPr>
      <w:r>
        <w:rPr>
          <w:sz w:val="16"/>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tab/>
        <w:t>Dated this 11th day of June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BodyTextIndent2"/>
        <w:ind w:start="0" w:end="0"/>
        <w:rPr/>
      </w:pPr>
      <w:r>
        <w:rPr/>
        <w:tab/>
        <w:tab/>
        <w:tab/>
        <w:tab/>
        <w:t>Leslie J. Lawner</w:t>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California Energy Commission, </w:t>
      </w:r>
      <w:r>
        <w:rPr>
          <w:i/>
          <w:iCs/>
        </w:rPr>
        <w:t>Natural Gas Infrastructure Issues</w:t>
      </w:r>
      <w:r>
        <w:rPr/>
        <w:t xml:space="preserve">, May 2001, p. 9, available online at </w:t>
      </w:r>
      <w:hyperlink r:id="rId1">
        <w:r>
          <w:rPr>
            <w:rStyle w:val="Hyperlink"/>
          </w:rPr>
          <w:t>www.energy.ca.gov/reports/2001-05-22_200-01-001.PDF</w:t>
        </w:r>
      </w:hyperlink>
      <w:r>
        <w:rPr>
          <w:color w:val="0000FF"/>
        </w:rPr>
        <w:t>.</w:t>
      </w:r>
    </w:p>
  </w:footnote>
  <w:footnote w:id="3">
    <w:p>
      <w:pPr>
        <w:pStyle w:val="FootnoteText"/>
        <w:rPr/>
      </w:pPr>
      <w:r>
        <w:rPr>
          <w:rStyle w:val="FootnoteCharacters"/>
        </w:rPr>
        <w:footnoteRef/>
      </w:r>
      <w:r>
        <w:rPr/>
        <w:t xml:space="preserve">  </w:t>
      </w:r>
      <w:r>
        <w:rPr/>
        <w:t xml:space="preserve">Energy and Environmental Analysis, Inc., </w:t>
      </w:r>
      <w:r>
        <w:rPr>
          <w:i/>
          <w:iCs/>
        </w:rPr>
        <w:t>Monthly Gas Update</w:t>
      </w:r>
      <w:r>
        <w:rPr/>
        <w:t>, April 2001.</w:t>
      </w:r>
    </w:p>
  </w:footnote>
  <w:footnote w:id="4">
    <w:p>
      <w:pPr>
        <w:pStyle w:val="FootnoteText"/>
        <w:jc w:val="both"/>
        <w:rPr/>
      </w:pPr>
      <w:r>
        <w:rPr>
          <w:rStyle w:val="FootnoteCharacters"/>
        </w:rPr>
        <w:footnoteRef/>
      </w:r>
      <w:r>
        <w:rPr/>
        <w:t xml:space="preserve"> </w:t>
      </w:r>
      <w:r>
        <w:rPr/>
        <w:t>Gas demand last year in California to generate electricity sold to the grid was 700 Bcf, compared to a five-year average of 350 Bcf. (Ibid.)</w:t>
      </w:r>
    </w:p>
  </w:footnote>
  <w:footnote w:id="5">
    <w:p>
      <w:pPr>
        <w:pStyle w:val="FootnoteText"/>
        <w:rPr/>
      </w:pPr>
      <w:r>
        <w:rPr>
          <w:rStyle w:val="FootnoteCharacters"/>
        </w:rPr>
        <w:footnoteRef/>
      </w:r>
      <w:r>
        <w:rPr/>
        <w:t xml:space="preserve"> </w:t>
      </w:r>
      <w:r>
        <w:rPr/>
        <w:t xml:space="preserve">Cambridge Energy Research Associates, </w:t>
      </w:r>
      <w:r>
        <w:rPr>
          <w:i/>
          <w:iCs/>
        </w:rPr>
        <w:t>Beyond California’s Power Crisis: Impact, Solutions, and Lessons</w:t>
      </w:r>
      <w:r>
        <w:rPr/>
        <w:t>, March 2001.</w:t>
      </w:r>
    </w:p>
  </w:footnote>
  <w:footnote w:id="6">
    <w:p>
      <w:pPr>
        <w:pStyle w:val="FootnoteText"/>
        <w:jc w:val="both"/>
        <w:rPr/>
      </w:pPr>
      <w:r>
        <w:rPr>
          <w:rStyle w:val="FootnoteCharacters"/>
        </w:rPr>
        <w:footnoteRef/>
      </w:r>
      <w:r>
        <w:rPr/>
        <w:t xml:space="preserve"> </w:t>
      </w:r>
      <w:r>
        <w:rPr/>
        <w:t xml:space="preserve">Enron subscribes to a third-party service which provides forward pricing curves for natural gas at the California border, among other points.  These curves and others demonstrate that the forward price of gas is going down in California.  The information we get through the third party service is obviously proprietary and confidential, but, if the Commission agrees to treat this information confidentially, we may be able to provide the third-party information to the Commission.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Docket Nos.  RP01-180-000 and RP01-222-000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tabs>
        <w:tab w:val="left" w:pos="900" w:leader="none"/>
        <w:tab w:val="center" w:pos="4320" w:leader="none"/>
        <w:tab w:val="right" w:pos="8640" w:leader="none"/>
      </w:tabs>
      <w:rPr>
        <w:rStyle w:val="PageNumber"/>
      </w:rPr>
    </w:pPr>
    <w:r>
      <w:rPr/>
    </w:r>
  </w:p>
  <w:p>
    <w:pPr>
      <w:pStyle w:val="Header"/>
      <w:tabs>
        <w:tab w:val="left" w:pos="900" w:leader="none"/>
        <w:tab w:val="center" w:pos="4320" w:leader="none"/>
        <w:tab w:val="right" w:pos="864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720" w:end="0"/>
      <w:jc w:val="both"/>
    </w:pPr>
    <w:rPr/>
  </w:style>
  <w:style w:type="paragraph" w:styleId="BodyTextIndent2">
    <w:name w:val="Body Text Indent 2"/>
    <w:basedOn w:val="Normal"/>
    <w:qFormat/>
    <w:pPr>
      <w:spacing w:lineRule="auto" w:line="480"/>
      <w:ind w:hanging="0" w:start="360" w:end="0"/>
      <w:jc w:val="both"/>
    </w:pPr>
    <w:rPr/>
  </w:style>
  <w:style w:type="paragraph" w:styleId="FootnoteText">
    <w:name w:val="footnote text"/>
    <w:basedOn w:val="Normal"/>
    <w:pPr/>
    <w:rPr>
      <w:sz w:val="20"/>
      <w:szCs w:val="20"/>
    </w:rPr>
  </w:style>
  <w:style w:type="paragraph" w:styleId="BodyTextIndent3">
    <w:name w:val="Body Text Indent 3"/>
    <w:basedOn w:val="Normal"/>
    <w:qFormat/>
    <w:pPr>
      <w:spacing w:lineRule="auto" w:line="480"/>
      <w:ind w:firstLine="720" w:start="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reports/2001-05-22_200-01-001.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2001-06-11T12:52:00Z</dcterms:created>
  <dc:creator>llawner</dc:creator>
  <dc:description/>
  <dc:language>en-CA</dc:language>
  <cp:lastModifiedBy>Rebecca W. Cantrell</cp:lastModifiedBy>
  <cp:lastPrinted>2001-06-11T10:09:00Z</cp:lastPrinted>
  <dcterms:modified xsi:type="dcterms:W3CDTF">2001-06-11T14:23:00Z</dcterms:modified>
  <cp:revision>5</cp:revision>
  <dc:subject/>
  <dc:title>BEFORE THE UNITED STATES OF AMERICA</dc:title>
</cp:coreProperties>
</file>