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24"/>
        </w:rPr>
      </w:pPr>
      <w:r>
        <w:rPr>
          <w:b/>
          <w:sz w:val="24"/>
        </w:rPr>
        <w:t>COMENTÁRIOS DA ENRON E DA ELEKTRO SOBRE AS RESOLUÇÕES  ANEEL</w:t>
      </w:r>
    </w:p>
    <w:p>
      <w:pPr>
        <w:pStyle w:val="Heading1"/>
        <w:ind w:hanging="0" w:start="0"/>
        <w:jc w:val="center"/>
        <w:rPr>
          <w:b/>
          <w:sz w:val="24"/>
        </w:rPr>
      </w:pPr>
      <w:r>
        <w:rPr>
          <w:b/>
          <w:sz w:val="24"/>
        </w:rPr>
        <w:t>Nº 160, 161 E 162 DE 20 DE ABRIL DE 2001</w:t>
      </w:r>
    </w:p>
    <w:p>
      <w:pPr>
        <w:pStyle w:val="Heading1"/>
        <w:ind w:hanging="0" w:start="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Reiteramos nosso apoio às diretrizes para o ajuste do Acordo do MAE encaminhadas pelas entidades representativas ABRADEE/ABRAGE, posteriormente aprovados na Assembléia Extraordinária do MAE, de cuja elaboração e negociação tomamos parte e cujo teor transcrevemos a seguir: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“</w:t>
      </w:r>
      <w:r>
        <w:rPr>
          <w:rFonts w:cs="Arial" w:ascii="Arial" w:hAnsi="Arial"/>
          <w:b/>
          <w:sz w:val="32"/>
        </w:rPr>
        <w:t>Proposta de diretrizes para o ajuste ao Acordo de Mercado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PRINCÍPIOS BÁSICOS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 Mercado deve continuar a ser autoregulado, mantendo-se o papel da Assembléia Geral do MAE como órgão soberano de decisão.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Indent2"/>
        <w:rPr/>
      </w:pPr>
      <w:r>
        <w:rPr/>
        <w:t>Deve continuar cabendo à ANEEL homologar as decisões da Assembléia Geral, atuando como mediadora de conflitos em situações excepcionais previstas no Acordo de Mercado.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HIERARQUIA ENTRE OS ORGANISMOS DA GOVERNANÇA DO MAE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20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Na governança do MAE, tem-se a seguinte hierarquia:</w:t>
      </w:r>
    </w:p>
    <w:p>
      <w:pPr>
        <w:pStyle w:val="Normal"/>
        <w:ind w:start="720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1"/>
          <w:numId w:val="5"/>
        </w:numPr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ASMAE dá suporte administrativo, técnico e jurídico às instâncias superiores;</w:t>
      </w:r>
    </w:p>
    <w:p>
      <w:pPr>
        <w:pStyle w:val="Normal"/>
        <w:numPr>
          <w:ilvl w:val="1"/>
          <w:numId w:val="5"/>
        </w:numPr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 COMAE submete as matérias à Assembléia Geral para aprovação, tais como Regras, Procedimentos e alterações no Acordo de Mercado;</w:t>
      </w:r>
    </w:p>
    <w:p>
      <w:pPr>
        <w:pStyle w:val="Normal"/>
        <w:numPr>
          <w:ilvl w:val="1"/>
          <w:numId w:val="5"/>
        </w:numPr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Assembléia Geral aprova matérias encaminhadas pelo COMAE;</w:t>
      </w:r>
    </w:p>
    <w:p>
      <w:pPr>
        <w:pStyle w:val="Normal"/>
        <w:numPr>
          <w:ilvl w:val="1"/>
          <w:numId w:val="5"/>
        </w:numPr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ANEEL homologa as matérias aprovadas pela Assembléia Geral.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CONSTITUIÇÃO DO COMAE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BodyTextIndent"/>
        <w:jc w:val="both"/>
        <w:rPr/>
      </w:pPr>
      <w:r>
        <w:rPr/>
        <w:t>Para a desejada profissionalização do COMAE, deve-se exigir dedicação integral dos Conselheiros e a total desvinculação de seus compromissos empresariais com Agentes do MAE ou outras entidades representativas dos interesses do setor ou ainda de órgãos governamentais.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Eliminar a exigência de quarentena prévia para os Conselheiros do COMAE, tendo em contrapartida, a ampliação da quarentena posterior.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composição dos Conselheiros deve prever a indicação paritária entre as categorias de consumo e produção, mantendo-se um número reduzido de Conselheiros, compatível com a plena profissionalização do organismo.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PAPEL DA ASSEMBLÉIA GERAL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Órgão soberano, com poderes de decisão sobre objeto social, eleição dos membros do COMAE e aprovação de todas as matérias no âmbito do MAE.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Deve reunir-se ordinariamente uma vez ao ano, podendo ser convocada extraordinariamente a qualquer tempo, por iniciativa de parte de seus membros.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Caberá à Assembléia Geral do MAE eleger o Conselho de Administração da ASMAE.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PAPEL DO COMAE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 COMAE deve permanecer como primeira instância administrativa de mediação e julgamento de conflitos entre os Agentes participantes do MAE.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Os conflitos submetidos à mediação e julgamento do COMAE devem ser exclusivamente aqueles relativos à interpretação das Regras e Procedimentos de Mercado.</w:t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 COMAE deverá implantar as determinações da Assembléia Geral e as Regras de Mercado homologadas pela ANEEL.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  <w:r>
        <w:br w:type="page"/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PAPEL DA ASMAE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ASMAE, como autorizada da ANEEL, deverá limitar-se a operacionalizar o funcionamento do MAE, sem interferir nos relacionamentos comerciais entre os Agentes.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CÂMARA DE ARBITRAGEM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0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normalização do funcionamento do mercado exige o estabelecimento de uma Câmara de Arbitragem e o respeito às suas deliberações.”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Adicionalmente às diretrizes elaboradas pelas citadas entidades, passamos a descrever nossos comentários adicionais que tem por objetivo dar maior detalhamento às citadas diretrizes nos aspectos abordados pelas Resoluções em epígrafe:</w:t>
      </w:r>
    </w:p>
    <w:p>
      <w:pPr>
        <w:pStyle w:val="Normal"/>
        <w:jc w:val="both"/>
        <w:rPr/>
      </w:pPr>
      <w:r>
        <w:rPr/>
      </w:r>
    </w:p>
    <w:p>
      <w:pPr>
        <w:pStyle w:val="Heading1"/>
        <w:ind w:hanging="0" w:start="0"/>
        <w:rPr>
          <w:b/>
          <w:sz w:val="28"/>
          <w:u w:val="single"/>
        </w:rPr>
      </w:pPr>
      <w:r>
        <w:rPr>
          <w:b/>
          <w:sz w:val="28"/>
          <w:u w:val="single"/>
        </w:rPr>
        <w:t>Resolução ANEEL 160/01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BodyText"/>
        <w:rPr/>
      </w:pPr>
      <w:r>
        <w:rPr/>
        <w:t>Quanto a questão central da Resolução, a substituição do COEX (comitê constituído de representantes dos agentes) pelo COMAE (constituído por profissionais) na regência do MAE, os aspectos mais relevantes que devem ser revistos são os seguintes:</w:t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O COMAE deve desempenhar um papel chave no funcionamento do MAE, envolvendo-se profunda e exclusivamente nas questões relevantes do MAE, seja no desenho das Regras de Mercado, nos Procedimentos de Mercado e na articulação da operação do mercado com a operação do sistema de atribuição do ONS. Consequentemente, </w:t>
      </w:r>
      <w:r>
        <w:rPr>
          <w:b/>
          <w:u w:val="single"/>
        </w:rPr>
        <w:t>todos</w:t>
      </w:r>
      <w:r>
        <w:rPr/>
        <w:t xml:space="preserve"> os Conselheiros do COMAE com direito a voto devem ter dedicação integral, desvinculando-os de qualquer outro vínculo empregatício, contratual com agentes do mercado, orgãos governamentais ou entidades de representação setorial, ou atividade que possa comprometer o desempenho fiel de tais atribuições, para que o COMAE tenha condições de promover uma regência competente, independente, eficaz e ágil como desejado. Os Conselheiros devem gozar de alta consideração moral, bem como serem de competência reconhecida no setor.</w:t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Os conselheiros uma vez empossados devem exercer seus mandatos com profissionalismo e independência dos órgãos e classes que os indicaram e de interesses específicos. Para tal é mister que não sejam demissíveis sem justificativa. Por esta razão consideramos que as condições para sua destituição sejam condicionadas a aprovação de maioria da Assembléia Geral e aprovação da ANEEL, para </w:t>
      </w:r>
      <w:r>
        <w:rPr>
          <w:b/>
          <w:u w:val="single"/>
        </w:rPr>
        <w:t>todos</w:t>
      </w:r>
      <w:r>
        <w:rPr/>
        <w:t xml:space="preserve"> os conselheiros com direito a voto.</w:t>
      </w:r>
    </w:p>
    <w:p>
      <w:pPr>
        <w:pStyle w:val="BodyText"/>
        <w:numPr>
          <w:ilvl w:val="0"/>
          <w:numId w:val="3"/>
        </w:numPr>
        <w:rPr/>
      </w:pPr>
      <w:r>
        <w:rPr/>
        <w:t>Não vemos nenhuma razão para exigir a desincompatibilização de 4 meses anteriores para os conselheiros indicados. Nem para posições de maior relevância, como, por exemplo, Diretor da ANEEL, existe tal exigência. Isto seria muito, muito prejudicial a escolha de profissionais capacitados para compor o COMAE, pois limita sobremaneira o universo dos potenciais indicáveis entre os profissionais com capacitação para tal. Deve ser retirada esta exigência por entendemos ser desnecessária e prejudicial.</w:t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Provavelmente por engano, foi atribuída a Assembléia Geral do MAE algo que nos parece incontestavelmente uma das tarefas do COMAE, ou seja: </w:t>
      </w:r>
      <w:r>
        <w:rPr>
          <w:i/>
        </w:rPr>
        <w:t>“supervisionar as atividades do Agente Administrador de Serviços do Mercado, observado o disposto em normas específicas da ANEEL;”</w:t>
      </w:r>
      <w:r>
        <w:rPr/>
        <w:t xml:space="preserve">  A Assembléia Geral pelo seu caráter de órgão deliberativo não pode desempenhar adequadamente este tipo de função. Por outro lado o COMAE pode desempenhar tal papel com eficácia, reforçando a necessidade de prever a dedicação exclusiva de seus membros.</w:t>
      </w:r>
    </w:p>
    <w:p>
      <w:pPr>
        <w:pStyle w:val="BodyText"/>
        <w:numPr>
          <w:ilvl w:val="0"/>
          <w:numId w:val="3"/>
        </w:numPr>
        <w:rPr/>
      </w:pPr>
      <w:r>
        <w:rPr/>
        <w:t>Embora compreendendo que podem ocorrer situações em que, para resolver impasses na implantação de correções de rumo para que a plena competição e os sinais de mercado sejam preservados, pode ser necessário intervir na condução do MAE, entendemos que tal não deve se constituir em um recurso que a ANEEL ou o Governo possam lançar mão a qualquer momento, trazendo instabilidade e insegurança dos agentes quanto às regras do jogo e às suas projeções, necessárias a tomada de decisões empresariais. Por esta razão é prudente que sejam estabelecidas claramente no acordo do mercado e na regulamentação as condições excepcionais passíveis de intervenção pela ANEEL, bem como sua abrangência, quando necessário no futuro. Sugerimos que tais intervenções só possam ser feitas se indicadas pela ANEEL e aprovadas, por organismo independente, como, por exemplo, o Conselho Nacional de Política Energética, ao qual caberia estabelecer os limites da intervenção.</w:t>
      </w:r>
    </w:p>
    <w:p>
      <w:pPr>
        <w:pStyle w:val="BodyText"/>
        <w:rPr/>
      </w:pPr>
      <w:r>
        <w:rPr/>
        <w:t>A seguir listamos as demais alterações que, embora de abrangência mais restrita, são também importantes:</w:t>
      </w:r>
    </w:p>
    <w:p>
      <w:pPr>
        <w:pStyle w:val="BodyText"/>
        <w:numPr>
          <w:ilvl w:val="0"/>
          <w:numId w:val="2"/>
        </w:numPr>
        <w:rPr/>
      </w:pPr>
      <w:r>
        <w:rPr/>
        <w:t>Consideramos que o COMAE deve ser a primeira instância de decisão de disputas entre membros do MAE (Art. 3º, inciso III) relativas não só às regras de mercado, mas ao Acordo de Mercado e aos procedimentos de Mercado. A ASMAE, como aplicadora das regras e procedimentos estaria em conflito de atribuições, ao mesmo tempo aplicando as regras e julgando sua aplicação. É importante preservar a ASMAE destes potenciais problemas: um COMAE dedicado poderá dar andamento pronto e solução eficaz a tais disputa. Cabe ressaltar que a verificação e correção de erros na coleta de dados e na contabilização não se constituem a nosso ver em disputas, podendo ser objeto de correção pela própria ASMAE sem o envolvimento do COMAE.</w:t>
      </w:r>
    </w:p>
    <w:p>
      <w:pPr>
        <w:pStyle w:val="BodyText"/>
        <w:numPr>
          <w:ilvl w:val="0"/>
          <w:numId w:val="2"/>
        </w:numPr>
        <w:rPr/>
      </w:pPr>
      <w:r>
        <w:rPr/>
        <w:t>Por coerência com nossos comentários anteriores, a apresentação da declaração formal referida no Art. 5º, parágrafo único deve ser apresentada na data no ato da posse do conselheiro. Alem disto cabe adicionar na declaração o compromisso com o período de quarentena ao fim do mandato, bem como o de confidencialidade com as informações não públicas do MAE e de concordância com a expressa proibição de que façam uso de informações ou obtenham qualquer vantagem em razão de sua função, sob pena de responder civil e criminalmente.</w:t>
      </w:r>
    </w:p>
    <w:p>
      <w:pPr>
        <w:pStyle w:val="BodyText"/>
        <w:numPr>
          <w:ilvl w:val="0"/>
          <w:numId w:val="2"/>
        </w:numPr>
        <w:rPr/>
      </w:pPr>
      <w:r>
        <w:rPr/>
        <w:t>A Resolução deixou em branco a entidade responsável pelo pagamento da remuneração dos conselheiros. Em nossa opinião tal deve ser feito pela ASMAE. Também não foi definido qual o tipo de vínculo dos conselheiros (trabalhista, contratual etc.).</w:t>
      </w:r>
    </w:p>
    <w:p>
      <w:pPr>
        <w:pStyle w:val="BodyText"/>
        <w:numPr>
          <w:ilvl w:val="0"/>
          <w:numId w:val="2"/>
        </w:numPr>
        <w:rPr/>
      </w:pPr>
      <w:r>
        <w:rPr/>
        <w:t>Não entendemos o propósito do Art. 10º. Ao que parece, não há qualquer novidade em relação ao atual Acordo do Mercado. Sugerimos excluir.</w:t>
      </w:r>
    </w:p>
    <w:p>
      <w:pPr>
        <w:pStyle w:val="BodyText"/>
        <w:numPr>
          <w:ilvl w:val="0"/>
          <w:numId w:val="2"/>
        </w:numPr>
        <w:rPr/>
      </w:pPr>
      <w:r>
        <w:rPr/>
        <w:t>Com relação às atribuições da Assembléia Geral do MAE, cabem as seguintes alterações(Art. 13.): - no inciso II, “deliberar sobre as propostas de mudança necessárias no Acordo do MAE, Regras do Mercado e Procedimentosdo Mercado, encaminhando-as a ANEEL para homologação”; - no inciso IV parece ser uma atribuição da Assembléia da ASMAE. Embora sejam os mesmos agentes, é formalmente um órgão diferente. Retirar. – no inciso X, coerente com a observação do inciso IV, a deliberação da Assembléia do MAE deve recair apenas sobre a remuneração dos conselheiros do COMAE.</w:t>
      </w:r>
    </w:p>
    <w:p>
      <w:pPr>
        <w:pStyle w:val="BodyText"/>
        <w:numPr>
          <w:ilvl w:val="0"/>
          <w:numId w:val="2"/>
        </w:numPr>
        <w:rPr/>
      </w:pPr>
      <w:r>
        <w:rPr/>
        <w:t>Não há qualquer sentido em condicionar a substituição da direção da ASMAE a aprovação da ANEEL. Seria uma interferência descabida na administração da ASMAE. O Parágrafo 3º, do Art. 13. deve ser suprimido.</w:t>
      </w:r>
    </w:p>
    <w:p>
      <w:pPr>
        <w:pStyle w:val="BodyText"/>
        <w:numPr>
          <w:ilvl w:val="0"/>
          <w:numId w:val="2"/>
        </w:numPr>
        <w:rPr/>
      </w:pPr>
      <w:r>
        <w:rPr/>
        <w:t>Da mesma forma como o sugerido no item VI acima, a Assembléia Geral do MAE deverá apreciar e deliberar os ajustes no Acordo de Mercado, encaminhando o Acordo de Mercado para homologação da ANEEL (par. 1 do Art. 14 da Resolução), de acordo com o que dispõe o Par. 3 do Art 12 da Lei 9.648/98)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  <w:u w:val="single"/>
        </w:rPr>
      </w:pPr>
      <w:r>
        <w:rPr>
          <w:b/>
          <w:sz w:val="28"/>
          <w:u w:val="single"/>
        </w:rPr>
        <w:t>Resolução ANEEL 161/01</w:t>
      </w:r>
    </w:p>
    <w:p>
      <w:pPr>
        <w:pStyle w:val="BodyText"/>
        <w:rPr/>
      </w:pPr>
      <w:r>
        <w:rPr/>
        <w:t>No que se refere a definição de penalidades, o conteúdo desta resolução, em linhas gerais, é extremamente bem vindo. O envolvimento da ANEEL na penalização da inadimplência para com o Acordo do MAE é muito importante para propiciar desincentivos efetivos a este tipo de comportamento, não obstante persistirem dúvidas e/ou inconsistências quanto a suas disposições, conforme abaixo será comentado.</w:t>
      </w:r>
    </w:p>
    <w:p>
      <w:pPr>
        <w:pStyle w:val="Normal"/>
        <w:spacing w:before="0" w:after="120"/>
        <w:rPr/>
      </w:pPr>
      <w:r>
        <w:rPr/>
        <w:t>Entretanto, quanto ao esquema de garantias, consideramos que ainda não é suficiente. O esquema proposto pode ser adotado inicialmente, porém não pode ser considerado como permanente. É necessário que o MAE estabeleça a curto prazo um conjunto de regras para a constituição de garantias que dê tranqüilidade aos agentes contra a necessidade de lançar mão da cláusula de “loss sharing”. Este risco é especialmente dramático para as usinas “Merchant” e de empresas que estão sistematicamente sobrecontratadas (auxiliando na expansão do sistema), que tendem a arcar mais pesadamente com os ônus o loss sharing, razão pela qual advogamos a revisão desta cláusula do Acordo do Mercado.</w:t>
      </w:r>
    </w:p>
    <w:p>
      <w:pPr>
        <w:pStyle w:val="Normal"/>
        <w:spacing w:before="0" w:after="120"/>
        <w:rPr/>
      </w:pPr>
      <w:r>
        <w:rPr/>
        <w:t>Alguns outros pontos da Resolução carecem de revisão: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A proibição contida no Art. 3º constitui-se em uma restrição aos negócios com energia elétrica cuja razão nos escapa. Esta proibição constitui-se em uma restrição desnecessária a evolução natural dos negócios com energia elétrica no Brasil, prejudicando a plena concorrência. Além disto, a princípio, nos parece que é materia sobre a qual não cabe a ANEEL regulamentar. Suprimir.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 xml:space="preserve">Com relação ao Art. 9º, o fornecimento dos dados deve ser nos prazos estabelecidos nos Procedimentos de Mercado do MAE.  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O Art. 14. é contrário a toda a filosofia do mercado. O MAE não deve se envolver com questões desta natureza. Não se deve contaminar o MAE com questões relativas aos contratos bilaterais que extrapolem o registro dos volumes contratados entre as partes e pelos mesmos reconhecidos. Suprimir.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Não está claro quem será responsável pela aplicação das penalidades: advertência, as várias multas previstas na Resolução.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Não há previsão relativa aos procedimentos para aplicação da multa, à garantia do contraditório e da ampla defesa. Ademais, o Art. 13 parece ferir frontalmente tais princípios na medida em que autoriza a aplicação da multa independentemente do julgamento pelo COMAE e/ou pela ANEEL.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Não foram fixados critérios para aplicação da multa variável de R$ 100 mil à 10% da receita annual do agente (Par. 1 do Art. 7 da Resolução). Nào parece razoável que isso fique ao inteiro poder discricionário da ANEEL.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Ainda quanto à multa prevista no Par. 1 do Art. 7 da Resolução, parece que a mesma extrapola os limites que foram delegados à ANEEL pela Lei 9.427/96 (que autoriza aplicação de multa de 2% do faturamento).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Quem será o destinatário das multas arrecadadas? Como os agentes participantes do “loss sharing” recuperarão os ônus dispendidos com a inadimplência dos agentes faltosos?</w:t>
      </w:r>
    </w:p>
    <w:p>
      <w:pPr>
        <w:pStyle w:val="Normal"/>
        <w:numPr>
          <w:ilvl w:val="0"/>
          <w:numId w:val="4"/>
        </w:numPr>
        <w:spacing w:before="0" w:after="120"/>
        <w:rPr/>
      </w:pPr>
      <w:r>
        <w:rPr/>
        <w:t>A multa do Art. 13 ao Agente Administrador/ASMAE parece exagerada. Ademais, as penalidades previstas no Art. 7 parecem não apropriadas para sua aplicação ao Agente Administrador/ASMAE posto que não é agente de mercado;</w:t>
      </w:r>
    </w:p>
    <w:p>
      <w:pPr>
        <w:pStyle w:val="Normal"/>
        <w:numPr>
          <w:ilvl w:val="0"/>
          <w:numId w:val="4"/>
        </w:numPr>
        <w:spacing w:before="0" w:after="120"/>
        <w:rPr>
          <w:b/>
          <w:i/>
          <w:i/>
          <w:sz w:val="28"/>
        </w:rPr>
      </w:pPr>
      <w:r>
        <w:rPr/>
        <w:t>A aplicação da Resol. 318 da ANEEL parece imprópria, posto que destinada a penalizar “agentes delegados de instalações e serviços de energia” (Art. 1 da Res. 318/98)</w:t>
      </w:r>
    </w:p>
    <w:p>
      <w:pPr>
        <w:pStyle w:val="Normal"/>
        <w:spacing w:before="0" w:after="120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Heading2"/>
        <w:ind w:hanging="0" w:start="0"/>
        <w:rPr/>
      </w:pPr>
      <w:r>
        <w:rPr/>
        <w:t>Resolução ANEEL 162/01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  <w:t>A conversão da ASMAE em autorizada da ANEEL para prover a infra-estrutura necessária ao funcionamento do MAE é uma das alternativas de configuração do mercado. Nada a opor.</w:t>
      </w:r>
    </w:p>
    <w:p>
      <w:pPr>
        <w:pStyle w:val="Normal"/>
        <w:spacing w:before="0" w:after="120"/>
        <w:rPr/>
      </w:pPr>
      <w:r>
        <w:rPr/>
        <w:t>Entretanto a redação da Resolução ANEEL nº 162 vai muito além disto, atribuindo a ASMAE uma relação direta com a ANEEL em questões que não parecem apropriadas. Há que estabelecer uma hierarquia entre os órgãos de regência do MAE, que deve ser respeitada.</w:t>
      </w:r>
    </w:p>
    <w:p>
      <w:pPr>
        <w:pStyle w:val="Normal"/>
        <w:spacing w:before="0" w:after="120"/>
        <w:rPr/>
      </w:pPr>
      <w:r>
        <w:rPr/>
        <w:t>O órgão máximo do MAE é sua Assembléia Geral. O Conselho ( antes o COEX e futuramente o COMAE ) reporta-se a Assembléia Geral, enquanto a ASMAE deve se reportar ao COMAE. O COMAE deverá também assumir o papel de Conselho de Administração da ASMAE.</w:t>
      </w:r>
    </w:p>
    <w:p>
      <w:pPr>
        <w:pStyle w:val="Normal"/>
        <w:spacing w:before="0" w:after="120"/>
        <w:rPr/>
      </w:pPr>
      <w:r>
        <w:rPr/>
        <w:t>O relacionamento da ASMAE com a ANEEL deve ser limitado a prestação de informações rotineiras padronizadas e fiscalização de suas operações. Por conseguinte, a submissão de regras de mercado, procedimentos de mercado e demais documentos passíveis de homologação pela ANEEL deve ser feita por instrução da Assembléia Geral.</w:t>
      </w:r>
    </w:p>
    <w:p>
      <w:pPr>
        <w:pStyle w:val="Normal"/>
        <w:spacing w:before="0" w:after="120"/>
        <w:rPr/>
      </w:pPr>
      <w:r>
        <w:rPr/>
        <w:t xml:space="preserve">Além disto, a Resolução dá à ASMAE atribuições que, pela sua abrangência, extrapolam o papel do próprio MAE como um todo. Nos incisos II e V está configurada uma intromissão em questões contratuais que dizem respeito apenas aos contratantes, ninguém mais. </w:t>
      </w:r>
    </w:p>
    <w:p>
      <w:pPr>
        <w:pStyle w:val="Normal"/>
        <w:spacing w:before="0" w:after="120"/>
        <w:rPr/>
      </w:pPr>
      <w:r>
        <w:rPr/>
        <w:t>Tampouco deve a ASMAE se envolver com solução de disputas, por constituir inequívoco conflito de funções (inciso VII do Art 2º).</w:t>
      </w:r>
    </w:p>
    <w:p>
      <w:pPr>
        <w:pStyle w:val="Normal"/>
        <w:spacing w:before="0" w:after="120"/>
        <w:rPr/>
      </w:pPr>
      <w:r>
        <w:rPr/>
        <w:t>No Art. 3º, não há o que submeter a homologação da ANEEL, uma vêz que não cabe à ASMAE emitir atos normativos do MAE.</w:t>
      </w:r>
    </w:p>
    <w:sectPr>
      <w:type w:val="nextPage"/>
      <w:pgSz w:w="12240" w:h="15840"/>
      <w:pgMar w:left="1701" w:right="1260" w:gutter="0" w:header="0" w:top="1417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b/>
      <w:sz w:val="28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1">
    <w:name w:val="WW8Num8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08" w:end="0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qFormat/>
    <w:pPr>
      <w:ind w:hanging="0" w:start="708" w:end="0"/>
      <w:jc w:val="both"/>
    </w:pPr>
    <w:rPr>
      <w:rFonts w:ascii="Arial" w:hAnsi="Arial" w:cs="Arial"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2001-05-15T14:19:00Z</dcterms:created>
  <dc:creator>Eletropaulo Metropolitana S.A.</dc:creator>
  <dc:description/>
  <dc:language>en-CA</dc:language>
  <cp:lastModifiedBy>Fred L. Sampaio</cp:lastModifiedBy>
  <cp:lastPrinted>2001-05-15T15:26:00Z</cp:lastPrinted>
  <dcterms:modified xsi:type="dcterms:W3CDTF">2001-05-15T18:29:00Z</dcterms:modified>
  <cp:revision>12</cp:revision>
  <dc:subject/>
  <dc:title>·</dc:title>
</cp:coreProperties>
</file>