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png" ContentType="image/png"/>
  <Override PartName="/word/media/image2.wmf" ContentType="image/x-wmf"/>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cs="Times New Roman"/>
        </w:rPr>
      </w:pPr>
      <w:r>
        <w:rPr>
          <w:rFonts w:cs="Times New Roman"/>
        </w:rPr>
      </w:r>
    </w:p>
    <w:p>
      <w:pPr>
        <w:pStyle w:val="Heading1"/>
        <w:ind w:hanging="0" w:start="0"/>
        <w:rPr>
          <w:rFonts w:cs="Times New Roman"/>
        </w:rPr>
      </w:pPr>
      <w:r>
        <w:rPr>
          <w:rFonts w:cs="Times New Roman"/>
        </w:rPr>
      </w:r>
    </w:p>
    <w:p>
      <w:pPr>
        <w:pStyle w:val="Heading1"/>
        <w:ind w:hanging="0" w:start="0"/>
        <w:rPr>
          <w:rFonts w:cs="Times New Roman"/>
        </w:rPr>
      </w:pPr>
      <w:r>
        <w:rPr>
          <w:rFonts w:cs="Times New Roman"/>
        </w:rPr>
      </w:r>
    </w:p>
    <w:p>
      <w:pPr>
        <w:pStyle w:val="Heading1"/>
        <w:ind w:hanging="0" w:start="0"/>
        <w:rPr>
          <w:rFonts w:cs="Times New Roman"/>
          <w:lang w:val="en-CA" w:eastAsia="en-CA"/>
        </w:rPr>
      </w:pPr>
      <w:r>
        <w:rPr>
          <w:rFonts w:cs="Times New Roman"/>
          <w:lang w:val="en-CA" w:eastAsia="en-CA"/>
        </w:rPr>
        <w:drawing>
          <wp:anchor behindDoc="0" distT="0" distB="0" distL="114935" distR="114935" simplePos="0" locked="0" layoutInCell="0" allowOverlap="1" relativeHeight="31">
            <wp:simplePos x="0" y="0"/>
            <wp:positionH relativeFrom="column">
              <wp:posOffset>457200</wp:posOffset>
            </wp:positionH>
            <wp:positionV relativeFrom="paragraph">
              <wp:posOffset>167640</wp:posOffset>
            </wp:positionV>
            <wp:extent cx="4800600" cy="170815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9" t="-25" r="-9" b="-25"/>
                    <a:stretch>
                      <a:fillRect/>
                    </a:stretch>
                  </pic:blipFill>
                  <pic:spPr bwMode="auto">
                    <a:xfrm>
                      <a:off x="0" y="0"/>
                      <a:ext cx="4800600" cy="1708150"/>
                    </a:xfrm>
                    <a:prstGeom prst="rect">
                      <a:avLst/>
                    </a:prstGeom>
                    <a:noFill/>
                  </pic:spPr>
                </pic:pic>
              </a:graphicData>
            </a:graphic>
          </wp:anchor>
        </w:drawing>
      </w:r>
    </w:p>
    <w:p>
      <w:pPr>
        <w:pStyle w:val="Heading1"/>
        <w:ind w:hanging="0" w:start="0"/>
        <w:rPr>
          <w:rFonts w:cs="Times New Roman"/>
        </w:rPr>
      </w:pPr>
      <w:r>
        <w:rPr>
          <w:rFonts w:cs="Times New Roman"/>
        </w:rPr>
      </w:r>
    </w:p>
    <w:p>
      <w:pPr>
        <w:pStyle w:val="Normal"/>
        <w:jc w:val="center"/>
        <w:rPr>
          <w:rFonts w:cs="Times New Roman"/>
        </w:rPr>
      </w:pPr>
      <w:r>
        <w:rPr>
          <w:rFonts w:cs="Times New Roman"/>
        </w:rPr>
      </w:r>
    </w:p>
    <w:p>
      <w:pPr>
        <w:pStyle w:val="Normal"/>
        <w:jc w:val="center"/>
        <w:rPr>
          <w:b/>
          <w:sz w:val="36"/>
        </w:rPr>
      </w:pPr>
      <w:r>
        <w:rPr>
          <w:b/>
          <w:sz w:val="36"/>
        </w:rPr>
        <w:t xml:space="preserve">Energy Derivatives Term Paper </w:t>
      </w:r>
    </w:p>
    <w:p>
      <w:pPr>
        <w:pStyle w:val="Normal"/>
        <w:jc w:val="center"/>
        <w:rPr>
          <w:b/>
          <w:sz w:val="36"/>
        </w:rPr>
      </w:pPr>
      <w:r>
        <w:rPr>
          <w:b/>
          <w:sz w:val="36"/>
        </w:rPr>
        <w:t>MGMT 656</w:t>
      </w:r>
    </w:p>
    <w:p>
      <w:pPr>
        <w:pStyle w:val="Normal"/>
        <w:jc w:val="center"/>
        <w:rPr>
          <w:b/>
          <w:sz w:val="36"/>
        </w:rPr>
      </w:pPr>
      <w:r>
        <w:rPr>
          <w:b/>
          <w:sz w:val="36"/>
        </w:rPr>
        <w:t>Spring 2001</w:t>
      </w:r>
    </w:p>
    <w:p>
      <w:pPr>
        <w:pStyle w:val="Normal"/>
        <w:jc w:val="center"/>
        <w:rPr>
          <w:b/>
          <w:sz w:val="36"/>
        </w:rPr>
      </w:pPr>
      <w:r>
        <w:rPr>
          <w:b/>
          <w:sz w:val="36"/>
        </w:rPr>
      </w:r>
    </w:p>
    <w:p>
      <w:pPr>
        <w:pStyle w:val="Normal"/>
        <w:jc w:val="center"/>
        <w:rPr/>
      </w:pPr>
      <w:r>
        <w:rPr/>
      </w:r>
    </w:p>
    <w:p>
      <w:pPr>
        <w:pStyle w:val="Normal"/>
        <w:jc w:val="center"/>
        <w:rPr/>
      </w:pPr>
      <w:r>
        <w:rPr/>
      </w:r>
    </w:p>
    <w:p>
      <w:pPr>
        <w:pStyle w:val="Normal"/>
        <w:jc w:val="center"/>
        <w:rPr>
          <w:b/>
          <w:sz w:val="44"/>
        </w:rPr>
      </w:pPr>
      <w:r>
        <w:rPr>
          <w:b/>
          <w:sz w:val="44"/>
        </w:rPr>
      </w:r>
    </w:p>
    <w:p>
      <w:pPr>
        <w:pStyle w:val="Heading3"/>
        <w:rPr>
          <w:rFonts w:ascii="Times New Roman" w:hAnsi="Times New Roman" w:cs="Times New Roman"/>
          <w:b w:val="false"/>
          <w:sz w:val="44"/>
        </w:rPr>
      </w:pPr>
      <w:r>
        <w:rPr>
          <w:rFonts w:cs="Times New Roman" w:ascii="Times New Roman" w:hAnsi="Times New Roman"/>
          <w:b w:val="false"/>
          <w:sz w:val="44"/>
        </w:rPr>
      </w:r>
    </w:p>
    <w:p>
      <w:pPr>
        <w:pStyle w:val="Normal"/>
        <w:rPr>
          <w:rFonts w:ascii="Times New Roman" w:hAnsi="Times New Roman" w:cs="Times New Roman"/>
        </w:rPr>
      </w:pPr>
      <w:r>
        <w:rPr>
          <w:rFonts w:cs="Times New Roman"/>
        </w:rPr>
      </w:r>
    </w:p>
    <w:p>
      <w:pPr>
        <w:pStyle w:val="Heading6"/>
        <w:ind w:hanging="0" w:start="0"/>
        <w:rPr>
          <w:rFonts w:ascii="Times New Roman" w:hAnsi="Times New Roman" w:cs="Times New Roman"/>
        </w:rPr>
      </w:pPr>
      <w:r>
        <w:rPr>
          <w:rFonts w:cs="Times New Roman" w:ascii="Times New Roman" w:hAnsi="Times New Roman"/>
        </w:rPr>
        <w:t>Elena Chilkina</w:t>
      </w:r>
    </w:p>
    <w:p>
      <w:pPr>
        <w:pStyle w:val="Normal"/>
        <w:jc w:val="center"/>
        <w:rPr>
          <w:sz w:val="32"/>
        </w:rPr>
      </w:pPr>
      <w:r>
        <w:rPr>
          <w:sz w:val="32"/>
        </w:rPr>
        <w:t>Robert J. Guadette</w:t>
      </w:r>
    </w:p>
    <w:p>
      <w:pPr>
        <w:pStyle w:val="Normal"/>
        <w:jc w:val="center"/>
        <w:rPr>
          <w:sz w:val="32"/>
        </w:rPr>
      </w:pPr>
      <w:r>
        <w:rPr>
          <w:sz w:val="32"/>
        </w:rPr>
        <w:t>Joseph Helms</w:t>
      </w:r>
    </w:p>
    <w:p>
      <w:pPr>
        <w:pStyle w:val="Normal"/>
        <w:jc w:val="center"/>
        <w:rPr>
          <w:sz w:val="32"/>
        </w:rPr>
      </w:pPr>
      <w:r>
        <w:rPr>
          <w:sz w:val="32"/>
        </w:rPr>
        <w:t>Kenneth Jett</w:t>
      </w:r>
    </w:p>
    <w:p>
      <w:pPr>
        <w:pStyle w:val="Normal"/>
        <w:jc w:val="center"/>
        <w:rPr>
          <w:sz w:val="32"/>
        </w:rPr>
      </w:pPr>
      <w:r>
        <w:rPr>
          <w:sz w:val="32"/>
        </w:rPr>
        <w:t>Todd Litton</w:t>
      </w:r>
    </w:p>
    <w:p>
      <w:pPr>
        <w:pStyle w:val="Heading5"/>
        <w:ind w:start="0" w:end="0"/>
        <w:rPr/>
      </w:pPr>
      <w:r>
        <w:rPr/>
        <w:t>Mark Westmoreland</w:t>
      </w:r>
    </w:p>
    <w:p>
      <w:pPr>
        <w:pStyle w:val="Normal"/>
        <w:jc w:val="center"/>
        <w:rPr>
          <w:sz w:val="32"/>
        </w:rPr>
      </w:pPr>
      <w:r>
        <w:rPr>
          <w:sz w:val="32"/>
        </w:rPr>
      </w:r>
    </w:p>
    <w:p>
      <w:pPr>
        <w:pStyle w:val="Normal"/>
        <w:rPr>
          <w:sz w:val="32"/>
        </w:rPr>
      </w:pPr>
      <w:r>
        <w:rPr>
          <w:sz w:val="32"/>
        </w:rPr>
      </w:r>
    </w:p>
    <w:p>
      <w:pPr>
        <w:pStyle w:val="Normal"/>
        <w:rPr/>
      </w:pPr>
      <w:r>
        <w:rPr/>
      </w:r>
    </w:p>
    <w:p>
      <w:pPr>
        <w:pStyle w:val="Heading1"/>
        <w:ind w:hanging="0" w:start="0"/>
        <w:jc w:val="center"/>
        <w:rPr>
          <w:rFonts w:cs="Times New Roman"/>
          <w:sz w:val="28"/>
        </w:rPr>
      </w:pPr>
      <w:r>
        <w:rPr>
          <w:rFonts w:cs="Times New Roman"/>
          <w:sz w:val="28"/>
        </w:rPr>
        <w:t>Introduction</w:t>
      </w:r>
    </w:p>
    <w:p>
      <w:pPr>
        <w:pStyle w:val="Normal"/>
        <w:rPr>
          <w:rFonts w:cs="Times New Roman"/>
          <w:b/>
          <w:sz w:val="28"/>
        </w:rPr>
      </w:pPr>
      <w:r>
        <w:rPr>
          <w:rFonts w:cs="Times New Roman"/>
          <w:b/>
          <w:sz w:val="28"/>
        </w:rPr>
      </w:r>
    </w:p>
    <w:p>
      <w:pPr>
        <w:pStyle w:val="BodyText"/>
        <w:rPr>
          <w:sz w:val="24"/>
        </w:rPr>
      </w:pPr>
      <w:r>
        <w:rPr>
          <w:sz w:val="24"/>
        </w:rPr>
        <w:t xml:space="preserve">The combination of energy deregulation and the demands of the new economy have created tremendous opportunities as well as challenges for the public sector, private sector and the retail consumer alike.  Electricity historically has been the model for industry regulation since it’s inception.  The idea was that regulation would restrain any monopolistic behavior.  Alternatively, unregulated competition would be unsustainable, since competitors could exploit scale economies by merging into larger firms.  Competition on the other hand would lead to a needless duplication of facilities. </w:t>
      </w:r>
    </w:p>
    <w:p>
      <w:pPr>
        <w:pStyle w:val="BodyText"/>
        <w:rPr>
          <w:sz w:val="24"/>
        </w:rPr>
      </w:pPr>
      <w:r>
        <w:rPr>
          <w:sz w:val="24"/>
        </w:rPr>
      </w:r>
    </w:p>
    <w:p>
      <w:pPr>
        <w:pStyle w:val="BodyText"/>
        <w:rPr>
          <w:sz w:val="24"/>
        </w:rPr>
      </w:pPr>
      <w:r>
        <w:rPr>
          <w:sz w:val="24"/>
        </w:rPr>
        <w:t>Over time private sector leaders and scholars became critical of regulation.  Industries such as trucking, airline and even railroad flourished as a result of deregulatory efforts.  Although market components of the electricity markets differed greatly from the prior examples given, advances in technology coupled with changes in law and energy markets increased the desire for deregulation of electricity markets</w:t>
      </w:r>
    </w:p>
    <w:p>
      <w:pPr>
        <w:pStyle w:val="BodyText"/>
        <w:rPr>
          <w:sz w:val="24"/>
        </w:rPr>
      </w:pPr>
      <w:r>
        <w:rPr>
          <w:sz w:val="24"/>
        </w:rPr>
      </w:r>
    </w:p>
    <w:p>
      <w:pPr>
        <w:pStyle w:val="Normal"/>
        <w:rPr/>
      </w:pPr>
      <w:r>
        <w:rPr>
          <w:b/>
        </w:rPr>
        <w:t xml:space="preserve"> </w:t>
      </w:r>
      <w:r>
        <w:rPr/>
        <w:t xml:space="preserve">The objective of this paper is to offer an overview of seven partially as well as fully deregulated electricity markets around the world.  The seven markets that will be discussed are England &amp; Wales, Australia, New Zealand, Norway, New England, PJM, and California. Contained in each overview, you will find a background summary of the power market and a review of any significant events that led to a path towards deregulation.  In addition, a description of the current market structure coupled with a brief conclusion will be included in each overview. </w:t>
      </w:r>
    </w:p>
    <w:p>
      <w:pPr>
        <w:pStyle w:val="Normal"/>
        <w:jc w:val="center"/>
        <w:rPr>
          <w:b/>
        </w:rPr>
      </w:pPr>
      <w:r>
        <w:rPr>
          <w:b/>
        </w:rPr>
      </w:r>
    </w:p>
    <w:p>
      <w:pPr>
        <w:pStyle w:val="Normal"/>
        <w:jc w:val="center"/>
        <w:rPr>
          <w:b/>
        </w:rPr>
      </w:pPr>
      <w:r>
        <w:rPr>
          <w:b/>
        </w:rPr>
      </w:r>
    </w:p>
    <w:p>
      <w:pPr>
        <w:pStyle w:val="Normal"/>
        <w:jc w:val="center"/>
        <w:rPr>
          <w:b/>
          <w:sz w:val="28"/>
        </w:rPr>
      </w:pPr>
      <w:r>
        <w:rPr>
          <w:b/>
          <w:sz w:val="28"/>
        </w:rPr>
        <w:t>England and Wales Power Market</w:t>
      </w:r>
    </w:p>
    <w:p>
      <w:pPr>
        <w:pStyle w:val="Normal"/>
        <w:rPr>
          <w:b/>
          <w:i/>
          <w:i/>
          <w:sz w:val="28"/>
        </w:rPr>
      </w:pPr>
      <w:r>
        <w:rPr>
          <w:b/>
          <w:i/>
          <w:sz w:val="28"/>
        </w:rPr>
      </w:r>
    </w:p>
    <w:p>
      <w:pPr>
        <w:pStyle w:val="Heading4"/>
        <w:ind w:hanging="0" w:start="0"/>
        <w:rPr/>
      </w:pPr>
      <w:r>
        <w:rPr/>
        <w:t>Background</w:t>
      </w:r>
    </w:p>
    <w:p>
      <w:pPr>
        <w:pStyle w:val="Normal"/>
        <w:rPr>
          <w:i/>
          <w:i/>
        </w:rPr>
      </w:pPr>
      <w:r>
        <w:rPr>
          <w:i/>
        </w:rPr>
      </w:r>
    </w:p>
    <w:p>
      <w:pPr>
        <w:pStyle w:val="Normal"/>
        <w:rPr/>
      </w:pPr>
      <w:r>
        <w:rPr/>
        <w:t>The power pool of England and Wales (E&amp;W) was founded after the United Kingdom adopted laws that required all wholesale purchases of electricity after April 1, 1990 to be made through a spot market which sets day-ahead prices for all half-hour prices for the following day.  England created the power pool by privatizing the various components of the regulated electric industry.  The generators, transmission, distribution, and retail sales were removed from government control and privatized into profit seeking corporations or entities.  The E&amp;W pool was the leader in electricity deregulation and has served as a model for other countries around the world to imitate and complete deregulation in areas like Norway, Victoria Queensland, New Zealand, and now New England, Pennsylvania-Jersey- Maryland, and California.  While the transition to deregulation has not been flawless, the E&amp;W power pool privatization has been a testimony to the capabilities of deregulating the power industry.  The E&amp;W power pool has been the focus of various studies, both academic and commercial, and has provided a test case for deregulation into the future.</w:t>
      </w:r>
      <w:r>
        <w:rPr>
          <w:rStyle w:val="FootnoteCharacters"/>
          <w:rStyle w:val="FootnoteReference"/>
        </w:rPr>
        <w:footnoteReference w:id="2"/>
      </w:r>
    </w:p>
    <w:p>
      <w:pPr>
        <w:pStyle w:val="Normal"/>
        <w:rPr/>
      </w:pPr>
      <w:r>
        <w:rPr/>
      </w:r>
    </w:p>
    <w:p>
      <w:pPr>
        <w:pStyle w:val="Normal"/>
        <w:rPr/>
      </w:pPr>
      <w:r>
        <w:rPr/>
        <w:t>Originally, the pool was formed by the privatization of the Central Electricity Generating Board and the privatization of the 12 area boards, the local electricity distribution companies.  Two companies, National Power and PowerGen, took over all fossil fuel power generation.  The nuclear generation, while originally planned to be privatized, was absorbed into a state-owned entity Nuclear Electric.  The national transmission grid became the National Grid Company, originally a joint venture between the 12 regional electric supply companies.  The National Grid Company provides several services to the pool by coordinating transmission and dispatch of electricity generators in addition to operating the electricity spot market.</w:t>
      </w:r>
      <w:r>
        <w:rPr>
          <w:rStyle w:val="FootnoteCharacters"/>
          <w:rStyle w:val="FootnoteReference"/>
        </w:rPr>
        <w:footnoteReference w:id="3"/>
      </w:r>
    </w:p>
    <w:p>
      <w:pPr>
        <w:pStyle w:val="Normal"/>
        <w:ind w:firstLine="720" w:end="0"/>
        <w:rPr>
          <w:b/>
          <w:i/>
          <w:i/>
        </w:rPr>
      </w:pPr>
      <w:r>
        <w:rPr>
          <w:b/>
          <w:i/>
        </w:rPr>
      </w:r>
    </w:p>
    <w:p>
      <w:pPr>
        <w:pStyle w:val="Heading4"/>
        <w:ind w:hanging="0" w:start="0"/>
        <w:rPr/>
      </w:pPr>
      <w:r>
        <w:rPr/>
        <w:t>Structure</w:t>
        <w:tab/>
      </w:r>
    </w:p>
    <w:p>
      <w:pPr>
        <w:pStyle w:val="Normal"/>
        <w:rPr>
          <w:b/>
        </w:rPr>
      </w:pPr>
      <w:r>
        <w:rPr>
          <w:b/>
        </w:rPr>
      </w:r>
    </w:p>
    <w:p>
      <w:pPr>
        <w:pStyle w:val="Normal"/>
        <w:rPr/>
      </w:pPr>
      <w:r>
        <w:rPr/>
        <w:t>In addition to Nuclear Electric and the the two major fossil fuel producers, the E&amp;W power pool has several other sources of electricity capable of feeding the grid.  Scottish non-nuclear companies (Hydroelectric and Scottish Power), Electricity de France, and a number of independent power producers also sell electricity to the pool.  While transmission capacity limits the amount of power available from Scotland and France, the power producers of each country can provide 1.6 GW and 2.0 GW of power to the pool respectively.  The maximum generation capacity available to the E&amp;W power pool is approximately 59GW while the peak system demand is around 49 GW.</w:t>
      </w:r>
      <w:r>
        <w:rPr>
          <w:rStyle w:val="FootnoteCharacters"/>
          <w:rStyle w:val="FootnoteReference"/>
        </w:rPr>
        <w:footnoteReference w:id="4"/>
      </w:r>
    </w:p>
    <w:p>
      <w:pPr>
        <w:pStyle w:val="Normal"/>
        <w:rPr/>
      </w:pPr>
      <w:r>
        <w:rPr/>
        <w:tab/>
      </w:r>
    </w:p>
    <w:p>
      <w:pPr>
        <w:pStyle w:val="Normal"/>
        <w:rPr/>
      </w:pPr>
      <w:r>
        <w:rPr/>
        <w:t>The creation of the E&amp;W power pool has led to the creation of four distinct sub-industries: generation, transmission, distribution, and retail sales.  Generation is composed of the various entities producing power who then sell power into the pool in half hourly portions.   The transmission and distribution networks of the industry are thought to be natural monopolies and thus remain regulated by a price cap mechanism.  In the E&amp;W power pool, retail sales were divided into franchise and non-franchise customers based on peak demand limits.  As of 1998, all customers have the ability to become non-franchise customers and pay variable electricity rates.</w:t>
      </w:r>
      <w:r>
        <w:rPr>
          <w:rStyle w:val="FootnoteCharacters"/>
          <w:rStyle w:val="FootnoteReference"/>
        </w:rPr>
        <w:footnoteReference w:id="5"/>
      </w:r>
    </w:p>
    <w:p>
      <w:pPr>
        <w:pStyle w:val="Normal"/>
        <w:rPr/>
      </w:pPr>
      <w:r>
        <w:rPr/>
      </w:r>
    </w:p>
    <w:p>
      <w:pPr>
        <w:pStyle w:val="Normal"/>
        <w:rPr/>
      </w:pPr>
      <w:r>
        <w:rPr/>
        <w:t xml:space="preserve">The major players in the E&amp;W power pool are the two primary electricity generators, National Power and PowerGen.  The combined capacity of these two companies was around 55% of all the electricity sold up to 1995, however the dominance of these two generators has declined from 46% for National Power and 28% for PowerGen in 1990, to 31.38% and 23.1% in 1995, respectively.  The decline continues to the present.  </w:t>
      </w:r>
      <w:r>
        <w:rPr>
          <w:rStyle w:val="FootnoteCharacters"/>
          <w:rStyle w:val="FootnoteReference"/>
        </w:rPr>
        <w:footnoteReference w:id="6"/>
      </w:r>
    </w:p>
    <w:p>
      <w:pPr>
        <w:pStyle w:val="Normal"/>
        <w:rPr/>
      </w:pPr>
      <w:r>
        <w:rPr/>
      </w:r>
    </w:p>
    <w:p>
      <w:pPr>
        <w:pStyle w:val="Normal"/>
        <w:rPr/>
      </w:pPr>
      <w:r>
        <w:rPr/>
        <w:t xml:space="preserve">Both generators produce power from various sources with a mix of 75% coal, 15% oil, 9% natural gas, and 1% hydro for National Power, and 70% coal, 16% oil, 13% natural gas, and 1% hydro for PowerGen.  Fossil fuels dominate the generation for the two companies as well as the entire power pool.   </w:t>
      </w:r>
    </w:p>
    <w:p>
      <w:pPr>
        <w:pStyle w:val="Normal"/>
        <w:rPr/>
      </w:pPr>
      <w:r>
        <w:rPr/>
      </w:r>
    </w:p>
    <w:p>
      <w:pPr>
        <w:pStyle w:val="Normal"/>
        <w:rPr/>
      </w:pPr>
      <w:r>
        <w:rPr/>
        <w:t>While the market share of the two major players has been declining, the power pool dependence on fossil fuel generation has not.  The new independent power producers that are gaining market share are using natural gas as the primary fuel source and thus maintaining a high level of fossil fuel dependence for the E&amp;W power pool.</w:t>
      </w:r>
      <w:r>
        <w:rPr>
          <w:rStyle w:val="FootnoteCharacters"/>
          <w:rStyle w:val="FootnoteReference"/>
        </w:rPr>
        <w:footnoteReference w:id="7"/>
      </w:r>
    </w:p>
    <w:p>
      <w:pPr>
        <w:pStyle w:val="Normal"/>
        <w:rPr/>
      </w:pPr>
      <w:r>
        <w:rPr/>
      </w:r>
    </w:p>
    <w:p>
      <w:pPr>
        <w:pStyle w:val="Normal"/>
        <w:rPr/>
      </w:pPr>
      <w:r>
        <w:rPr/>
        <w:t>The E&amp;W power pool uses a program called GOAL (General Ordering and Loading) to determine the order the generators are dispatched and to decide the market clearing price for a given half-hour period of a day.  The National Grid Company oversees the GOAL operation and accepts bids from the various generators for the cost and quantity of generation that a company is willing sell to the pool.  The GOAL program accepts bids and develops a supply curve for the given half hour.  The point where the supply crosses demand sets the market price.  After the market price is determined, all generators who contributed to the supply curve below the market-clearing price receive the market- clearing price for the generation that they offered originally.  This system is designed to insure that the most economical and efficient generation makes up the majority of the power consumed.  It also entices generators to keep prices low to prevent them from being priced out of the market.</w:t>
      </w:r>
    </w:p>
    <w:p>
      <w:pPr>
        <w:pStyle w:val="Normal"/>
        <w:rPr/>
      </w:pPr>
      <w:r>
        <w:rPr/>
      </w:r>
    </w:p>
    <w:p>
      <w:pPr>
        <w:pStyle w:val="Normal"/>
        <w:rPr/>
      </w:pPr>
      <w:r>
        <w:rPr>
          <w:b/>
          <w:i/>
        </w:rPr>
        <w:t xml:space="preserve"> </w:t>
      </w:r>
      <w:r>
        <w:rPr/>
        <w:t>The Office of Electricity Regulation (OFFER) regulates the E&amp;W Power pool.  The primary function of this regulating body is to insure the integrity of the power grid and to protect the consumer from market power of one of the generators.  In several instances OFFER has stepped into the market place to punish National Power and PowerGen for exerting market power and colluding to artificially inflate prices to the consumer.  The Office of Electricity Regulation has worked in concert with the monopoly regulators to prevent generators from over exercising their power and have fined various power producers during the last ten years of deregulation.</w:t>
      </w:r>
    </w:p>
    <w:p>
      <w:pPr>
        <w:pStyle w:val="Normal"/>
        <w:rPr/>
      </w:pPr>
      <w:r>
        <w:rPr/>
      </w:r>
    </w:p>
    <w:p>
      <w:pPr>
        <w:pStyle w:val="Heading4"/>
        <w:ind w:hanging="0" w:start="0"/>
        <w:rPr/>
      </w:pPr>
      <w:r>
        <w:rPr/>
        <w:t>Conclusion</w:t>
      </w:r>
    </w:p>
    <w:p>
      <w:pPr>
        <w:pStyle w:val="Normal"/>
        <w:rPr>
          <w:b/>
          <w:i/>
          <w:i/>
        </w:rPr>
      </w:pPr>
      <w:r>
        <w:rPr>
          <w:b/>
          <w:i/>
        </w:rPr>
      </w:r>
    </w:p>
    <w:p>
      <w:pPr>
        <w:pStyle w:val="Normal"/>
        <w:rPr/>
      </w:pPr>
      <w:r>
        <w:rPr/>
        <w:t>Since the initial deregulation, the E&amp;W power pool has undergone several restructurings where the rules and regulations that govern the process of buying and selling power have been changed.  Change continues today with debates over several issues continuing at the time of this writing.  One such debate is over the method of establishing the market-clearing price.  There has been a proposal to remove the present method of setting the price and replacing it with a method that pays each generator the price bid to the pool.  Some argue that this would improve the bidding process and lead to lower overall electricity prices.  Detractors argue that this methodology would lead to generators attempting to guess the market price and then pricing even the lowest cost generation at this price.  These detractors argue that this price guessing will often lead to less economical generation being dispatched due to “poor guessing” by economical generators.</w:t>
      </w:r>
    </w:p>
    <w:p>
      <w:pPr>
        <w:pStyle w:val="Normal"/>
        <w:rPr/>
      </w:pPr>
      <w:r>
        <w:rPr/>
      </w:r>
    </w:p>
    <w:p>
      <w:pPr>
        <w:pStyle w:val="Normal"/>
        <w:rPr/>
      </w:pPr>
      <w:r>
        <w:rPr/>
        <w:t xml:space="preserve">The E&amp;W power pool could provide an interesting insight into the dynamics of a deregulated power market.  One must understand that while the E&amp;W market will provide insight for some markets, the overcapacity in the E&amp;W power pool will not provide an insight into a California-type market where demand far outstrips supply.  </w:t>
      </w:r>
    </w:p>
    <w:p>
      <w:pPr>
        <w:pStyle w:val="Normal"/>
        <w:rPr/>
      </w:pPr>
      <w:r>
        <w:rPr/>
      </w:r>
    </w:p>
    <w:p>
      <w:pPr>
        <w:pStyle w:val="NormalWeb"/>
        <w:spacing w:before="0" w:after="0"/>
        <w:ind w:end="-36"/>
        <w:rPr>
          <w:rFonts w:ascii="Times New Roman" w:hAnsi="Times New Roman" w:cs="Times New Roman"/>
          <w:b/>
          <w:color w:val="000000"/>
        </w:rPr>
      </w:pPr>
      <w:r>
        <w:rPr>
          <w:rFonts w:cs="Times New Roman" w:ascii="Times New Roman" w:hAnsi="Times New Roman"/>
          <w:b/>
          <w:color w:val="000000"/>
        </w:rPr>
      </w:r>
    </w:p>
    <w:p>
      <w:pPr>
        <w:pStyle w:val="NormalWeb"/>
        <w:spacing w:before="0" w:after="0"/>
        <w:ind w:end="-36"/>
        <w:jc w:val="center"/>
        <w:rPr>
          <w:rFonts w:ascii="Times New Roman" w:hAnsi="Times New Roman" w:cs="Times New Roman"/>
          <w:b/>
          <w:color w:val="000000"/>
          <w:sz w:val="28"/>
        </w:rPr>
      </w:pPr>
      <w:r>
        <w:rPr>
          <w:rFonts w:cs="Times New Roman" w:ascii="Times New Roman" w:hAnsi="Times New Roman"/>
          <w:b/>
          <w:color w:val="000000"/>
          <w:sz w:val="28"/>
        </w:rPr>
        <w:t>Australia Electricity Market</w:t>
      </w:r>
    </w:p>
    <w:p>
      <w:pPr>
        <w:pStyle w:val="NormalWeb"/>
        <w:spacing w:before="0" w:after="0"/>
        <w:ind w:end="-36"/>
        <w:rPr>
          <w:rFonts w:ascii="Times New Roman" w:hAnsi="Times New Roman" w:cs="Times New Roman"/>
          <w:b/>
          <w:color w:val="000000"/>
          <w:sz w:val="28"/>
        </w:rPr>
      </w:pPr>
      <w:r>
        <w:rPr>
          <w:rFonts w:cs="Times New Roman" w:ascii="Times New Roman" w:hAnsi="Times New Roman"/>
          <w:b/>
          <w:color w:val="000000"/>
          <w:sz w:val="28"/>
        </w:rPr>
      </w:r>
    </w:p>
    <w:p>
      <w:pPr>
        <w:pStyle w:val="NormalWeb"/>
        <w:spacing w:before="0" w:after="0"/>
        <w:ind w:end="-36"/>
        <w:rPr>
          <w:rFonts w:ascii="Times New Roman" w:hAnsi="Times New Roman" w:cs="Times New Roman"/>
          <w:b/>
          <w:color w:val="000000"/>
        </w:rPr>
      </w:pPr>
      <w:r>
        <w:rPr>
          <w:rFonts w:cs="Times New Roman" w:ascii="Times New Roman" w:hAnsi="Times New Roman"/>
          <w:b/>
          <w:color w:val="000000"/>
        </w:rPr>
        <w:t>Background</w:t>
      </w:r>
    </w:p>
    <w:p>
      <w:pPr>
        <w:pStyle w:val="NormalWeb"/>
        <w:spacing w:before="0" w:after="0"/>
        <w:ind w:end="-36"/>
        <w:rPr>
          <w:rFonts w:ascii="Times New Roman" w:hAnsi="Times New Roman" w:cs="Times New Roman"/>
          <w:b/>
          <w:color w:val="000000"/>
        </w:rPr>
      </w:pPr>
      <w:r>
        <w:rPr>
          <w:rFonts w:cs="Times New Roman" w:ascii="Times New Roman" w:hAnsi="Times New Roman"/>
          <w:b/>
          <w:color w:val="000000"/>
        </w:rPr>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t xml:space="preserve">The commencement of the National Electricity Market (NEM) in 1998 was a major achievement in Australia's ongoing micro-economic reform agenda.  The NEM introduced competition in the wholesale supply and purchase of electricity combined with an open access regime for the use of electricity networks across the Australian Capital Territory. </w:t>
      </w:r>
    </w:p>
    <w:p>
      <w:pPr>
        <w:pStyle w:val="Normal"/>
        <w:autoSpaceDE w:val="false"/>
        <w:ind w:end="-36"/>
        <w:rPr>
          <w:rFonts w:ascii="Times New Roman" w:hAnsi="Times New Roman" w:cs="Times New Roman"/>
          <w:color w:val="000000"/>
        </w:rPr>
      </w:pPr>
      <w:r>
        <w:rPr>
          <w:rFonts w:cs="Times New Roman"/>
          <w:color w:val="000000"/>
        </w:rPr>
      </w:r>
    </w:p>
    <w:p>
      <w:pPr>
        <w:pStyle w:val="Normal"/>
        <w:autoSpaceDE w:val="false"/>
        <w:ind w:end="-36"/>
        <w:rPr/>
      </w:pPr>
      <w:r>
        <w:rPr/>
        <w:t>Deregulation has resulted in benefits for consumers and the wider economy.  Competition in power generation and in the purchasing of power for sale to business customers has resulted in lower wholesale prices.  These benefits have been passed on to consumers, particularly as they have been able to proactively select their electricity supplier.  In addition, electricity reform on a national scale has led to the establishment of the National Electricity Market, a nation-wide market for trading electricity between generators and wholesale customers.</w:t>
      </w:r>
    </w:p>
    <w:p>
      <w:pPr>
        <w:pStyle w:val="Normal"/>
        <w:autoSpaceDE w:val="false"/>
        <w:ind w:end="-36"/>
        <w:rPr/>
      </w:pPr>
      <w:r>
        <w:rPr/>
      </w:r>
    </w:p>
    <w:p>
      <w:pPr>
        <w:pStyle w:val="Normal"/>
        <w:autoSpaceDE w:val="false"/>
        <w:ind w:end="-36"/>
        <w:rPr/>
      </w:pPr>
      <w:r>
        <w:rPr/>
        <w:t xml:space="preserve">New South Wales (NSW) has reformed its electricity supply industry by introducing competition in power generation and in the purchasing of power for resale to business customers.  This process began in December of 1995 with the proclamation of the Electricity Supply Act.  Competition in the retail electricity market began on 1 October 1996.  Harmonization of the NSW and Victorian electricity markets occurred in May 1997, and the National Electricity Market commenced operations in December 1998. </w:t>
      </w:r>
    </w:p>
    <w:p>
      <w:pPr>
        <w:pStyle w:val="Normal"/>
        <w:autoSpaceDE w:val="false"/>
        <w:ind w:end="-36"/>
        <w:rPr/>
      </w:pPr>
      <w:r>
        <w:rPr/>
      </w:r>
    </w:p>
    <w:p>
      <w:pPr>
        <w:pStyle w:val="Normal"/>
        <w:autoSpaceDE w:val="false"/>
        <w:ind w:end="-36"/>
        <w:rPr/>
      </w:pPr>
      <w:r>
        <w:rPr/>
        <w:t xml:space="preserve">The introduction of competition in the retail electricity market will eventually allow all consumers to choose their own retailer.  Customer choice of electricity supplier is known as “contestability.”  Each participating jurisdiction has defined a timetable for when a franchise customer, based on their level of electricity consumption or demand, will be eligible to have their choice of supplier.  The key customer choice is to decide whether to purchase electricity directly from the wholesale market or from retailers in the retail market. </w:t>
      </w:r>
    </w:p>
    <w:p>
      <w:pPr>
        <w:pStyle w:val="Normal"/>
        <w:autoSpaceDE w:val="false"/>
        <w:ind w:end="-36"/>
        <w:rPr/>
      </w:pPr>
      <w:r>
        <w:rPr/>
      </w:r>
    </w:p>
    <w:p>
      <w:pPr>
        <w:pStyle w:val="Normal"/>
        <w:autoSpaceDE w:val="false"/>
        <w:ind w:end="-36"/>
        <w:rPr/>
      </w:pPr>
      <w:r>
        <w:rPr/>
        <w:t xml:space="preserve">The contestable market began with the largest users of electricity and through a staged entry timetable will include all consumers by 1 January 2002.  Contestable (or non-franchise) customers are eligible to choose their retailer or to enter the wholesale market directly.  From 1 January 2001, customers using more than 100 MW hours per year at a site are contestable. </w:t>
      </w:r>
    </w:p>
    <w:p>
      <w:pPr>
        <w:pStyle w:val="Normal"/>
        <w:autoSpaceDE w:val="false"/>
        <w:ind w:end="-36"/>
        <w:rPr/>
      </w:pPr>
      <w:r>
        <w:rPr/>
      </w:r>
    </w:p>
    <w:p>
      <w:pPr>
        <w:pStyle w:val="BodyText"/>
        <w:tabs>
          <w:tab w:val="clear" w:pos="720"/>
          <w:tab w:val="left" w:pos="1080" w:leader="none"/>
        </w:tabs>
        <w:ind w:end="-36"/>
        <w:rPr>
          <w:sz w:val="24"/>
        </w:rPr>
      </w:pPr>
      <w:r>
        <w:rPr>
          <w:sz w:val="24"/>
        </w:rPr>
        <w:t xml:space="preserve">The National Electricity Market Management Company (NEMMCO) is the system operator of the NEM and is also responsible for system security.  The National Electricity Code Administrator (NECA) administers and enforces the National Electricity Code.  Monopoly aspects of the market, such as transmission and distribution pricing, are regulated by IPART and the ACCC (Australian Competition and Consumer Commission).  IPART determines maximum prices to franchise customers (those who are not yet eligible to choose their retailer).  Reduced prices reflect the changes to the regulatory regime and operating efficiencies as well as cost savings resulting from the introduction of competition among both generators and electricity retailers. </w:t>
      </w:r>
    </w:p>
    <w:p>
      <w:pPr>
        <w:pStyle w:val="BodyText"/>
        <w:tabs>
          <w:tab w:val="clear" w:pos="720"/>
          <w:tab w:val="left" w:pos="1080" w:leader="none"/>
        </w:tabs>
        <w:ind w:end="-36"/>
        <w:rPr>
          <w:sz w:val="24"/>
        </w:rPr>
      </w:pPr>
      <w:r>
        <w:rPr>
          <w:sz w:val="24"/>
        </w:rPr>
      </w:r>
    </w:p>
    <w:p>
      <w:pPr>
        <w:pStyle w:val="BodyText"/>
        <w:tabs>
          <w:tab w:val="clear" w:pos="720"/>
          <w:tab w:val="left" w:pos="1080" w:leader="none"/>
        </w:tabs>
        <w:ind w:end="-36"/>
        <w:rPr>
          <w:sz w:val="24"/>
        </w:rPr>
      </w:pPr>
      <w:r>
        <w:rPr>
          <w:sz w:val="24"/>
        </w:rPr>
        <w:t xml:space="preserve">The Electricity and Water Industry Ombudsman NSW scheme was established in 1998 as an independent way of resolving complaints for customers of electricity providers, AGL and Sydney Water. </w:t>
      </w:r>
    </w:p>
    <w:p>
      <w:pPr>
        <w:pStyle w:val="BodyText"/>
        <w:tabs>
          <w:tab w:val="clear" w:pos="720"/>
          <w:tab w:val="left" w:pos="1080" w:leader="none"/>
        </w:tabs>
        <w:ind w:end="-36"/>
        <w:rPr>
          <w:sz w:val="24"/>
        </w:rPr>
      </w:pPr>
      <w:r>
        <w:rPr>
          <w:sz w:val="24"/>
        </w:rPr>
      </w:r>
    </w:p>
    <w:p>
      <w:pPr>
        <w:pStyle w:val="BodyText"/>
        <w:tabs>
          <w:tab w:val="clear" w:pos="720"/>
          <w:tab w:val="left" w:pos="1080" w:leader="none"/>
        </w:tabs>
        <w:ind w:end="-36"/>
        <w:rPr>
          <w:sz w:val="24"/>
        </w:rPr>
      </w:pPr>
      <w:r>
        <w:rPr>
          <w:sz w:val="24"/>
        </w:rPr>
        <w:t>The Commonwealth, NSW and Victorian Governments are currently engaging the operations of the Snowy Mountains Hydro-Electric Authority.  This will formalize the current arrangements in which an interim trading company bids all of the Scheme’s output into the National Electricity Market as an independent generator.</w:t>
      </w:r>
    </w:p>
    <w:p>
      <w:pPr>
        <w:pStyle w:val="BodyText"/>
        <w:tabs>
          <w:tab w:val="clear" w:pos="720"/>
          <w:tab w:val="left" w:pos="1080" w:leader="none"/>
        </w:tabs>
        <w:ind w:end="-36"/>
        <w:rPr>
          <w:sz w:val="24"/>
        </w:rPr>
      </w:pPr>
      <w:r>
        <w:rPr>
          <w:sz w:val="24"/>
        </w:rPr>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t>In general, the reform process has consisted of the following steps being taken by State and Territory Governments:</w:t>
      </w:r>
    </w:p>
    <w:p>
      <w:pPr>
        <w:pStyle w:val="Heading3"/>
        <w:numPr>
          <w:ilvl w:val="0"/>
          <w:numId w:val="3"/>
        </w:numPr>
        <w:ind w:hanging="360" w:start="360" w:end="-36"/>
        <w:rPr>
          <w:rFonts w:ascii="Times New Roman" w:hAnsi="Times New Roman" w:cs="Times New Roman"/>
          <w:b w:val="false"/>
          <w:color w:val="000000"/>
          <w:lang w:val="en-AU"/>
        </w:rPr>
      </w:pPr>
      <w:r>
        <w:rPr>
          <w:rFonts w:cs="Times New Roman" w:ascii="Times New Roman" w:hAnsi="Times New Roman"/>
          <w:b w:val="false"/>
          <w:color w:val="000000"/>
          <w:lang w:val="en-AU"/>
        </w:rPr>
        <w:t>Break-up and privatise the components of the electricity supply industry (generation, transmission, distribution, and retail supply);</w:t>
      </w:r>
    </w:p>
    <w:p>
      <w:pPr>
        <w:pStyle w:val="Heading3"/>
        <w:numPr>
          <w:ilvl w:val="0"/>
          <w:numId w:val="3"/>
        </w:numPr>
        <w:ind w:hanging="360" w:start="360" w:end="-36"/>
        <w:rPr>
          <w:rFonts w:ascii="Times New Roman" w:hAnsi="Times New Roman" w:cs="Times New Roman"/>
          <w:b w:val="false"/>
          <w:color w:val="000000"/>
          <w:lang w:val="en-AU"/>
        </w:rPr>
      </w:pPr>
      <w:r>
        <w:rPr>
          <w:rFonts w:cs="Times New Roman" w:ascii="Times New Roman" w:hAnsi="Times New Roman"/>
          <w:b w:val="false"/>
          <w:color w:val="000000"/>
          <w:lang w:val="en-AU"/>
        </w:rPr>
        <w:t>Disaggregation of generation into separate companies to ensure adequate competition between generators;</w:t>
      </w:r>
    </w:p>
    <w:p>
      <w:pPr>
        <w:pStyle w:val="Heading3"/>
        <w:numPr>
          <w:ilvl w:val="0"/>
          <w:numId w:val="3"/>
        </w:numPr>
        <w:ind w:hanging="360" w:start="360" w:end="-36"/>
        <w:rPr>
          <w:rFonts w:ascii="Times New Roman" w:hAnsi="Times New Roman" w:cs="Times New Roman"/>
          <w:b w:val="false"/>
          <w:color w:val="000000"/>
          <w:lang w:val="en-AU"/>
        </w:rPr>
      </w:pPr>
      <w:r>
        <w:rPr>
          <w:rFonts w:cs="Times New Roman" w:ascii="Times New Roman" w:hAnsi="Times New Roman"/>
          <w:b w:val="false"/>
          <w:color w:val="000000"/>
          <w:lang w:val="en-AU"/>
        </w:rPr>
        <w:t>Establishment of the transmission and distribution systems as separate companies regulated as monopolies by a regulator who is independent of Government;</w:t>
      </w:r>
    </w:p>
    <w:p>
      <w:pPr>
        <w:pStyle w:val="Heading3"/>
        <w:numPr>
          <w:ilvl w:val="0"/>
          <w:numId w:val="3"/>
        </w:numPr>
        <w:ind w:hanging="360" w:start="360" w:end="-36"/>
        <w:rPr>
          <w:rFonts w:ascii="Times New Roman" w:hAnsi="Times New Roman" w:cs="Times New Roman"/>
          <w:b w:val="false"/>
          <w:color w:val="000000"/>
          <w:lang w:val="en-AU"/>
        </w:rPr>
      </w:pPr>
      <w:r>
        <w:rPr>
          <w:rFonts w:cs="Times New Roman" w:ascii="Times New Roman" w:hAnsi="Times New Roman"/>
          <w:b w:val="false"/>
          <w:color w:val="000000"/>
          <w:lang w:val="en-AU"/>
        </w:rPr>
        <w:t>Ring fencing of the System Operator's activities or complete separation into a different company;</w:t>
      </w:r>
    </w:p>
    <w:p>
      <w:pPr>
        <w:pStyle w:val="Heading3"/>
        <w:numPr>
          <w:ilvl w:val="0"/>
          <w:numId w:val="3"/>
        </w:numPr>
        <w:ind w:hanging="360" w:start="360" w:end="-36"/>
        <w:rPr>
          <w:rFonts w:ascii="Times New Roman" w:hAnsi="Times New Roman" w:cs="Times New Roman"/>
          <w:b w:val="false"/>
          <w:color w:val="000000"/>
          <w:lang w:val="en-AU"/>
        </w:rPr>
      </w:pPr>
      <w:r>
        <w:rPr>
          <w:rFonts w:cs="Times New Roman" w:ascii="Times New Roman" w:hAnsi="Times New Roman"/>
          <w:b w:val="false"/>
          <w:color w:val="000000"/>
          <w:lang w:val="en-AU"/>
        </w:rPr>
        <w:t>Ring fencing of retailing from the distribution network where these activities have remained in a single company;</w:t>
      </w:r>
    </w:p>
    <w:p>
      <w:pPr>
        <w:pStyle w:val="Heading3"/>
        <w:numPr>
          <w:ilvl w:val="0"/>
          <w:numId w:val="3"/>
        </w:numPr>
        <w:ind w:hanging="360" w:start="360" w:end="-36"/>
        <w:rPr>
          <w:rFonts w:ascii="Times New Roman" w:hAnsi="Times New Roman" w:cs="Times New Roman"/>
          <w:b w:val="false"/>
          <w:color w:val="000000"/>
          <w:lang w:val="en-AU"/>
        </w:rPr>
      </w:pPr>
      <w:r>
        <w:rPr>
          <w:rFonts w:cs="Times New Roman" w:ascii="Times New Roman" w:hAnsi="Times New Roman"/>
          <w:b w:val="false"/>
          <w:color w:val="000000"/>
          <w:lang w:val="en-AU"/>
        </w:rPr>
        <w:t>Introduction of competition in generation and retail supply through the removal of legal barriers to competition; and</w:t>
      </w:r>
    </w:p>
    <w:p>
      <w:pPr>
        <w:pStyle w:val="Heading3"/>
        <w:numPr>
          <w:ilvl w:val="0"/>
          <w:numId w:val="3"/>
        </w:numPr>
        <w:ind w:hanging="360" w:start="360" w:end="-36"/>
        <w:rPr>
          <w:rFonts w:ascii="Times New Roman" w:hAnsi="Times New Roman" w:cs="Times New Roman"/>
          <w:b w:val="false"/>
          <w:color w:val="000000"/>
          <w:lang w:val="en-AU"/>
        </w:rPr>
      </w:pPr>
      <w:r>
        <w:rPr>
          <w:rFonts w:cs="Times New Roman" w:ascii="Times New Roman" w:hAnsi="Times New Roman"/>
          <w:b w:val="false"/>
          <w:color w:val="000000"/>
          <w:lang w:val="en-AU"/>
        </w:rPr>
        <w:t>Separation of wholesale electricity tariffs into separate charges.</w:t>
      </w:r>
    </w:p>
    <w:p>
      <w:pPr>
        <w:pStyle w:val="Normal"/>
        <w:ind w:end="-36"/>
        <w:rPr>
          <w:rFonts w:ascii="Times New Roman" w:hAnsi="Times New Roman" w:cs="Times New Roman"/>
          <w:b/>
          <w:color w:val="000000"/>
          <w:lang w:val="en-AU"/>
        </w:rPr>
      </w:pPr>
      <w:r>
        <w:rPr>
          <w:rFonts w:cs="Times New Roman"/>
          <w:b/>
          <w:color w:val="000000"/>
          <w:lang w:val="en-AU"/>
        </w:rPr>
      </w:r>
    </w:p>
    <w:p>
      <w:pPr>
        <w:pStyle w:val="Heading3"/>
        <w:ind w:hanging="0" w:start="0" w:end="-36"/>
        <w:rPr>
          <w:rFonts w:ascii="Times New Roman" w:hAnsi="Times New Roman" w:cs="Times New Roman"/>
          <w:b w:val="false"/>
          <w:color w:val="000000"/>
        </w:rPr>
      </w:pPr>
      <w:r>
        <w:rPr>
          <w:rFonts w:cs="Times New Roman" w:ascii="Times New Roman" w:hAnsi="Times New Roman"/>
          <w:b w:val="false"/>
          <w:color w:val="000000"/>
        </w:rPr>
        <w:t>Some states have also privatized various elements of the industry as part of their reform program.</w:t>
      </w:r>
    </w:p>
    <w:p>
      <w:pPr>
        <w:pStyle w:val="Normal"/>
        <w:ind w:end="-36"/>
        <w:rPr>
          <w:rFonts w:ascii="Times New Roman" w:hAnsi="Times New Roman" w:cs="Times New Roman"/>
          <w:b/>
          <w:color w:val="000000"/>
        </w:rPr>
      </w:pPr>
      <w:r>
        <w:rPr>
          <w:rFonts w:cs="Times New Roman"/>
          <w:b/>
          <w:color w:val="000000"/>
        </w:rPr>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t>The creation of a national electricity market is expected to increase efficiency in the electricity supply industry by introducing competition directly into the generation and retail sectors and indirectly into investment decisions thereby resulting in substantial benefits to the public.</w:t>
      </w:r>
    </w:p>
    <w:p>
      <w:pPr>
        <w:pStyle w:val="BodyText"/>
        <w:tabs>
          <w:tab w:val="clear" w:pos="720"/>
          <w:tab w:val="left" w:pos="1080" w:leader="none"/>
        </w:tabs>
        <w:ind w:end="-36"/>
        <w:rPr>
          <w:rFonts w:ascii="Times New Roman" w:hAnsi="Times New Roman" w:cs="Times New Roman"/>
          <w:color w:val="000000"/>
          <w:sz w:val="24"/>
        </w:rPr>
      </w:pPr>
      <w:r>
        <w:rPr>
          <w:rFonts w:cs="Times New Roman"/>
          <w:color w:val="000000"/>
          <w:sz w:val="24"/>
        </w:rPr>
      </w:r>
    </w:p>
    <w:p>
      <w:pPr>
        <w:pStyle w:val="BodyText"/>
        <w:tabs>
          <w:tab w:val="clear" w:pos="720"/>
          <w:tab w:val="left" w:pos="1080" w:leader="none"/>
        </w:tabs>
        <w:ind w:end="-36"/>
        <w:rPr>
          <w:b/>
          <w:sz w:val="24"/>
        </w:rPr>
      </w:pPr>
      <w:r>
        <w:rPr>
          <w:b/>
          <w:sz w:val="24"/>
        </w:rPr>
        <w:t>NEMMCO</w:t>
      </w:r>
    </w:p>
    <w:p>
      <w:pPr>
        <w:pStyle w:val="BodyText"/>
        <w:tabs>
          <w:tab w:val="clear" w:pos="720"/>
          <w:tab w:val="left" w:pos="1080" w:leader="none"/>
        </w:tabs>
        <w:ind w:end="-36"/>
        <w:rPr>
          <w:sz w:val="24"/>
        </w:rPr>
      </w:pPr>
      <w:r>
        <w:rPr>
          <w:sz w:val="24"/>
        </w:rPr>
        <w:t>NEMMCO (National Electricity Market Management Company Limited) is an independent market and system operator.  NEMMCO consists of the following business units within NEMMCO:</w:t>
      </w:r>
    </w:p>
    <w:p>
      <w:pPr>
        <w:pStyle w:val="BodyText"/>
        <w:numPr>
          <w:ilvl w:val="0"/>
          <w:numId w:val="2"/>
        </w:numPr>
        <w:tabs>
          <w:tab w:val="clear" w:pos="720"/>
          <w:tab w:val="left" w:pos="1080" w:leader="none"/>
        </w:tabs>
        <w:ind w:hanging="360" w:start="720" w:end="-36"/>
        <w:rPr>
          <w:sz w:val="24"/>
        </w:rPr>
      </w:pPr>
      <w:r>
        <w:rPr>
          <w:sz w:val="24"/>
        </w:rPr>
        <w:t>Power Exchange – responsible for the operations of the spot market for electricity including participant registrations, retail metering and settlements, and market development activities.</w:t>
      </w:r>
    </w:p>
    <w:p>
      <w:pPr>
        <w:pStyle w:val="BodyText"/>
        <w:numPr>
          <w:ilvl w:val="0"/>
          <w:numId w:val="2"/>
        </w:numPr>
        <w:tabs>
          <w:tab w:val="clear" w:pos="720"/>
          <w:tab w:val="left" w:pos="1080" w:leader="none"/>
        </w:tabs>
        <w:ind w:hanging="360" w:start="720" w:end="-36"/>
        <w:rPr>
          <w:sz w:val="24"/>
        </w:rPr>
      </w:pPr>
      <w:r>
        <w:rPr>
          <w:sz w:val="24"/>
        </w:rPr>
        <w:t>Operations – responsible for the security of the interconnected power system and the coordination of power system planning.</w:t>
      </w:r>
    </w:p>
    <w:p>
      <w:pPr>
        <w:pStyle w:val="BodyText"/>
        <w:numPr>
          <w:ilvl w:val="0"/>
          <w:numId w:val="2"/>
        </w:numPr>
        <w:tabs>
          <w:tab w:val="clear" w:pos="720"/>
          <w:tab w:val="left" w:pos="1080" w:leader="none"/>
        </w:tabs>
        <w:ind w:hanging="360" w:start="720" w:end="-36"/>
        <w:rPr>
          <w:sz w:val="24"/>
        </w:rPr>
      </w:pPr>
      <w:r>
        <w:rPr>
          <w:sz w:val="24"/>
        </w:rPr>
        <w:t>Corporate Services – responsible for internal operations.</w:t>
      </w:r>
    </w:p>
    <w:p>
      <w:pPr>
        <w:pStyle w:val="BodyText"/>
        <w:numPr>
          <w:ilvl w:val="0"/>
          <w:numId w:val="2"/>
        </w:numPr>
        <w:tabs>
          <w:tab w:val="clear" w:pos="720"/>
          <w:tab w:val="left" w:pos="1080" w:leader="none"/>
        </w:tabs>
        <w:ind w:hanging="360" w:start="720" w:end="-36"/>
        <w:rPr>
          <w:sz w:val="24"/>
        </w:rPr>
      </w:pPr>
      <w:r>
        <w:rPr>
          <w:sz w:val="24"/>
        </w:rPr>
        <w:t>Market Systems – responsible for information technology functions.</w:t>
      </w:r>
    </w:p>
    <w:p>
      <w:pPr>
        <w:pStyle w:val="BodyText"/>
        <w:tabs>
          <w:tab w:val="clear" w:pos="720"/>
          <w:tab w:val="left" w:pos="1080" w:leader="none"/>
        </w:tabs>
        <w:ind w:start="360" w:end="-36"/>
        <w:rPr>
          <w:sz w:val="24"/>
          <w:lang w:val="en-CA" w:eastAsia="en-CA"/>
        </w:rPr>
      </w:pPr>
      <w:r>
        <w:rPr>
          <w:sz w:val="24"/>
          <w:lang w:val="en-CA" w:eastAsia="en-CA"/>
        </w:rPr>
        <w:object w:dxaOrig="7560" w:dyaOrig="463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0pt;margin-top:11.4pt;width:378pt;height:231.75pt;mso-wrap-distance-left:9.05pt;mso-wrap-distance-right:9.05pt;mso-position-horizontal-relative:text;mso-position-vertical-relative:text" filled="f" o:ole="">
            <v:imagedata r:id="rId4" o:title=""/>
            <w10:wrap type="tight"/>
          </v:shape>
          <o:OLEObject Type="Embed" ProgID="" ShapeID="ole_rId3" DrawAspect="Content" ObjectID="_273880834" r:id="rId3"/>
        </w:object>
      </w:r>
    </w:p>
    <w:p>
      <w:pPr>
        <w:pStyle w:val="NormalWeb"/>
        <w:spacing w:before="0" w:after="0"/>
        <w:ind w:end="-43"/>
        <w:rPr>
          <w:rFonts w:ascii="Times New Roman" w:hAnsi="Times New Roman" w:cs="Times New Roman"/>
          <w:b/>
          <w:color w:val="000000"/>
        </w:rPr>
      </w:pPr>
      <w:r>
        <w:rPr>
          <w:rFonts w:cs="Times New Roman" w:ascii="Times New Roman" w:hAnsi="Times New Roman"/>
          <w:b/>
          <w:color w:val="000000"/>
        </w:rPr>
        <w:t>Electricity Pricing</w:t>
      </w:r>
    </w:p>
    <w:p>
      <w:pPr>
        <w:pStyle w:val="NormalWeb"/>
        <w:spacing w:before="0" w:after="0"/>
        <w:ind w:end="-43"/>
        <w:rPr>
          <w:rFonts w:ascii="Times New Roman" w:hAnsi="Times New Roman" w:cs="Times New Roman"/>
          <w:b/>
          <w:color w:val="000000"/>
        </w:rPr>
      </w:pPr>
      <w:r>
        <w:rPr>
          <w:rFonts w:cs="Times New Roman" w:ascii="Times New Roman" w:hAnsi="Times New Roman"/>
          <w:b/>
          <w:color w:val="000000"/>
        </w:rPr>
      </w:r>
    </w:p>
    <w:p>
      <w:pPr>
        <w:pStyle w:val="NormalWeb"/>
        <w:spacing w:before="0" w:after="0"/>
        <w:ind w:end="-43"/>
        <w:rPr>
          <w:rFonts w:ascii="Times New Roman" w:hAnsi="Times New Roman" w:cs="Times New Roman"/>
          <w:color w:val="000000"/>
        </w:rPr>
      </w:pPr>
      <w:r>
        <w:rPr>
          <w:rFonts w:cs="Times New Roman" w:ascii="Times New Roman" w:hAnsi="Times New Roman"/>
          <w:color w:val="000000"/>
        </w:rPr>
        <w:t>In the centrally coordinated dispatch process, electricity supply and demand requirements are continually balanced by scheduling generators to produce sufficient electricity to meet customer demand.  Generators compete by providing dispatch offers (prices for different levels of generation) to NEMMCO.  Market Customers (retailers and end use customers who are wholesale Market Participants) may submit dispatch bids, comprising prices and associated quantities of demand they wish to be scheduled in the dispatch process.  NEMMCO dispatches the scheduled generation and demand with the objective of minimizing the cost of meeting electricity demand based on the offer and bid prices.</w:t>
      </w:r>
    </w:p>
    <w:p>
      <w:pPr>
        <w:pStyle w:val="BodyText"/>
        <w:tabs>
          <w:tab w:val="clear" w:pos="720"/>
          <w:tab w:val="left" w:pos="1080" w:leader="none"/>
        </w:tabs>
        <w:ind w:end="-36"/>
        <w:rPr>
          <w:rFonts w:ascii="Times New Roman" w:hAnsi="Times New Roman" w:cs="Times New Roman"/>
          <w:color w:val="000000"/>
          <w:sz w:val="24"/>
        </w:rPr>
      </w:pPr>
      <w:r>
        <w:rPr>
          <w:rFonts w:cs="Times New Roman"/>
          <w:color w:val="000000"/>
          <w:sz w:val="24"/>
        </w:rPr>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t>The spot market is the market where generators are paid for the electricity they sell to the pool, and retailers and wholesale end use customers pay for their electricity consumption.  A spot price for wholesale electricity is calculated for each half hour period during the day and is the clearing price to match supply and demand.  NEMMCO calculates this spot price using the daily price offers and bids.  In general, all electricity must be traded through the spot market.</w:t>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r>
    </w:p>
    <w:p>
      <w:pPr>
        <w:pStyle w:val="BodyText"/>
        <w:tabs>
          <w:tab w:val="clear" w:pos="720"/>
          <w:tab w:val="left" w:pos="1080" w:leader="none"/>
        </w:tabs>
        <w:ind w:end="-36"/>
        <w:rPr>
          <w:rFonts w:ascii="Times New Roman" w:hAnsi="Times New Roman" w:cs="Times New Roman"/>
          <w:color w:val="000000"/>
          <w:sz w:val="24"/>
        </w:rPr>
      </w:pPr>
      <w:r>
        <w:rPr>
          <w:rFonts w:cs="Times New Roman"/>
          <w:color w:val="000000"/>
          <w:sz w:val="24"/>
        </w:rPr>
      </w:r>
    </w:p>
    <w:p>
      <w:pPr>
        <w:pStyle w:val="NormalWeb"/>
        <w:spacing w:before="0" w:after="0"/>
        <w:ind w:end="-36"/>
        <w:rPr>
          <w:rFonts w:ascii="Times New Roman" w:hAnsi="Times New Roman" w:cs="Times New Roman"/>
          <w:color w:val="000000"/>
          <w:sz w:val="24"/>
        </w:rPr>
      </w:pPr>
      <w:r>
        <w:rPr>
          <w:rFonts w:cs="Times New Roman" w:ascii="Times New Roman" w:hAnsi="Times New Roman"/>
          <w:color w:val="000000"/>
          <w:sz w:val="24"/>
        </w:rPr>
      </w:r>
    </w:p>
    <w:p>
      <w:pPr>
        <w:pStyle w:val="NormalWeb"/>
        <w:spacing w:before="0" w:after="0"/>
        <w:ind w:end="-36"/>
        <w:jc w:val="center"/>
        <w:rPr>
          <w:rFonts w:ascii="Times New Roman" w:hAnsi="Times New Roman" w:cs="Times New Roman"/>
          <w:b/>
          <w:color w:val="000000"/>
          <w:sz w:val="28"/>
        </w:rPr>
      </w:pPr>
      <w:r>
        <w:rPr>
          <w:rFonts w:cs="Times New Roman" w:ascii="Times New Roman" w:hAnsi="Times New Roman"/>
          <w:b/>
          <w:color w:val="000000"/>
          <w:sz w:val="28"/>
        </w:rPr>
        <w:t>New Zealand Power Market</w:t>
      </w:r>
    </w:p>
    <w:p>
      <w:pPr>
        <w:pStyle w:val="BodyText"/>
        <w:tabs>
          <w:tab w:val="clear" w:pos="720"/>
          <w:tab w:val="left" w:pos="1080" w:leader="none"/>
        </w:tabs>
        <w:ind w:end="-36"/>
        <w:rPr>
          <w:rFonts w:ascii="Times New Roman" w:hAnsi="Times New Roman" w:cs="Times New Roman"/>
          <w:b/>
          <w:color w:val="000000"/>
          <w:sz w:val="24"/>
        </w:rPr>
      </w:pPr>
      <w:r>
        <w:rPr>
          <w:rFonts w:cs="Times New Roman"/>
          <w:b/>
          <w:color w:val="000000"/>
          <w:sz w:val="24"/>
        </w:rPr>
      </w:r>
    </w:p>
    <w:p>
      <w:pPr>
        <w:pStyle w:val="NormalWeb"/>
        <w:spacing w:before="0" w:after="0"/>
        <w:ind w:end="-36"/>
        <w:rPr>
          <w:rFonts w:ascii="Times New Roman" w:hAnsi="Times New Roman" w:cs="Times New Roman"/>
          <w:b/>
          <w:color w:val="000000"/>
        </w:rPr>
      </w:pPr>
      <w:r>
        <w:rPr>
          <w:rFonts w:cs="Times New Roman" w:ascii="Times New Roman" w:hAnsi="Times New Roman"/>
          <w:b/>
          <w:color w:val="000000"/>
        </w:rPr>
        <w:t>Background</w:t>
      </w:r>
    </w:p>
    <w:p>
      <w:pPr>
        <w:pStyle w:val="NormalWeb"/>
        <w:spacing w:before="0" w:after="0"/>
        <w:ind w:end="-36"/>
        <w:rPr>
          <w:rFonts w:ascii="Times New Roman" w:hAnsi="Times New Roman" w:cs="Times New Roman"/>
          <w:b/>
          <w:color w:val="000000"/>
        </w:rPr>
      </w:pPr>
      <w:r>
        <w:rPr>
          <w:rFonts w:cs="Times New Roman" w:ascii="Times New Roman" w:hAnsi="Times New Roman"/>
          <w:b/>
          <w:color w:val="000000"/>
        </w:rPr>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t>In April 1998 the New Zealand Government announced an electricity reform package designed to promote effective competition in the NZ electricity market.  Key aspects of the reform package were:</w:t>
      </w:r>
    </w:p>
    <w:p>
      <w:pPr>
        <w:pStyle w:val="Heading3"/>
        <w:numPr>
          <w:ilvl w:val="0"/>
          <w:numId w:val="3"/>
        </w:numPr>
        <w:ind w:hanging="360" w:start="360" w:end="-36"/>
        <w:rPr>
          <w:rFonts w:ascii="Times New Roman" w:hAnsi="Times New Roman" w:cs="Times New Roman"/>
          <w:b w:val="false"/>
          <w:color w:val="000000"/>
          <w:lang w:val="en-AU"/>
        </w:rPr>
      </w:pPr>
      <w:r>
        <w:rPr>
          <w:rFonts w:cs="Times New Roman" w:ascii="Times New Roman" w:hAnsi="Times New Roman"/>
          <w:b w:val="false"/>
          <w:color w:val="000000"/>
          <w:lang w:val="en-AU"/>
        </w:rPr>
        <w:t xml:space="preserve">The sale of Contact Energy Ltd. </w:t>
      </w:r>
    </w:p>
    <w:p>
      <w:pPr>
        <w:pStyle w:val="Heading3"/>
        <w:numPr>
          <w:ilvl w:val="0"/>
          <w:numId w:val="3"/>
        </w:numPr>
        <w:ind w:hanging="360" w:start="360" w:end="-36"/>
        <w:rPr>
          <w:rFonts w:ascii="Times New Roman" w:hAnsi="Times New Roman" w:cs="Times New Roman"/>
          <w:b w:val="false"/>
          <w:color w:val="000000"/>
          <w:lang w:val="en-AU"/>
        </w:rPr>
      </w:pPr>
      <w:r>
        <w:rPr>
          <w:rFonts w:cs="Times New Roman" w:ascii="Times New Roman" w:hAnsi="Times New Roman"/>
          <w:b w:val="false"/>
          <w:color w:val="000000"/>
          <w:lang w:val="en-AU"/>
        </w:rPr>
        <w:t xml:space="preserve">Further restructuring the ECNZ (Electricity Corporation of New Zealand) into three competing state-owned enterprises (SOEs) - Genesis, Meridian Energy and Mighty River Power. </w:t>
      </w:r>
    </w:p>
    <w:p>
      <w:pPr>
        <w:pStyle w:val="Heading3"/>
        <w:numPr>
          <w:ilvl w:val="0"/>
          <w:numId w:val="3"/>
        </w:numPr>
        <w:ind w:hanging="360" w:start="360" w:end="-36"/>
        <w:rPr>
          <w:rFonts w:ascii="Times New Roman" w:hAnsi="Times New Roman" w:cs="Times New Roman"/>
          <w:b w:val="false"/>
          <w:color w:val="000000"/>
          <w:lang w:val="en-AU"/>
        </w:rPr>
      </w:pPr>
      <w:r>
        <w:rPr>
          <w:rFonts w:cs="Times New Roman" w:ascii="Times New Roman" w:hAnsi="Times New Roman"/>
          <w:b w:val="false"/>
          <w:color w:val="000000"/>
          <w:lang w:val="en-AU"/>
        </w:rPr>
        <w:t xml:space="preserve">Mandating the split of retail and lines businesses for all energy companies. </w:t>
      </w:r>
    </w:p>
    <w:p>
      <w:pPr>
        <w:pStyle w:val="Heading3"/>
        <w:numPr>
          <w:ilvl w:val="0"/>
          <w:numId w:val="3"/>
        </w:numPr>
        <w:ind w:hanging="360" w:start="360" w:end="-36"/>
        <w:rPr>
          <w:rFonts w:ascii="Times New Roman" w:hAnsi="Times New Roman" w:cs="Times New Roman"/>
          <w:b w:val="false"/>
          <w:color w:val="000000"/>
          <w:lang w:val="en-AU"/>
        </w:rPr>
      </w:pPr>
      <w:r>
        <w:rPr>
          <w:rFonts w:cs="Times New Roman" w:ascii="Times New Roman" w:hAnsi="Times New Roman"/>
          <w:b w:val="false"/>
          <w:color w:val="000000"/>
          <w:lang w:val="en-AU"/>
        </w:rPr>
        <w:t xml:space="preserve">Other distribution and retail reforms </w:t>
      </w:r>
    </w:p>
    <w:p>
      <w:pPr>
        <w:pStyle w:val="NormalWeb"/>
        <w:spacing w:before="0" w:after="0"/>
        <w:ind w:end="-36"/>
        <w:rPr>
          <w:rFonts w:ascii="Times New Roman" w:hAnsi="Times New Roman" w:cs="Times New Roman"/>
          <w:b/>
          <w:color w:val="000000"/>
          <w:lang w:val="en-AU"/>
        </w:rPr>
      </w:pPr>
      <w:r>
        <w:rPr>
          <w:rFonts w:cs="Times New Roman" w:ascii="Times New Roman" w:hAnsi="Times New Roman"/>
          <w:b/>
          <w:color w:val="000000"/>
          <w:lang w:val="en-AU"/>
        </w:rPr>
      </w:r>
    </w:p>
    <w:p>
      <w:pPr>
        <w:pStyle w:val="NormalWeb"/>
        <w:spacing w:before="0" w:after="0"/>
        <w:ind w:end="-36"/>
        <w:rPr>
          <w:rFonts w:ascii="Times New Roman" w:hAnsi="Times New Roman" w:cs="Times New Roman"/>
          <w:color w:val="000000"/>
        </w:rPr>
      </w:pPr>
      <w:r>
        <w:rPr>
          <w:rFonts w:cs="Times New Roman" w:ascii="Times New Roman" w:hAnsi="Times New Roman"/>
          <w:b/>
          <w:color w:val="000000"/>
        </w:rPr>
        <w:t>Structure</w:t>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t>The three SOEs are based around power stations in the Waikato, Huntly and South Island and are intended to be stand-alone commercially viable entities. The split of ECNZ was completed on 1 April 1999.</w:t>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r>
    </w:p>
    <w:p>
      <w:pPr>
        <w:pStyle w:val="NormalWeb"/>
        <w:spacing w:before="0" w:after="0"/>
        <w:ind w:end="-36"/>
        <w:rPr/>
      </w:pPr>
      <w:r>
        <w:rPr>
          <w:rFonts w:cs="Times New Roman" w:ascii="Times New Roman" w:hAnsi="Times New Roman"/>
          <w:color w:val="000000"/>
          <w:u w:val="single"/>
        </w:rPr>
        <w:t>Waikato:</w:t>
      </w:r>
      <w:r>
        <w:rPr>
          <w:rFonts w:cs="Times New Roman" w:ascii="Times New Roman" w:hAnsi="Times New Roman"/>
          <w:color w:val="000000"/>
        </w:rPr>
        <w:t xml:space="preserve"> Mighty River Power is based around the Waikato hydro stations and has assets of around 13% of the NZ generation market. Mighty River Power will supply First Electric and Mercury energy customers (around 250,000 customers). </w:t>
      </w:r>
    </w:p>
    <w:p>
      <w:pPr>
        <w:pStyle w:val="NormalWeb"/>
        <w:spacing w:before="0" w:after="0"/>
        <w:ind w:end="-36"/>
        <w:rPr/>
      </w:pPr>
      <w:r>
        <w:rPr>
          <w:rFonts w:cs="Times New Roman" w:ascii="Times New Roman" w:hAnsi="Times New Roman"/>
          <w:color w:val="000000"/>
          <w:u w:val="single"/>
        </w:rPr>
        <w:t>Huntly:</w:t>
      </w:r>
      <w:r>
        <w:rPr>
          <w:rFonts w:cs="Times New Roman" w:ascii="Times New Roman" w:hAnsi="Times New Roman"/>
          <w:i/>
          <w:color w:val="000000"/>
        </w:rPr>
        <w:t xml:space="preserve"> </w:t>
      </w:r>
      <w:r>
        <w:rPr>
          <w:rFonts w:cs="Times New Roman" w:ascii="Times New Roman" w:hAnsi="Times New Roman"/>
          <w:color w:val="000000"/>
        </w:rPr>
        <w:t xml:space="preserve">Known as Genesis Power Limited this SOE is based around the Huntly thermal station, Tongariro hydro stations and the three Waikaremoana hydro stations, assets of around 17% of the NZ generation market. </w:t>
      </w:r>
    </w:p>
    <w:p>
      <w:pPr>
        <w:pStyle w:val="NormalWeb"/>
        <w:spacing w:before="0" w:after="0"/>
        <w:ind w:end="-36"/>
        <w:rPr/>
      </w:pPr>
      <w:r>
        <w:rPr>
          <w:rFonts w:cs="Times New Roman" w:ascii="Times New Roman" w:hAnsi="Times New Roman"/>
          <w:color w:val="000000"/>
          <w:u w:val="single"/>
        </w:rPr>
        <w:t>South Island:</w:t>
      </w:r>
      <w:r>
        <w:rPr>
          <w:rFonts w:cs="Times New Roman" w:ascii="Times New Roman" w:hAnsi="Times New Roman"/>
          <w:color w:val="000000"/>
        </w:rPr>
        <w:t xml:space="preserve"> Christened Meridian Energy, the South Island SOE has assets totaling 30% of the NZ generation market, including the Manapouri and Waitaki hydro stations. Meridian Energy will supply retail customers from Wairarapa Power, NorthPower, Scanpower, CHB Power and Waitaki Power totaling 93,000 customers. </w:t>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r>
    </w:p>
    <w:p>
      <w:pPr>
        <w:pStyle w:val="NormalWeb"/>
        <w:spacing w:before="0" w:after="0"/>
        <w:ind w:end="-36"/>
        <w:rPr>
          <w:rFonts w:ascii="Times New Roman" w:hAnsi="Times New Roman" w:cs="Times New Roman"/>
          <w:b/>
          <w:color w:val="000000"/>
        </w:rPr>
      </w:pPr>
      <w:r>
        <w:rPr>
          <w:rFonts w:cs="Times New Roman" w:ascii="Times New Roman" w:hAnsi="Times New Roman"/>
          <w:b/>
          <w:color w:val="000000"/>
        </w:rPr>
      </w:r>
    </w:p>
    <w:p>
      <w:pPr>
        <w:pStyle w:val="NormalWeb"/>
        <w:spacing w:before="0" w:after="0"/>
        <w:ind w:end="-36"/>
        <w:rPr>
          <w:rFonts w:ascii="Times New Roman" w:hAnsi="Times New Roman" w:cs="Times New Roman"/>
          <w:b/>
          <w:color w:val="000000"/>
        </w:rPr>
      </w:pPr>
      <w:r>
        <w:rPr>
          <w:rFonts w:cs="Times New Roman" w:ascii="Times New Roman" w:hAnsi="Times New Roman"/>
          <w:b/>
          <w:color w:val="000000"/>
        </w:rPr>
        <w:t>Electricity Pricing</w:t>
      </w:r>
    </w:p>
    <w:p>
      <w:pPr>
        <w:pStyle w:val="NormalWeb"/>
        <w:spacing w:before="0" w:after="0"/>
        <w:ind w:end="-36"/>
        <w:rPr>
          <w:rFonts w:ascii="Times New Roman" w:hAnsi="Times New Roman" w:cs="Times New Roman"/>
          <w:b/>
          <w:color w:val="000000"/>
        </w:rPr>
      </w:pPr>
      <w:r>
        <w:rPr>
          <w:rFonts w:cs="Times New Roman" w:ascii="Times New Roman" w:hAnsi="Times New Roman"/>
          <w:b/>
          <w:color w:val="000000"/>
        </w:rPr>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t xml:space="preserve">NZEM prices are determined by the competitive action of buyers and sellers in the market.  There are a total of 480 nodal grid exit and injection points in the New Zealand electricity system.  Pricing information is collated via COMIT on the 244 nodes included within the ambit of NZEM. The nodal pricing methodology adopted by NZEM enables a price for energy, reserves and transmission losses to be established for each node. This enables more effective risk management on the part of market participants and also sends strong investment signals to generation and transmission owners. Prices are calculated for 48 half-hour trading periods every day of the year. This represents a massive inflow of information. In simple terms, the underlying price is set by the intersection of the demand curve (set by purchaser demand) and the supply curve (established by generator offers) for energy. The price varies across nodes according to transmission losses and grid constraints. </w:t>
      </w:r>
    </w:p>
    <w:p>
      <w:pPr>
        <w:pStyle w:val="NormalWeb"/>
        <w:spacing w:before="0" w:after="0"/>
        <w:ind w:end="-36"/>
        <w:rPr>
          <w:rFonts w:ascii="Times New Roman" w:hAnsi="Times New Roman" w:cs="Times New Roman"/>
          <w:color w:val="000000"/>
        </w:rPr>
      </w:pPr>
      <w:r>
        <w:rPr>
          <w:rFonts w:cs="Times New Roman" w:ascii="Times New Roman" w:hAnsi="Times New Roman"/>
          <w:color w:val="000000"/>
        </w:rPr>
      </w:r>
    </w:p>
    <w:p>
      <w:pPr>
        <w:pStyle w:val="Normal"/>
        <w:ind w:end="-36"/>
        <w:rPr/>
      </w:pPr>
      <w:r>
        <w:rPr/>
        <w:t xml:space="preserve">Forecast prices are calculated in real time up to two hours before the specific trading period. Dispatch prices are calculated at, or just prior to, the time electricity is actually dispatched. Provision prices calculated for all the trading periods of the previous day. Published to Market Participants by 9.00am on the morning following the day's trading and include provisional demand data. Final prices are calculated by the eighth business day of the month for the month prior. Final prices are those used in the settlement of NZEM. These are available at the end of each month following Grid Operator corrections to metering and grid configuration data. </w:t>
      </w:r>
    </w:p>
    <w:p>
      <w:pPr>
        <w:pStyle w:val="Normal"/>
        <w:ind w:end="-36"/>
        <w:rPr/>
      </w:pPr>
      <w:r>
        <w:rPr/>
      </w:r>
    </w:p>
    <w:p>
      <w:pPr>
        <w:pStyle w:val="Normal"/>
        <w:ind w:end="-36"/>
        <w:rPr/>
      </w:pPr>
      <w:r>
        <w:rPr/>
        <w:t xml:space="preserve">The history of NZEM shows that provisional prices are extremely close to final prices. Accordingly, NZEM is currently considering a proposal to considerably reduce the time delay in publishing the final price to only one day. </w:t>
      </w:r>
    </w:p>
    <w:p>
      <w:pPr>
        <w:pStyle w:val="NormalWeb"/>
        <w:ind w:end="-36"/>
        <w:rPr>
          <w:rFonts w:ascii="Times New Roman" w:hAnsi="Times New Roman" w:cs="Times New Roman"/>
          <w:color w:val="000000"/>
        </w:rPr>
      </w:pPr>
      <w:r>
        <w:rPr>
          <w:rFonts w:cs="Times New Roman" w:ascii="Times New Roman" w:hAnsi="Times New Roman"/>
          <w:color w:val="000000"/>
        </w:rPr>
      </w:r>
    </w:p>
    <w:p>
      <w:pPr>
        <w:pStyle w:val="NormalWeb"/>
        <w:ind w:end="-36"/>
        <w:rPr>
          <w:rFonts w:ascii="Times New Roman" w:hAnsi="Times New Roman" w:cs="Times New Roman"/>
          <w:color w:val="000000"/>
        </w:rPr>
      </w:pPr>
      <w:r>
        <w:rPr>
          <w:rFonts w:cs="Times New Roman" w:ascii="Times New Roman" w:hAnsi="Times New Roman"/>
          <w:color w:val="000000"/>
        </w:rPr>
      </w:r>
    </w:p>
    <w:p>
      <w:pPr>
        <w:pStyle w:val="Heading1"/>
        <w:ind w:hanging="0" w:start="0"/>
        <w:jc w:val="center"/>
        <w:rPr>
          <w:rFonts w:cs="Times New Roman"/>
          <w:sz w:val="28"/>
        </w:rPr>
      </w:pPr>
      <w:r>
        <w:rPr>
          <w:rFonts w:cs="Times New Roman"/>
          <w:sz w:val="28"/>
        </w:rPr>
        <w:t>Nordic Power Market</w:t>
      </w:r>
    </w:p>
    <w:p>
      <w:pPr>
        <w:pStyle w:val="Normal"/>
        <w:rPr>
          <w:rFonts w:cs="Times New Roman"/>
          <w:sz w:val="28"/>
        </w:rPr>
      </w:pPr>
      <w:r>
        <w:rPr>
          <w:rFonts w:cs="Times New Roman"/>
          <w:sz w:val="28"/>
        </w:rPr>
      </w:r>
    </w:p>
    <w:p>
      <w:pPr>
        <w:pStyle w:val="Heading4"/>
        <w:ind w:hanging="0" w:start="0"/>
        <w:rPr/>
      </w:pPr>
      <w:r>
        <w:rPr/>
      </w:r>
    </w:p>
    <w:p>
      <w:pPr>
        <w:pStyle w:val="Heading4"/>
        <w:ind w:hanging="0" w:start="0"/>
        <w:rPr/>
      </w:pPr>
      <w:r>
        <w:rPr/>
        <w:t>Background</w:t>
      </w:r>
    </w:p>
    <w:p>
      <w:pPr>
        <w:pStyle w:val="Normal"/>
        <w:rPr/>
      </w:pPr>
      <w:r>
        <w:rPr/>
      </w:r>
    </w:p>
    <w:p>
      <w:pPr>
        <w:pStyle w:val="Normal"/>
        <w:rPr/>
      </w:pPr>
      <w:r>
        <w:rPr/>
        <w:t xml:space="preserve">Denmark is located at the border between the hydropower-based systems in the North and the thermal system in the Continent where a long tradition for trade between the two systems existed.  The pressure for introducing competition in the Danish electricity supply industry during the mid-1990s came from Norway and Sweden rather than from the preparation of the EU electricity market directive, which finally was passed in December 1996.  The Norwegian power exchange, which started in 1992, was extended to a common Norwegian-Swedish power exchange in 1996.  Finland joined in 1998, and western Denmark was included in 1999.  Trading volume increased sharply during this four-year period.  In 1995, trade on the physical market was 20 TWh, while volume traded at the financial market amounted to 15 TWh.  In 1999, the corresponding figures were 75 TWh and 216 TWh. This represents an increase of 275% and 1,340%, respectively, over the course of four years.  </w:t>
      </w:r>
    </w:p>
    <w:p>
      <w:pPr>
        <w:pStyle w:val="Normal"/>
        <w:rPr/>
      </w:pPr>
      <w:r>
        <w:rPr/>
      </w:r>
    </w:p>
    <w:p>
      <w:pPr>
        <w:pStyle w:val="Normal"/>
        <w:rPr/>
      </w:pPr>
      <w:r>
        <w:rPr/>
        <w:t xml:space="preserve">From the beginning of the power exchange, </w:t>
      </w:r>
      <w:hyperlink r:id="rId5">
        <w:r>
          <w:rPr>
            <w:rStyle w:val="Hyperlink"/>
            <w:color w:val="000000"/>
            <w:u w:val="none"/>
          </w:rPr>
          <w:t>Nord</w:t>
        </w:r>
        <w:r>
          <w:rPr>
            <w:rStyle w:val="Hyperlink"/>
            <w:color w:val="000000"/>
          </w:rPr>
          <w:t xml:space="preserve"> </w:t>
        </w:r>
        <w:r>
          <w:rPr>
            <w:rStyle w:val="Hyperlink"/>
            <w:color w:val="000000"/>
            <w:u w:val="none"/>
          </w:rPr>
          <w:t>Pool</w:t>
        </w:r>
      </w:hyperlink>
      <w:r>
        <w:rPr/>
        <w:t xml:space="preserve"> had the ambition of being the marketplace for spot and futures trading of electricity in Finland and Denmark.  It is the world's first multinational commodity exchange for electric power owned by the two national grid companies, Statnett SF in Norway (50%) and Svenska Kraftnät in Sweden (50%). </w:t>
      </w:r>
    </w:p>
    <w:p>
      <w:pPr>
        <w:pStyle w:val="Normal"/>
        <w:rPr/>
      </w:pPr>
      <w:r>
        <w:rPr/>
      </w:r>
    </w:p>
    <w:p>
      <w:pPr>
        <w:pStyle w:val="Heading1"/>
        <w:ind w:hanging="0" w:start="0"/>
        <w:rPr>
          <w:rFonts w:cs="Times New Roman"/>
          <w:sz w:val="24"/>
        </w:rPr>
      </w:pPr>
      <w:r>
        <w:rPr>
          <w:rFonts w:cs="Times New Roman"/>
          <w:sz w:val="24"/>
        </w:rPr>
        <w:t>Structure</w:t>
      </w:r>
    </w:p>
    <w:p>
      <w:pPr>
        <w:pStyle w:val="Normal"/>
        <w:rPr>
          <w:rFonts w:cs="Times New Roman"/>
          <w:sz w:val="24"/>
        </w:rPr>
      </w:pPr>
      <w:r>
        <w:rPr>
          <w:rFonts w:cs="Times New Roman"/>
          <w:sz w:val="24"/>
        </w:rPr>
      </w:r>
    </w:p>
    <w:p>
      <w:pPr>
        <w:pStyle w:val="Normal"/>
        <w:rPr/>
      </w:pPr>
      <w:r>
        <w:rPr/>
        <w:t>Even though the power exchange in Norway and the one in England and Wales (The Pool) were launched almost simultaneously, they were built up independently of each other and therefore have different structures.  Nord Pool has an hourly day ahead spot market and a futures market for financial contracts up to three years.  At the spot market, the balance price between supply and demand for the entire system is split into price areas where price differences reflect transmission constraints</w:t>
      </w:r>
      <w:r>
        <w:rPr>
          <w:rStyle w:val="FootnoteCharacters"/>
          <w:rStyle w:val="FootnoteReference"/>
        </w:rPr>
        <w:footnoteReference w:id="8"/>
      </w:r>
      <w:r>
        <w:rPr/>
        <w:t>.  Norway is divided into several price areas, while a single price for Sweden is operated by the Swedish Electricity Network Authority (Sensual Kraftnät) using a system of counter purchase in case of capacity constraints.  Finland has gradually become integrated into Nord Pool. The Danish utilities, Elsam and Elkraft, were trading on Nord Pool from the beginning, and from July 1999 the western part of Denmark was integrated in Nord Pool. The rest of Denmark (east of the Great Belt) is expected to become a price area during 2000.  The power exchange is a wholesale market.  In Norway, Sweden and Finland the retail market was opened for all electricity customers from the beginning.  In Denmark the retail market has opened gradually</w:t>
      </w:r>
      <w:r>
        <w:rPr>
          <w:rStyle w:val="FootnoteCharacters"/>
          <w:rStyle w:val="FootnoteReference"/>
        </w:rPr>
        <w:footnoteReference w:id="9"/>
      </w:r>
      <w:r>
        <w:rPr/>
        <w:t>.</w:t>
      </w:r>
    </w:p>
    <w:p>
      <w:pPr>
        <w:pStyle w:val="Heading1"/>
        <w:ind w:hanging="0" w:start="0"/>
        <w:rPr>
          <w:rFonts w:cs="Times New Roman"/>
          <w:sz w:val="24"/>
        </w:rPr>
      </w:pPr>
      <w:r>
        <w:rPr>
          <w:rFonts w:cs="Times New Roman"/>
          <w:sz w:val="24"/>
        </w:rPr>
      </w:r>
    </w:p>
    <w:p>
      <w:pPr>
        <w:pStyle w:val="Heading1"/>
        <w:ind w:hanging="0" w:start="0"/>
        <w:rPr>
          <w:rFonts w:cs="Times New Roman"/>
          <w:sz w:val="24"/>
        </w:rPr>
      </w:pPr>
      <w:r>
        <w:rPr>
          <w:rFonts w:cs="Times New Roman"/>
          <w:sz w:val="24"/>
        </w:rPr>
        <w:t>Physical market trade</w:t>
      </w:r>
    </w:p>
    <w:p>
      <w:pPr>
        <w:pStyle w:val="Normal"/>
        <w:rPr>
          <w:rFonts w:cs="Times New Roman"/>
          <w:sz w:val="24"/>
        </w:rPr>
      </w:pPr>
      <w:r>
        <w:rPr>
          <w:rFonts w:cs="Times New Roman"/>
          <w:sz w:val="24"/>
        </w:rPr>
      </w:r>
    </w:p>
    <w:p>
      <w:pPr>
        <w:pStyle w:val="Normal"/>
        <w:rPr/>
      </w:pPr>
      <w:r>
        <w:rPr/>
        <w:t xml:space="preserve">Norway has a regulating power market where supply and demand bids determine the price for regulation, i.e., supply of up-and down-regulation services are cleared against the need for these services in order to create a market balance. </w:t>
      </w:r>
    </w:p>
    <w:p>
      <w:pPr>
        <w:pStyle w:val="Normal"/>
        <w:rPr/>
      </w:pPr>
      <w:r>
        <w:rPr/>
      </w:r>
    </w:p>
    <w:p>
      <w:pPr>
        <w:pStyle w:val="Normal"/>
        <w:rPr>
          <w:color w:val="000000"/>
        </w:rPr>
      </w:pPr>
      <w:r>
        <w:rPr>
          <w:color w:val="000000"/>
        </w:rPr>
        <w:t>Elspot offers spot market trade in power contracts for next-day physical delivery.  Prices are determined through a double auction system for each hour in the day.  The Elspot system price is the reference price for settling financial power contracts traded in the Nordic market.</w:t>
      </w:r>
    </w:p>
    <w:p>
      <w:pPr>
        <w:pStyle w:val="Normal"/>
        <w:rPr>
          <w:color w:val="000000"/>
        </w:rPr>
      </w:pPr>
      <w:r>
        <w:rPr>
          <w:color w:val="000000"/>
        </w:rPr>
      </w:r>
    </w:p>
    <w:p>
      <w:pPr>
        <w:pStyle w:val="Normal"/>
        <w:rPr/>
      </w:pPr>
      <w:r>
        <w:rPr/>
        <w:t xml:space="preserve">The Spot Market (Elspot) is a contractual market where contracts are traded daily for delivery during the next 24-hour period, with full obligations to pay.  Financial Settlement may therefore be made immediately after the contract has been concluded, regardless of the measured power take-off (PTO) or delivery.  Elspot's price mechanism is used to regulate the flow of power where there are capacity restrictions in the Norwegian grid and between the various countries.  Thus, Elspot may be viewed as a combined energy and capacity market. Price calculation is based on the balance between bids and offers from all market participants.  This trading method is referred to as equilibrium point trading, auction trading, or simultaneous price setting. </w:t>
      </w:r>
    </w:p>
    <w:p>
      <w:pPr>
        <w:pStyle w:val="Normal"/>
        <w:rPr/>
      </w:pPr>
      <w:r>
        <w:rPr/>
      </w:r>
    </w:p>
    <w:p>
      <w:pPr>
        <w:pStyle w:val="Normal"/>
        <w:rPr/>
      </w:pPr>
      <w:r>
        <w:rPr/>
        <w:t xml:space="preserve">The Participants' collective bids and offers are grouped together in an offer curve (sale) and in a demand curve (purchase).  The trade price is set according to the balance price at the meeting point between offers and demand (the equilibrium point).  A system price is calculated at first based on the condition that there are no transmission restraints in the central grid. If the calculations show that the power flow between two or more bidding areas exceed capacity limits, two or more area prices (Po) are calculated.  The capacity fee in each price area is defined as the difference between the system price and the area price (capacity fee = Ps - Po). </w:t>
      </w:r>
    </w:p>
    <w:p>
      <w:pPr>
        <w:pStyle w:val="Normal"/>
        <w:rPr/>
      </w:pPr>
      <w:r>
        <w:rPr/>
      </w:r>
    </w:p>
    <w:p>
      <w:pPr>
        <w:pStyle w:val="Normal"/>
        <w:rPr/>
      </w:pPr>
      <w:r>
        <w:rPr/>
        <w:t>If the price calculation shows that the capacity between the bidding areas is not exceeded, there will be only one price area where the area price equals the system price and the capacity fee is zero. If the power flow between two areas exceeds grid capacity, the price in the surplus area is reduced (low-priced area) and increased in the deficit area (high-priced area).  This stimulates higher power purchases and lower sales in the surplus area and higher power sales and lower purchases in the deficit area.  In this way, market mechanisms are used to regulate the power flow down to capacity limits.</w:t>
      </w:r>
    </w:p>
    <w:p>
      <w:pPr>
        <w:pStyle w:val="Normal"/>
        <w:rPr/>
      </w:pPr>
      <w:r>
        <w:rPr/>
      </w:r>
    </w:p>
    <w:p>
      <w:pPr>
        <w:pStyle w:val="Normal"/>
        <w:rPr/>
      </w:pPr>
      <w:r>
        <w:rPr/>
        <w:t xml:space="preserve">The price signals for the Participants' planning are the area prices.  The area prices indicate the Participants' total costs and income for purchases and sales of energy as well as capacity. Settlement for energy is based on the system price.  Participants are also debited for their use of the transmission capacity in the following manner: </w:t>
      </w:r>
    </w:p>
    <w:p>
      <w:pPr>
        <w:pStyle w:val="Normal"/>
        <w:rPr/>
      </w:pPr>
      <w:r>
        <w:rPr/>
        <w:t>In the surplus area, the capacity fee is debited to the seller and credited to the buyer. In deficit areas the capacity fee is credited the seller and debited to the buyer. This means that those Participants who contribute to relieving bottlenecks in the grid will be credited with the capacity fee, whereas those Participants who burden the bottleneck will be debited with the capacity fee</w:t>
      </w:r>
      <w:r>
        <w:rPr>
          <w:rStyle w:val="FootnoteCharacters"/>
          <w:rStyle w:val="FootnoteReference"/>
        </w:rPr>
        <w:footnoteReference w:id="10"/>
      </w:r>
      <w:r>
        <w:rPr/>
        <w:t>.</w:t>
      </w:r>
    </w:p>
    <w:p>
      <w:pPr>
        <w:pStyle w:val="Normal"/>
        <w:rPr/>
      </w:pPr>
      <w:r>
        <w:rPr/>
        <w:t xml:space="preserve"> </w:t>
      </w:r>
    </w:p>
    <w:p>
      <w:pPr>
        <w:pStyle w:val="Normal"/>
        <w:rPr/>
      </w:pPr>
      <w:r>
        <w:rPr>
          <w:b/>
          <w:color w:val="000000"/>
        </w:rPr>
        <w:t>Elbas</w:t>
      </w:r>
      <w:r>
        <w:rPr>
          <w:color w:val="000000"/>
        </w:rPr>
        <w:t xml:space="preserve"> is a physical-delivery regulating power market for Sweden and Finland, where one-hour contracts are traded continuously between 00:00 and 18:00 every day.  The next day´s contracts are listed after Elspot is closed.  At Elbas, contracts may be traded up to two hours before delivery begins.</w:t>
        <w:br/>
      </w:r>
      <w:r>
        <w:rPr>
          <w:color w:val="008080"/>
        </w:rPr>
        <w:br/>
      </w:r>
      <w:r>
        <w:rPr>
          <w:b/>
          <w:color w:val="000000"/>
        </w:rPr>
        <w:t xml:space="preserve"> Eltermin </w:t>
      </w:r>
      <w:r>
        <w:rPr>
          <w:color w:val="000000"/>
        </w:rPr>
        <w:t>(futures and forward contracts) is a financial market for trading contracts used primarily for price hedging and risk management of trade in electric power.  Futures and forward contracts have a trading horizon of up to four years; different contract series cover days, weeks, blocks, seasons, and years.</w:t>
        <w:br/>
        <w:br/>
      </w:r>
      <w:r>
        <w:rPr>
          <w:b/>
          <w:color w:val="000000"/>
        </w:rPr>
        <w:t>Eloption</w:t>
      </w:r>
      <w:r>
        <w:rPr>
          <w:color w:val="000000"/>
        </w:rPr>
        <w:t xml:space="preserve"> (option contracts) are financial instruments for risk management and price hedging of future income and costs related to trade in electric power contracts. Nord Pool offers trade in European-style power options with forward contracts as their underlying instruments, and Asian-style power options, which are settled against the Elspot system price.</w:t>
        <w:br/>
      </w:r>
      <w:r>
        <w:rPr>
          <w:color w:val="008080"/>
        </w:rPr>
        <w:br/>
      </w:r>
      <w:r>
        <w:rPr>
          <w:b/>
          <w:color w:val="000000"/>
        </w:rPr>
        <w:t xml:space="preserve"> Elclearing</w:t>
      </w:r>
      <w:r>
        <w:rPr>
          <w:color w:val="000000"/>
        </w:rPr>
        <w:t xml:space="preserve"> (clearing) of power contracts through Nord Pool reduces financial counterparty risk, as Nord Pool enters into the contracts as a contractual counterparty. Nord Pool clears all contracts traded on the power exchange. In addition, Nord Pool clears standardized financial power contracts from the bilateral (OTC) market registered with Nord Pool for clearing</w:t>
      </w:r>
      <w:r>
        <w:rPr>
          <w:rStyle w:val="FootnoteCharacters"/>
          <w:rStyle w:val="FootnoteReference"/>
          <w:color w:val="000000"/>
        </w:rPr>
        <w:footnoteReference w:id="11"/>
      </w:r>
      <w:r>
        <w:rPr>
          <w:color w:val="000000"/>
        </w:rPr>
        <w:t>.</w:t>
      </w:r>
      <w:r>
        <w:rPr/>
        <w:t xml:space="preserve">   </w:t>
      </w:r>
    </w:p>
    <w:p>
      <w:pPr>
        <w:pStyle w:val="Normal"/>
        <w:rPr/>
      </w:pPr>
      <w:r>
        <w:rPr>
          <w:color w:val="000000"/>
        </w:rPr>
        <w:t>Elspot’s market share is approximately 23% of total power consumption in the Nordic countries. Nord Pool’s financial market has a market share approaching 25% of the total traded volume of standardized contracts. The market growth in the financial market in 1999 was about 20-25%. Continued market growth is projected. Growth in Nordic power consumption is estimated at some 3% annually</w:t>
      </w:r>
      <w:r>
        <w:rPr>
          <w:rStyle w:val="FootnoteCharacters"/>
          <w:rStyle w:val="FootnoteReference"/>
          <w:color w:val="000000"/>
        </w:rPr>
        <w:footnoteReference w:id="12"/>
      </w:r>
      <w:r>
        <w:rPr>
          <w:color w:val="000000"/>
        </w:rPr>
        <w:t>.</w:t>
      </w:r>
    </w:p>
    <w:p>
      <w:pPr>
        <w:pStyle w:val="Normal"/>
        <w:rPr>
          <w:color w:val="000000"/>
        </w:rPr>
      </w:pPr>
      <w:r>
        <w:rPr>
          <w:color w:val="000000"/>
        </w:rPr>
      </w:r>
    </w:p>
    <w:p>
      <w:pPr>
        <w:pStyle w:val="Normal"/>
        <w:rPr>
          <w:color w:val="000000"/>
        </w:rPr>
      </w:pPr>
      <w:r>
        <w:rPr>
          <w:color w:val="000000"/>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r>
    </w:p>
    <w:p>
      <w:pPr>
        <w:pStyle w:val="Heading2"/>
        <w:ind w:hanging="0" w:start="0"/>
        <w:rPr/>
      </w:pPr>
      <w:r>
        <w:rPr/>
        <w:t>The New England Power Market</w:t>
      </w:r>
    </w:p>
    <w:p>
      <w:pPr>
        <w:pStyle w:val="Heading4"/>
        <w:ind w:hanging="0" w:start="0"/>
        <w:rPr/>
      </w:pPr>
      <w:r>
        <w:rPr/>
      </w:r>
    </w:p>
    <w:p>
      <w:pPr>
        <w:pStyle w:val="Heading4"/>
        <w:ind w:hanging="0" w:start="0"/>
        <w:rPr/>
      </w:pPr>
      <w:r>
        <w:rPr/>
      </w:r>
    </w:p>
    <w:p>
      <w:pPr>
        <w:pStyle w:val="Heading4"/>
        <w:ind w:hanging="0" w:start="0"/>
        <w:rPr/>
      </w:pPr>
      <w:r>
        <w:rPr/>
        <w:t>Background</w:t>
      </w:r>
    </w:p>
    <w:p>
      <w:pPr>
        <w:pStyle w:val="Normal"/>
        <w:rPr/>
      </w:pPr>
      <w:r>
        <w:rPr/>
      </w:r>
    </w:p>
    <w:p>
      <w:pPr>
        <w:pStyle w:val="Normal"/>
        <w:rPr/>
      </w:pPr>
      <w:r>
        <w:rPr/>
        <w:t>The New England Power Pool (NEPOOL) is a collection of traditional electric utilities and electricity wholesalers operating under a joint-agreement to a set of self-established rules and procedures. The goal of NEPOOL is to operate the region’s bulk power systems, ensure a reliable electricity supply to the region’s load assets, and provide a fair and competitive market to the region’s electricity wholesalers.  NEPOOL in conjunction with the FERC’s approval established the New England ISO.  New England’s ISO, or Independent System Operator, was established on July 1, 1997 as a non-profit corporation requiring federal approval but acting independently of federal control.  It is responsible for managing New England’s electric bulk power generation and transmission reservation systems (the power grid), administering the region’s open access transmission tariff, and administering the region’s wholesale electricity marketplace.  This marketplace is the forum in which the centralized bidding exchange takes place, generators are chosen to supply power to the region, and prices for six electricity products are set.</w:t>
      </w:r>
    </w:p>
    <w:p>
      <w:pPr>
        <w:pStyle w:val="Normal"/>
        <w:rPr/>
      </w:pPr>
      <w:r>
        <w:rPr/>
      </w:r>
    </w:p>
    <w:p>
      <w:pPr>
        <w:pStyle w:val="Normal"/>
        <w:rPr/>
      </w:pPr>
      <w:r>
        <w:rPr/>
        <w:t>The benefits of having an independently operated and non-profit organization responsible for the region’s power grid and bidding process are that it acts first in the interest of the public consumers and it provides a fair arena for competition among the region’s power producers.</w:t>
      </w:r>
    </w:p>
    <w:p>
      <w:pPr>
        <w:pStyle w:val="Normal"/>
        <w:rPr/>
      </w:pPr>
      <w:r>
        <w:rPr/>
      </w:r>
    </w:p>
    <w:p>
      <w:pPr>
        <w:pStyle w:val="Heading4"/>
        <w:ind w:hanging="0" w:start="0"/>
        <w:rPr/>
      </w:pPr>
      <w:r>
        <w:rPr/>
        <w:t>Structure</w:t>
      </w:r>
    </w:p>
    <w:p>
      <w:pPr>
        <w:pStyle w:val="Normal"/>
        <w:rPr/>
      </w:pPr>
      <w:r>
        <w:rPr/>
      </w:r>
    </w:p>
    <w:p>
      <w:pPr>
        <w:pStyle w:val="Normal"/>
        <w:rPr/>
      </w:pPr>
      <w:r>
        <w:rPr/>
        <w:t>In the wholesale electricity exchange power producers submit bids to supply power, generators are chosen according to those bids and the ECP, or Energy Clearing Price is set.  The exchange, or clearinghouse, operates online, and each of the regions’ power producers tender supply and demand bid curves for the day-ahead and hour-ahead energy markets (price per megawatt at a specified capacity) by 12:00 PM the preceding day.  Bids for Saturday, Sunday, and Monday must be submitted by noon on Friday.  For each of the day’s 24 hours, the ISO selects bids according to ascending price and sums their corresponding power outputs until the region’s load demand is met.  At the intersection of the aggregated demand and supply curves the ECP is set and all accepted bids at or below this point are paid the ECP.  Although each market participant may have a different strategy for its respective bidding process, the bids typically reflect the increasing cost of generation as a plant’s incremental heat rate, or efficiency, falls off.  However, a participant’s bidding strategy may also reflect its forecast of financial market conditions.  It should be noted that generators are not required to submit bids that fully cover their cost of generation nor that increase as output increases.  A common example is submitting bids for the weekend (when demand is low) that do not cover the cost of generation because it would cost more to turn the plant off and back on and/or take too long to start it back up when the weekend is over, thereby missing a profitable opportunity Monday morning during peak demand hours.  Prices for the ancillary power products are similarly set.</w:t>
      </w:r>
    </w:p>
    <w:p>
      <w:pPr>
        <w:pStyle w:val="Normal"/>
        <w:ind w:firstLine="720" w:end="0"/>
        <w:rPr/>
      </w:pPr>
      <w:r>
        <w:rPr/>
      </w:r>
    </w:p>
    <w:p>
      <w:pPr>
        <w:pStyle w:val="Normal"/>
        <w:rPr/>
      </w:pPr>
      <w:r>
        <w:rPr>
          <w:b/>
        </w:rPr>
        <w:t>Conclusion</w:t>
      </w:r>
      <w:r>
        <w:rPr/>
        <w:t xml:space="preserve"> </w:t>
      </w:r>
    </w:p>
    <w:p>
      <w:pPr>
        <w:pStyle w:val="Normal"/>
        <w:rPr/>
      </w:pPr>
      <w:r>
        <w:rPr/>
      </w:r>
    </w:p>
    <w:p>
      <w:pPr>
        <w:pStyle w:val="Normal"/>
        <w:rPr/>
      </w:pPr>
      <w:r>
        <w:rPr/>
        <w:t>Several issues are of major concern to NEPOOL and the NE ISO that are currently either being implemented or debated.</w:t>
      </w:r>
    </w:p>
    <w:p>
      <w:pPr>
        <w:pStyle w:val="Normal"/>
        <w:rPr/>
      </w:pPr>
      <w:r>
        <w:rPr/>
      </w:r>
    </w:p>
    <w:p>
      <w:pPr>
        <w:pStyle w:val="Normal"/>
        <w:rPr/>
      </w:pPr>
      <w:r>
        <w:rPr/>
        <w:t>A price cap of $250 per MWh has been implemented in New England.  The ISO recently implemented the price cap in response to higher-than-expected power prices in the region and parallels similar moves by other ISOs, such as the California ISO.  Although easy and expedient, many market participants view this controversial action as contrary to achieving a fair and competitive marketplace as well as only a temporary, stopgap measure to alleviate high power prices.  Among market participants, the most widely accepted alternative solution to inflated power prices is to increase the amount of generation capacity serving a region.  This solution stems from a simple analysis of supply and demand – as the supply curve shifts to the right the resulting prices shift down.  This solution entails large capital expenditures from generators and overcoming legislative obstacles to bring new plants online.  Several other problems result from the implementation of price caps, as well, such as the stranded costs to producers and possible losses to energy wholesalers that may be forced to buy power at costs higher than $250 MWh and sell it at a loss.  Price cap implementation, although a simple and easy solution, is being hotly contested in many regions across the country.</w:t>
      </w:r>
    </w:p>
    <w:p>
      <w:pPr>
        <w:pStyle w:val="Normal"/>
        <w:rPr/>
      </w:pPr>
      <w:r>
        <w:rPr/>
      </w:r>
    </w:p>
    <w:p>
      <w:pPr>
        <w:pStyle w:val="Normal"/>
        <w:rPr/>
      </w:pPr>
      <w:r>
        <w:rPr/>
        <w:t>The Congestion Management System (CMS) will redefine the payment method for uplift and congestion in New England from region-wide to individual location zones.  Energy and transmission uplift represent approximately $9 million and $16 million per month, respectively.  Before, when uplift was necessary or when congestion occurred anywhere in the ISO’s region, payment was made to specific suppliers when they were able to meet the increased demand, or payment was made to the ISO from suppliers who were not able to meet their capacity as per their bid.  The ISO has now divided the New England region into different location zones and uplift and congestion is now determined separately within each zone, rather than region-wide.  All obligations of generators and other energy resources will be priced at the node where the resource is connected to the system.  This will result in higher prices for places like Boston, which has high demand and limited transmission lines into the area, and conversely lower prices for the rest of New England.  This action more fairly represents electricity costs for regional consumers.  To manage the risks and costs associated with congestion, the CMS introduces the concept of financial congestion rights (FCRs), which entitle the holder to payments equal to the congestion costs associated with a particular energy transaction and thus act as a hedge against those costs.</w:t>
      </w:r>
    </w:p>
    <w:p>
      <w:pPr>
        <w:pStyle w:val="Normal"/>
        <w:rPr/>
      </w:pPr>
      <w:r>
        <w:rPr/>
      </w:r>
    </w:p>
    <w:p>
      <w:pPr>
        <w:pStyle w:val="Normal"/>
        <w:rPr/>
      </w:pPr>
      <w:r>
        <w:rPr/>
        <w:t>New England’s Multi-Settlement System (MSS) will move from a single day-ahead market to a multi-settlement market of day-ahead prices and real-time (often referred to as hour-ahead) prices that reflect changes from the previously bid day-ahead schedule to the real-time physical dispatch of energy to/from the system.</w:t>
      </w:r>
    </w:p>
    <w:p>
      <w:pPr>
        <w:pStyle w:val="Normal"/>
        <w:rPr/>
      </w:pPr>
      <w:r>
        <w:rPr/>
      </w:r>
    </w:p>
    <w:p>
      <w:pPr>
        <w:pStyle w:val="Heading1"/>
        <w:ind w:hanging="0" w:start="0"/>
        <w:jc w:val="center"/>
        <w:rPr>
          <w:rFonts w:cs="Times New Roman"/>
          <w:sz w:val="28"/>
        </w:rPr>
      </w:pPr>
      <w:r>
        <w:rPr>
          <w:rFonts w:cs="Times New Roman"/>
          <w:sz w:val="28"/>
        </w:rPr>
      </w:r>
    </w:p>
    <w:p>
      <w:pPr>
        <w:pStyle w:val="Heading1"/>
        <w:ind w:hanging="0" w:start="0"/>
        <w:jc w:val="center"/>
        <w:rPr>
          <w:rFonts w:cs="Times New Roman"/>
          <w:sz w:val="28"/>
        </w:rPr>
      </w:pPr>
      <w:r>
        <w:rPr>
          <w:rFonts w:cs="Times New Roman"/>
          <w:sz w:val="28"/>
        </w:rPr>
        <w:t>The Pennsylvania-New Jersey-Maryland Power Market</w:t>
      </w:r>
    </w:p>
    <w:p>
      <w:pPr>
        <w:pStyle w:val="Normal"/>
        <w:rPr>
          <w:rFonts w:cs="Times New Roman"/>
          <w:sz w:val="28"/>
        </w:rPr>
      </w:pPr>
      <w:r>
        <w:rPr>
          <w:rFonts w:cs="Times New Roman"/>
          <w:sz w:val="28"/>
        </w:rPr>
      </w:r>
    </w:p>
    <w:p>
      <w:pPr>
        <w:pStyle w:val="Heading4"/>
        <w:ind w:hanging="0" w:start="0"/>
        <w:rPr/>
      </w:pPr>
      <w:r>
        <w:rPr/>
      </w:r>
    </w:p>
    <w:p>
      <w:pPr>
        <w:pStyle w:val="Heading4"/>
        <w:ind w:hanging="0" w:start="0"/>
        <w:rPr/>
      </w:pPr>
      <w:r>
        <w:rPr/>
        <w:t>Background</w:t>
      </w:r>
    </w:p>
    <w:p>
      <w:pPr>
        <w:pStyle w:val="Normal"/>
        <w:rPr/>
      </w:pPr>
      <w:r>
        <w:rPr/>
      </w:r>
    </w:p>
    <w:p>
      <w:pPr>
        <w:pStyle w:val="Normal"/>
        <w:rPr/>
      </w:pPr>
      <w:r>
        <w:rPr/>
        <w:t>The Pennsylvania, New Jersey, Maryland Power Exchange (PJM) is often referred to as the model structure for the operation of electricity markets.  Originally part of the Mid-Atlantic Area Council (MAAC) NERC region, it has had a centrally dispatched pool for many years, but was transformed into an independent system operator (ISO) in 1998</w:t>
      </w:r>
      <w:r>
        <w:rPr>
          <w:rStyle w:val="FootnoteCharacters"/>
          <w:rStyle w:val="FootnoteReference"/>
        </w:rPr>
        <w:footnoteReference w:id="13"/>
      </w:r>
      <w:r>
        <w:rPr/>
        <w:t>.  The chief mission of PJM since 1927 was to maintain the safety, adequacy and reliability of the power generated by its eight governing utilities – all regulated and predictable.  But four years ago, it was forced to adapt to a multitude of changes that have transformed the organization into an independent entity and a model for what a deregulated competitive power market can be</w:t>
      </w:r>
      <w:r>
        <w:rPr>
          <w:rStyle w:val="FootnoteCharacters"/>
          <w:rStyle w:val="FootnoteReference"/>
        </w:rPr>
        <w:footnoteReference w:id="14"/>
      </w:r>
      <w:r>
        <w:rPr/>
        <w:t xml:space="preserve">.  </w:t>
      </w:r>
    </w:p>
    <w:p>
      <w:pPr>
        <w:pStyle w:val="BodyText"/>
        <w:rPr>
          <w:sz w:val="24"/>
        </w:rPr>
      </w:pPr>
      <w:r>
        <w:rPr>
          <w:sz w:val="24"/>
        </w:rPr>
      </w:r>
    </w:p>
    <w:p>
      <w:pPr>
        <w:pStyle w:val="BodyText"/>
        <w:rPr>
          <w:sz w:val="24"/>
        </w:rPr>
      </w:pPr>
      <w:r>
        <w:rPr>
          <w:sz w:val="24"/>
        </w:rPr>
        <w:t xml:space="preserve">Today, PJM services five states (Pennsylvania, New Jersey, Maryland, Delaware, northern Virginia) and Washington, D.C.  It is the largest power grid operator in North America, handling about 8% of the nation’s power needs with a pooled generating capacity that has reached more than 56,000 megawatts.  </w:t>
      </w:r>
    </w:p>
    <w:p>
      <w:pPr>
        <w:pStyle w:val="BodyText"/>
        <w:rPr/>
      </w:pPr>
      <w:r>
        <w:rPr>
          <w:sz w:val="24"/>
        </w:rPr>
        <w:t>Transmission capacities allow PJM to exchange approximately 8,700 megawatts of power with ECAR, VACAR and New York.  Ten companies account for 89% of PJM’s generating capacity.  Since it was established three years ago, consumers in Pennsylvania alone have saved $3 billion on their electricity bills</w:t>
      </w:r>
      <w:r>
        <w:rPr>
          <w:rStyle w:val="FootnoteCharacters"/>
          <w:rStyle w:val="FootnoteReference"/>
          <w:sz w:val="24"/>
        </w:rPr>
        <w:footnoteReference w:id="15"/>
      </w:r>
      <w:r>
        <w:rPr>
          <w:sz w:val="24"/>
        </w:rPr>
        <w:t>.  PJM’s success to date can be attributed to a variety of factors, not the least of which is the slower growth in demand for electricity in the Mid-Atlantic region than in the west.  But much of its success can be attributed to the careful thought placed in the design of the power pool.</w:t>
      </w:r>
      <w:r>
        <mc:AlternateContent>
          <mc:Choice Requires="wps">
            <w:drawing>
              <wp:anchor behindDoc="0" distT="0" distB="0" distL="114300" distR="0" simplePos="0" locked="0" layoutInCell="0" allowOverlap="1" relativeHeight="2">
                <wp:simplePos x="0" y="0"/>
                <wp:positionH relativeFrom="column">
                  <wp:align>right</wp:align>
                </wp:positionH>
                <wp:positionV relativeFrom="paragraph">
                  <wp:posOffset>635</wp:posOffset>
                </wp:positionV>
                <wp:extent cx="2854960" cy="2348230"/>
                <wp:effectExtent l="0" t="0" r="0" b="0"/>
                <wp:wrapSquare wrapText="bothSides"/>
                <wp:docPr id="2" name="Frame1"/>
                <a:graphic xmlns:a="http://schemas.openxmlformats.org/drawingml/2006/main">
                  <a:graphicData uri="http://schemas.microsoft.com/office/word/2010/wordprocessingShape">
                    <wps:wsp>
                      <wps:cNvSpPr txBox="1"/>
                      <wps:spPr>
                        <a:xfrm>
                          <a:off x="0" y="0"/>
                          <a:ext cx="2854960" cy="2348230"/>
                        </a:xfrm>
                        <a:prstGeom prst="rect"/>
                        <a:solidFill>
                          <a:srgbClr val="FFFFFF">
                            <a:alpha val="0"/>
                          </a:srgbClr>
                        </a:solidFill>
                      </wps:spPr>
                      <wps:txbx>
                        <w:txbxContent>
                          <w:tbl>
                            <w:tblPr>
                              <w:tblW w:w="5000" w:type="pct"/>
                              <w:jc w:val="start"/>
                              <w:tblInd w:w="108" w:type="dxa"/>
                              <w:tblLayout w:type="fixed"/>
                              <w:tblCellMar>
                                <w:top w:w="0" w:type="dxa"/>
                                <w:start w:w="108" w:type="dxa"/>
                                <w:bottom w:w="0" w:type="dxa"/>
                                <w:end w:w="108" w:type="dxa"/>
                              </w:tblCellMar>
                            </w:tblPr>
                            <w:tblGrid>
                              <w:gridCol w:w="1976"/>
                              <w:gridCol w:w="1317"/>
                              <w:gridCol w:w="1203"/>
                            </w:tblGrid>
                            <w:tr>
                              <w:trPr/>
                              <w:tc>
                                <w:tcPr>
                                  <w:tcW w:w="4496" w:type="dxa"/>
                                  <w:gridSpan w:val="3"/>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color w:val="FF0000"/>
                                    </w:rPr>
                                  </w:pPr>
                                  <w:r>
                                    <w:rPr>
                                      <w:b/>
                                      <w:i/>
                                      <w:color w:val="FF0000"/>
                                    </w:rPr>
                                    <w:t>World’s Largest Centrally</w:t>
                                  </w:r>
                                </w:p>
                                <w:p>
                                  <w:pPr>
                                    <w:pStyle w:val="Normal"/>
                                    <w:autoSpaceDE w:val="false"/>
                                    <w:jc w:val="center"/>
                                    <w:rPr>
                                      <w:b/>
                                      <w:i/>
                                      <w:i/>
                                      <w:color w:val="FF0000"/>
                                    </w:rPr>
                                  </w:pPr>
                                  <w:r>
                                    <w:rPr>
                                      <w:b/>
                                      <w:i/>
                                      <w:color w:val="FF0000"/>
                                    </w:rPr>
                                    <w:t>Dispatched Entities</w:t>
                                  </w:r>
                                </w:p>
                                <w:p>
                                  <w:pPr>
                                    <w:pStyle w:val="Normal"/>
                                    <w:autoSpaceDE w:val="false"/>
                                    <w:jc w:val="center"/>
                                    <w:rPr>
                                      <w:b/>
                                      <w:i/>
                                      <w:i/>
                                      <w:color w:val="000000"/>
                                    </w:rPr>
                                  </w:pPr>
                                  <w:r>
                                    <w:rPr>
                                      <w:b/>
                                      <w:i/>
                                      <w:color w:val="000000"/>
                                    </w:rPr>
                                    <w:t>Estimated Load (MW)</w:t>
                                  </w:r>
                                </w:p>
                                <w:p>
                                  <w:pPr>
                                    <w:pStyle w:val="Normal"/>
                                    <w:autoSpaceDE w:val="false"/>
                                    <w:jc w:val="center"/>
                                    <w:rPr>
                                      <w:b/>
                                      <w:i/>
                                      <w:i/>
                                      <w:color w:val="FF0000"/>
                                    </w:rPr>
                                  </w:pPr>
                                  <w:r>
                                    <w:rPr>
                                      <w:b/>
                                      <w:i/>
                                      <w:color w:val="000000"/>
                                    </w:rPr>
                                    <w:t>Last Updated 10/11/00</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b/>
                                      <w:i/>
                                      <w:i/>
                                      <w:color w:val="000080"/>
                                    </w:rPr>
                                  </w:pPr>
                                  <w:r>
                                    <w:rPr>
                                      <w:b/>
                                      <w:i/>
                                      <w:color w:val="000080"/>
                                    </w:rPr>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color w:val="FF0000"/>
                                    </w:rPr>
                                  </w:pPr>
                                  <w:r>
                                    <w:rPr>
                                      <w:b/>
                                      <w:color w:val="000000"/>
                                    </w:rPr>
                                    <w:t>Peak Load</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color w:val="FF0000"/>
                                    </w:rPr>
                                  </w:pPr>
                                  <w:r>
                                    <w:rPr>
                                      <w:b/>
                                      <w:color w:val="000000"/>
                                    </w:rPr>
                                    <w:t># of Units</w:t>
                                  </w:r>
                                </w:p>
                              </w:tc>
                            </w:tr>
                            <w:tr>
                              <w:trPr>
                                <w:trHeight w:val="197" w:hRule="atLeast"/>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France (EDF)</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pPr>
                                  <w:r>
                                    <w:rPr/>
                                    <w:t>72,400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608</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Tokyo Electric</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57,600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147</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PJM</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51,700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540</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England</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49,700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212</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California ISO</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45,000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1,300</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Italy</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41,300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314</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 xml:space="preserve">New York ISO </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30,311</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455</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 xml:space="preserve">New England ISO </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22,523</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330</w:t>
                                  </w:r>
                                </w:p>
                              </w:tc>
                            </w:tr>
                          </w:tbl>
                        </w:txbxContent>
                      </wps:txbx>
                      <wps:bodyPr anchor="t" lIns="0" tIns="0" rIns="0" bIns="0">
                        <a:noAutofit/>
                      </wps:bodyPr>
                    </wps:wsp>
                  </a:graphicData>
                </a:graphic>
              </wp:anchor>
            </w:drawing>
          </mc:Choice>
          <mc:Fallback>
            <w:pict>
              <v:rect fillcolor="#FFFFFF" style="position:absolute;rotation:-0;width:224.8pt;height:184.9pt;mso-wrap-distance-left:9pt;mso-wrap-distance-right:0pt;mso-wrap-distance-top:0pt;mso-wrap-distance-bottom:0pt;margin-top:0.05pt;mso-position-vertical-relative:text;margin-left:207.2pt;mso-position-horizontal:right;mso-position-horizontal-relative:text">
                <v:fill opacity="0f"/>
                <v:textbox inset="0in,0in,0in,0in">
                  <w:txbxContent>
                    <w:tbl>
                      <w:tblPr>
                        <w:tblW w:w="5000" w:type="pct"/>
                        <w:jc w:val="start"/>
                        <w:tblInd w:w="108" w:type="dxa"/>
                        <w:tblLayout w:type="fixed"/>
                        <w:tblCellMar>
                          <w:top w:w="0" w:type="dxa"/>
                          <w:start w:w="108" w:type="dxa"/>
                          <w:bottom w:w="0" w:type="dxa"/>
                          <w:end w:w="108" w:type="dxa"/>
                        </w:tblCellMar>
                      </w:tblPr>
                      <w:tblGrid>
                        <w:gridCol w:w="1976"/>
                        <w:gridCol w:w="1317"/>
                        <w:gridCol w:w="1203"/>
                      </w:tblGrid>
                      <w:tr>
                        <w:trPr/>
                        <w:tc>
                          <w:tcPr>
                            <w:tcW w:w="4496" w:type="dxa"/>
                            <w:gridSpan w:val="3"/>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color w:val="FF0000"/>
                              </w:rPr>
                            </w:pPr>
                            <w:r>
                              <w:rPr>
                                <w:b/>
                                <w:i/>
                                <w:color w:val="FF0000"/>
                              </w:rPr>
                              <w:t>World’s Largest Centrally</w:t>
                            </w:r>
                          </w:p>
                          <w:p>
                            <w:pPr>
                              <w:pStyle w:val="Normal"/>
                              <w:autoSpaceDE w:val="false"/>
                              <w:jc w:val="center"/>
                              <w:rPr>
                                <w:b/>
                                <w:i/>
                                <w:i/>
                                <w:color w:val="FF0000"/>
                              </w:rPr>
                            </w:pPr>
                            <w:r>
                              <w:rPr>
                                <w:b/>
                                <w:i/>
                                <w:color w:val="FF0000"/>
                              </w:rPr>
                              <w:t>Dispatched Entities</w:t>
                            </w:r>
                          </w:p>
                          <w:p>
                            <w:pPr>
                              <w:pStyle w:val="Normal"/>
                              <w:autoSpaceDE w:val="false"/>
                              <w:jc w:val="center"/>
                              <w:rPr>
                                <w:b/>
                                <w:i/>
                                <w:i/>
                                <w:color w:val="000000"/>
                              </w:rPr>
                            </w:pPr>
                            <w:r>
                              <w:rPr>
                                <w:b/>
                                <w:i/>
                                <w:color w:val="000000"/>
                              </w:rPr>
                              <w:t>Estimated Load (MW)</w:t>
                            </w:r>
                          </w:p>
                          <w:p>
                            <w:pPr>
                              <w:pStyle w:val="Normal"/>
                              <w:autoSpaceDE w:val="false"/>
                              <w:jc w:val="center"/>
                              <w:rPr>
                                <w:b/>
                                <w:i/>
                                <w:i/>
                                <w:color w:val="FF0000"/>
                              </w:rPr>
                            </w:pPr>
                            <w:r>
                              <w:rPr>
                                <w:b/>
                                <w:i/>
                                <w:color w:val="000000"/>
                              </w:rPr>
                              <w:t>Last Updated 10/11/00</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snapToGrid w:val="false"/>
                              <w:jc w:val="center"/>
                              <w:rPr>
                                <w:b/>
                                <w:i/>
                                <w:i/>
                                <w:color w:val="000080"/>
                              </w:rPr>
                            </w:pPr>
                            <w:r>
                              <w:rPr>
                                <w:b/>
                                <w:i/>
                                <w:color w:val="000080"/>
                              </w:rPr>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color w:val="FF0000"/>
                              </w:rPr>
                            </w:pPr>
                            <w:r>
                              <w:rPr>
                                <w:b/>
                                <w:color w:val="000000"/>
                              </w:rPr>
                              <w:t>Peak Load</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color w:val="FF0000"/>
                              </w:rPr>
                            </w:pPr>
                            <w:r>
                              <w:rPr>
                                <w:b/>
                                <w:color w:val="000000"/>
                              </w:rPr>
                              <w:t># of Units</w:t>
                            </w:r>
                          </w:p>
                        </w:tc>
                      </w:tr>
                      <w:tr>
                        <w:trPr>
                          <w:trHeight w:val="197" w:hRule="atLeast"/>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France (EDF)</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pPr>
                            <w:r>
                              <w:rPr/>
                              <w:t>72,400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608</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Tokyo Electric</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57,600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147</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PJM</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51,700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540</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England</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49,700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212</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California ISO</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45,000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1,300</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Italy</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41,300</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314</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 xml:space="preserve">New York ISO </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30,311</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455</w:t>
                            </w:r>
                          </w:p>
                        </w:tc>
                      </w:tr>
                      <w:tr>
                        <w:trPr/>
                        <w:tc>
                          <w:tcPr>
                            <w:tcW w:w="1976" w:type="dxa"/>
                            <w:tcBorders>
                              <w:top w:val="single" w:sz="4" w:space="0" w:color="000000"/>
                              <w:start w:val="single" w:sz="4" w:space="0" w:color="000000"/>
                              <w:bottom w:val="single" w:sz="4" w:space="0" w:color="000000"/>
                              <w:end w:val="single" w:sz="4" w:space="0" w:color="000000"/>
                            </w:tcBorders>
                          </w:tcPr>
                          <w:p>
                            <w:pPr>
                              <w:pStyle w:val="Normal"/>
                              <w:autoSpaceDE w:val="false"/>
                              <w:rPr>
                                <w:b/>
                                <w:i/>
                                <w:i/>
                                <w:color w:val="FF0000"/>
                              </w:rPr>
                            </w:pPr>
                            <w:r>
                              <w:rPr>
                                <w:color w:val="000080"/>
                              </w:rPr>
                              <w:t xml:space="preserve">New England ISO </w:t>
                            </w:r>
                          </w:p>
                        </w:tc>
                        <w:tc>
                          <w:tcPr>
                            <w:tcW w:w="1317"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22,523</w:t>
                            </w:r>
                          </w:p>
                        </w:tc>
                        <w:tc>
                          <w:tcPr>
                            <w:tcW w:w="1203" w:type="dxa"/>
                            <w:tcBorders>
                              <w:top w:val="single" w:sz="4" w:space="0" w:color="000000"/>
                              <w:start w:val="single" w:sz="4" w:space="0" w:color="000000"/>
                              <w:bottom w:val="single" w:sz="4" w:space="0" w:color="000000"/>
                              <w:end w:val="single" w:sz="4" w:space="0" w:color="000000"/>
                            </w:tcBorders>
                          </w:tcPr>
                          <w:p>
                            <w:pPr>
                              <w:pStyle w:val="Normal"/>
                              <w:autoSpaceDE w:val="false"/>
                              <w:jc w:val="center"/>
                              <w:rPr>
                                <w:b/>
                                <w:i/>
                                <w:i/>
                              </w:rPr>
                            </w:pPr>
                            <w:r>
                              <w:rPr>
                                <w:b/>
                                <w:i/>
                              </w:rPr>
                              <w:t>330</w:t>
                            </w:r>
                          </w:p>
                        </w:tc>
                      </w:tr>
                    </w:tbl>
                  </w:txbxContent>
                </v:textbox>
                <w10:wrap type="square"/>
              </v:rect>
            </w:pict>
          </mc:Fallback>
        </mc:AlternateContent>
      </w:r>
    </w:p>
    <w:p>
      <w:pPr>
        <w:pStyle w:val="BodyText"/>
        <w:rPr>
          <w:b/>
          <w:sz w:val="24"/>
        </w:rPr>
      </w:pPr>
      <w:r>
        <w:rPr>
          <w:b/>
          <w:sz w:val="24"/>
        </w:rPr>
      </w:r>
    </w:p>
    <w:p>
      <w:pPr>
        <w:pStyle w:val="BodyText"/>
        <w:rPr>
          <w:b/>
          <w:sz w:val="24"/>
        </w:rPr>
      </w:pPr>
      <w:r>
        <w:rPr>
          <w:b/>
          <w:sz w:val="24"/>
        </w:rPr>
      </w:r>
    </w:p>
    <w:p>
      <w:pPr>
        <w:pStyle w:val="BodyText"/>
        <w:rPr>
          <w:b/>
          <w:sz w:val="24"/>
        </w:rPr>
      </w:pPr>
      <w:r>
        <w:rPr>
          <w:b/>
          <w:sz w:val="24"/>
        </w:rPr>
        <w:t>Structure</w:t>
      </w:r>
    </w:p>
    <w:p>
      <w:pPr>
        <w:pStyle w:val="BodyText"/>
        <w:rPr>
          <w:b/>
          <w:sz w:val="24"/>
        </w:rPr>
      </w:pPr>
      <w:r>
        <w:rPr>
          <w:b/>
          <w:sz w:val="24"/>
        </w:rPr>
      </w:r>
    </w:p>
    <w:p>
      <w:pPr>
        <w:pStyle w:val="BodyText"/>
        <w:rPr/>
      </w:pPr>
      <w:r>
        <w:rPr>
          <w:sz w:val="24"/>
        </w:rPr>
        <w:t>The first and one of the most important elements of the PJM power pool is that the utilities were allowed to hold on to their power plants or enter into long-term contracts with generating companies enabling the utilities to protect themselves from wild price swings.  Some 80% of the power supplied over PJM’s grid is either self-generated or provided through long-term contracts</w:t>
      </w:r>
      <w:r>
        <w:rPr>
          <w:rStyle w:val="FootnoteCharacters"/>
          <w:rStyle w:val="FootnoteReference"/>
          <w:sz w:val="24"/>
        </w:rPr>
        <w:footnoteReference w:id="16"/>
      </w:r>
      <w:r>
        <w:rPr>
          <w:sz w:val="24"/>
        </w:rPr>
        <w:t>.  The PJM market structure is focused on the development and reporting of the spot price and is centered around a central market maker and system operator (PJM) that receives bids from all generators and produces an efficient scheduling mechanism on a 5 minute by 5 minute basis.  This results in a process that calculates 5 minute location marginal costs or prices for each of the better than 2000 electrical nodes under the control of the PJM operator.  To sell or purchase energy in PJM requires only that the seller receive the location price at the point of delivery to the grid and the buyer pay the price at the point of withdrawal from the grid.  The difference between the location cost at the point of delivery and that at the point of withdrawal represents the marginal cost/value of transmission.  In this manner, even bilateral contracts, for which the PJM operator does not know the price of energy, can be charged the marginal cost for the transmission.</w:t>
      </w:r>
      <w:r>
        <w:rPr>
          <w:rStyle w:val="FootnoteCharacters"/>
          <w:rStyle w:val="FootnoteReference"/>
          <w:sz w:val="24"/>
        </w:rPr>
        <w:footnoteReference w:id="17"/>
      </w:r>
      <w:r>
        <w:rPr>
          <w:sz w:val="24"/>
        </w:rPr>
        <w:t xml:space="preserve"> Over 200 power suppliers and purchasers submit bids and offers over the internet, receiving updates on price trends every seven seconds.  This competition helps to keep prices down.  Additionally, power suppliers are required to have enough capacity to cover all their current demand plus a 19% reserve.  For this requirement, PJM allows power generators to charge special fees for delivering electricity to areas where demand threatens to surpass transmission capacity</w:t>
      </w:r>
      <w:r>
        <w:rPr>
          <w:rStyle w:val="FootnoteCharacters"/>
          <w:rStyle w:val="FootnoteReference"/>
          <w:sz w:val="24"/>
        </w:rPr>
        <w:footnoteReference w:id="18"/>
      </w:r>
      <w:r>
        <w:rPr>
          <w:sz w:val="24"/>
        </w:rPr>
        <w:t>.  PJM uses a two-settlement system to calculate location marginal prices and to schedule power delivery.</w:t>
      </w:r>
    </w:p>
    <w:p>
      <w:pPr>
        <w:pStyle w:val="BodyText"/>
        <w:rPr>
          <w:sz w:val="24"/>
        </w:rPr>
      </w:pPr>
      <w:r>
        <w:rPr>
          <w:sz w:val="24"/>
        </w:rPr>
      </w:r>
    </w:p>
    <w:p>
      <w:pPr>
        <w:pStyle w:val="BodyText"/>
        <w:rPr>
          <w:sz w:val="24"/>
        </w:rPr>
      </w:pPr>
      <w:r>
        <w:rPr>
          <w:sz w:val="24"/>
        </w:rPr>
        <w:t>The Two-Settlement system consists of two markets, a day-ahead market and a real-time balancing market.  The Day-ahead Market is a forward market in which hourly clearing prices are calculated for each hour of the next operating day based on generation offers, demand bids Increment offers, Decrement bids and bilateral transaction schedules submitted into the Day-ahead Market.  The balancing market is the real-time energy market in which the clearing prices are calculated every five minutes based on the actual system operations security-constrained economic dispatch . Separate accounting settlements are performed for each market, the day-ahead market settlement is based on scheduled hourly quantities and on day-ahead hourly prices, the balancing settlement is based on actual hourly (integrated) quantity deviations from day-ahead scheduled quantities and on real-time prices integrated over the hour.  The day-ahead price calculations and the balancing (real-time) price calculations are based on the concept of Locational Marginal Pricing.</w:t>
      </w:r>
    </w:p>
    <w:p>
      <w:pPr>
        <w:pStyle w:val="Normal"/>
        <w:rPr>
          <w:rFonts w:eastAsia="Arial Unicode MS"/>
          <w:sz w:val="24"/>
        </w:rPr>
      </w:pPr>
      <w:r>
        <w:rPr>
          <w:rFonts w:eastAsia="Arial Unicode MS"/>
          <w:sz w:val="24"/>
        </w:rPr>
      </w:r>
    </w:p>
    <w:p>
      <w:pPr>
        <w:pStyle w:val="Normal"/>
        <w:rPr/>
      </w:pPr>
      <w:r>
        <w:rPr/>
        <w:t>The Day-ahead Market enables participants to purchase and sell energy at binding day-ahead prices.  It also allows transmission customers to schedule bilateral transactions at binding day-ahead congestion charges based on the differences in LMPs between the transaction source and sink.  Load Serving Entities (LSEs) may submit hourly demand schedules, including any price sensitive demand, for the amount of demand that they wish to lock-in at day-ahead prices.  Any generator that is a PJM designated capacity resource must submit a bid schedule into the day-ahead market even if it is self-scheduled or unavailable due to outage.  Other generators have the option to bid into the day-ahead market.  Transmission customers may submit fixed, dispatchable or 'up to' congestion bid bilateral transaction schedules into the day-ahead market and may specify whether they are willing to pay congestion charges or wish to be curtailed if congestion occurs in the Real-time Market.  All spot purchases and sales in the day-ahead market are settled at the day-ahead prices.  After the daily quote period closes, the PJM ISO will calculate the day-ahead schedule based on the bids, offers and schedules submitted, using scheduling programs based on least-cost, security constrained unit commitment and dispatch for each hour of the next operating day.  The day-ahead scheduling process will incorporate PJM reliability requirements and reserve obligations into the analysis.  The resulting Day-ahead hourly schedules and Day-ahead LMPs represent binding financial commitments to the Market Participants.  Fixed Transmission Rights (FTRs) are accounted for at the Day-ahead LMP values).</w:t>
      </w:r>
    </w:p>
    <w:p>
      <w:pPr>
        <w:pStyle w:val="Normal"/>
        <w:rPr/>
      </w:pPr>
      <w:r>
        <w:rPr/>
      </w:r>
    </w:p>
    <w:p>
      <w:pPr>
        <w:pStyle w:val="Normal"/>
        <w:rPr/>
      </w:pPr>
      <w:r>
        <w:rPr/>
        <w:t>The Real-time Energy Market is based on actual real-time operations.  Generators that are designated PJM capacity resources that are available but not selected in the day-ahead scheduling may alter their bids for use in the Real-time Energy Market during the Generation Re-bidding Period from 4:00 PM to 6:00 PM (otherwise the original bids remain in effect for the balancing market). Real-time LMPs are calculated based on actual system operating conditions as described by the PJM state estimator. LSEs will pay Real-time LMPs for any demand that exceeds their day-ahead scheduled quantities (and will receive revenue for demand deviations below their scheduled quantities).  Generators are paid Real-time LMPs for any generation that exceeds their day-ahead scheduled quantities (and will pay for generation deviations below their scheduled quantities).  Transmission customers pay congestion charges based on Real-time LMPs for bilateral transaction quantity deviations from day-ahead schedules.  All spot purchases and sales in the balancing market are settled at the Real-time LMPs</w:t>
      </w:r>
      <w:r>
        <w:rPr>
          <w:rStyle w:val="FootnoteCharacters"/>
          <w:rStyle w:val="FootnoteReference"/>
        </w:rPr>
        <w:footnoteReference w:id="19"/>
      </w:r>
      <w:r>
        <w:rPr/>
        <w:t>.</w:t>
      </w:r>
    </w:p>
    <w:p>
      <w:pPr>
        <w:pStyle w:val="BodyText"/>
        <w:rPr>
          <w:sz w:val="24"/>
        </w:rPr>
      </w:pPr>
      <w:r>
        <w:rPr>
          <w:sz w:val="24"/>
        </w:rPr>
      </w:r>
    </w:p>
    <w:p>
      <w:pPr>
        <w:pStyle w:val="BodyText"/>
        <w:rPr/>
      </w:pPr>
      <w:r>
        <w:rPr>
          <w:sz w:val="24"/>
        </w:rPr>
        <w:t>To protect against price volatility and to provide a delivery hedge, a complex system of financial transmission rights was established by which transmission users could acquire a financial right (Fixed Transmission Right, FTR) to the revenues generated charging the difference between the point of injection and the point of withdrawal.  FTRs represent a highly significant element of the procedures within PJM</w:t>
      </w:r>
      <w:r>
        <w:rPr>
          <w:rStyle w:val="FootnoteCharacters"/>
          <w:rStyle w:val="FootnoteReference"/>
          <w:sz w:val="24"/>
        </w:rPr>
        <w:footnoteReference w:id="20"/>
      </w:r>
      <w:r>
        <w:rPr>
          <w:sz w:val="24"/>
        </w:rPr>
        <w:t>.  To maintain a reliable and secure electric system, PJM monitors, evaluates and coordinates the operation of over 8,000 miles of high-voltage transmission lines</w:t>
      </w:r>
      <w:r>
        <w:rPr>
          <w:rStyle w:val="FootnoteCharacters"/>
          <w:rStyle w:val="FootnoteReference"/>
          <w:sz w:val="24"/>
        </w:rPr>
        <w:footnoteReference w:id="21"/>
      </w:r>
      <w:r>
        <w:rPr>
          <w:sz w:val="24"/>
        </w:rPr>
        <w:t>.</w:t>
      </w:r>
    </w:p>
    <w:p>
      <w:pPr>
        <w:pStyle w:val="BodyText"/>
        <w:rPr>
          <w:sz w:val="24"/>
        </w:rPr>
      </w:pPr>
      <w:r>
        <w:rPr>
          <w:sz w:val="24"/>
        </w:rPr>
      </w:r>
    </w:p>
    <w:p>
      <w:pPr>
        <w:pStyle w:val="BodyText"/>
        <w:rPr>
          <w:sz w:val="24"/>
        </w:rPr>
      </w:pPr>
      <w:r>
        <w:rPr>
          <w:sz w:val="24"/>
        </w:rPr>
        <w:t>In addition to the system described above, it was recognized when the market was initiated that 2000 nodes would not provide for any liquidity in the market.  Consequently, two “trading hubs” were created with a calculated price in each hub that was the unweighted average of a predetermined set of nodes throughout the system, PJM West and PJM East.  This created the most liquid market in North America in PJM West but a stagnant market in PJM East.</w:t>
      </w:r>
    </w:p>
    <w:p>
      <w:pPr>
        <w:pStyle w:val="BodyText"/>
        <w:rPr>
          <w:b/>
          <w:sz w:val="24"/>
        </w:rPr>
      </w:pPr>
      <w:r>
        <w:rPr>
          <w:b/>
          <w:sz w:val="24"/>
        </w:rPr>
      </w:r>
    </w:p>
    <w:p>
      <w:pPr>
        <w:pStyle w:val="BodyText"/>
        <w:rPr>
          <w:sz w:val="24"/>
        </w:rPr>
      </w:pPr>
      <w:r>
        <w:rPr>
          <w:sz w:val="24"/>
        </w:rPr>
        <w:t xml:space="preserve">Although, PJM is viewed largely as a success for deregulation, it is not without critics.  </w:t>
      </w:r>
    </w:p>
    <w:p>
      <w:pPr>
        <w:pStyle w:val="BodyText"/>
        <w:rPr>
          <w:sz w:val="24"/>
        </w:rPr>
      </w:pPr>
      <w:r>
        <w:rPr>
          <w:sz w:val="24"/>
        </w:rPr>
      </w:r>
    </w:p>
    <w:p>
      <w:pPr>
        <w:pStyle w:val="BodyText"/>
        <w:rPr>
          <w:sz w:val="24"/>
        </w:rPr>
      </w:pPr>
      <w:r>
        <w:rPr>
          <w:sz w:val="24"/>
        </w:rPr>
      </w:r>
    </w:p>
    <w:p>
      <w:pPr>
        <w:pStyle w:val="Heading1"/>
        <w:ind w:hanging="0" w:start="0"/>
        <w:jc w:val="center"/>
        <w:rPr>
          <w:rFonts w:cs="Times New Roman"/>
          <w:sz w:val="28"/>
        </w:rPr>
      </w:pPr>
      <w:r>
        <w:rPr>
          <w:rFonts w:cs="Times New Roman"/>
          <w:sz w:val="28"/>
        </w:rPr>
        <w:t>California Power Market</w:t>
      </w:r>
    </w:p>
    <w:p>
      <w:pPr>
        <w:pStyle w:val="Normal"/>
        <w:ind w:firstLine="720" w:end="0"/>
        <w:rPr>
          <w:rFonts w:cs="Times New Roman"/>
          <w:sz w:val="28"/>
        </w:rPr>
      </w:pPr>
      <w:r>
        <w:rPr>
          <w:rFonts w:cs="Times New Roman"/>
          <w:sz w:val="28"/>
        </w:rPr>
      </w:r>
    </w:p>
    <w:p>
      <w:pPr>
        <w:pStyle w:val="Heading4"/>
        <w:ind w:hanging="0" w:start="0"/>
        <w:rPr/>
      </w:pPr>
      <w:r>
        <w:rPr/>
        <w:t>Background</w:t>
      </w:r>
    </w:p>
    <w:p>
      <w:pPr>
        <w:pStyle w:val="Normal"/>
        <w:ind w:firstLine="720" w:end="0"/>
        <w:rPr/>
      </w:pPr>
      <w:r>
        <w:rPr/>
      </w:r>
    </w:p>
    <w:p>
      <w:pPr>
        <w:pStyle w:val="Normal"/>
        <w:rPr/>
      </w:pPr>
      <w:r>
        <w:rPr/>
        <w:t>In December 1995, the California Public Utilities Commission (“CPUC”) adopted a plan to restructure California’s electricity generation market and allow Californians to choose their electric company.</w:t>
      </w:r>
      <w:r>
        <w:rPr>
          <w:rStyle w:val="FootnoteCharacters"/>
          <w:rStyle w:val="FootnoteReference"/>
        </w:rPr>
        <w:footnoteReference w:id="22"/>
      </w:r>
      <w:r>
        <w:rPr/>
        <w:t xml:space="preserve">  The reason given for deregulation, or “restructuring” as the state called it, was to increase competition in the market and thereby reduce the high price of electricity in California.</w:t>
      </w:r>
      <w:r>
        <w:rPr>
          <w:rStyle w:val="FootnoteCharacters"/>
          <w:rStyle w:val="FootnoteReference"/>
        </w:rPr>
        <w:footnoteReference w:id="23"/>
      </w:r>
      <w:r>
        <w:rPr/>
        <w:t xml:space="preserve">  For 1998, the year in which deregulation began, Californians paid on average twenty-six percent more per kilowatt-hour for their electricity than the nation, and forty-six and fifty-six percent more than their respective Pacific coast neighbors, Oregon and Washington.</w:t>
      </w:r>
      <w:r>
        <w:rPr>
          <w:rStyle w:val="FootnoteCharacters"/>
          <w:rStyle w:val="FootnoteReference"/>
        </w:rPr>
        <w:footnoteReference w:id="24"/>
      </w:r>
    </w:p>
    <w:p>
      <w:pPr>
        <w:pStyle w:val="Normal"/>
        <w:ind w:firstLine="720" w:end="0"/>
        <w:rPr/>
      </w:pPr>
      <w:r>
        <w:rPr/>
      </w:r>
    </w:p>
    <w:p>
      <w:pPr>
        <w:pStyle w:val="Heading4"/>
        <w:ind w:hanging="0" w:start="0"/>
        <w:rPr/>
      </w:pPr>
      <w:r>
        <w:rPr/>
        <w:t>Structure</w:t>
      </w:r>
    </w:p>
    <w:p>
      <w:pPr>
        <w:pStyle w:val="Normal"/>
        <w:rPr>
          <w:b/>
        </w:rPr>
      </w:pPr>
      <w:r>
        <w:rPr>
          <w:b/>
        </w:rPr>
      </w:r>
    </w:p>
    <w:p>
      <w:pPr>
        <w:pStyle w:val="Normal"/>
        <w:rPr/>
      </w:pPr>
      <w:r>
        <w:rPr/>
        <w:t>The CPUC’s plan established an Independent System Operator (“ISO”) to control and operate the transmission of electricity across the state.</w:t>
      </w:r>
      <w:r>
        <w:rPr>
          <w:rStyle w:val="FootnoteCharacters"/>
          <w:rStyle w:val="FootnoteReference"/>
        </w:rPr>
        <w:footnoteReference w:id="25"/>
      </w:r>
      <w:r>
        <w:rPr/>
        <w:t xml:space="preserve">  The California ISO essentially “manage[s] generation, ensure[s] reliability, and schedule[s] power transactions that buyers and sellers wished to make independent of conditions in the . . . market.”</w:t>
      </w:r>
      <w:r>
        <w:rPr>
          <w:rStyle w:val="FootnoteCharacters"/>
          <w:rStyle w:val="FootnoteReference"/>
        </w:rPr>
        <w:footnoteReference w:id="26"/>
      </w:r>
      <w:r>
        <w:rPr/>
        <w:t xml:space="preserve">  The CPUC plan further established the California Power Exchange (the “Power Exchange”).  The Power Exchange provides sellers and buyers of electricity a transparent means by which to sell and purchase electricity using hourly or half-hourly prices.</w:t>
      </w:r>
      <w:r>
        <w:rPr>
          <w:rStyle w:val="FootnoteCharacters"/>
          <w:rStyle w:val="FootnoteReference"/>
        </w:rPr>
        <w:footnoteReference w:id="27"/>
      </w:r>
      <w:r>
        <w:rPr/>
        <w:t xml:space="preserve">  The plan called for the ISO and the Power Exchange to remain independent from the electricity generators, including the state’s three major utilities; Pacific Gas and Electric (“PG&amp;E”), Southern California Edison (“Edison”), and San Diego Gas and Electric Company; and also independent of each other.</w:t>
      </w:r>
      <w:r>
        <w:rPr>
          <w:rStyle w:val="FootnoteCharacters"/>
          <w:rStyle w:val="FootnoteReference"/>
        </w:rPr>
        <w:footnoteReference w:id="28"/>
      </w:r>
      <w:r>
        <w:rPr/>
        <w:t xml:space="preserve">  The state legislature unanimously adopted the CPUC’s plan to deregulate and create these two new entities on the last day of the 1996 legislative session in Assembly Bill 1890.</w:t>
      </w:r>
      <w:r>
        <w:rPr>
          <w:rStyle w:val="FootnoteCharacters"/>
          <w:rStyle w:val="FootnoteReference"/>
        </w:rPr>
        <w:footnoteReference w:id="29"/>
      </w:r>
    </w:p>
    <w:p>
      <w:pPr>
        <w:pStyle w:val="Normal"/>
        <w:ind w:firstLine="720" w:end="0"/>
        <w:rPr/>
      </w:pPr>
      <w:r>
        <w:rPr/>
      </w:r>
    </w:p>
    <w:p>
      <w:pPr>
        <w:pStyle w:val="Normal"/>
        <w:rPr/>
      </w:pPr>
      <w:r>
        <w:rPr/>
        <w:t>This law contained several provisions affecting the major utilities that would have a significant impact on the current situation.  First, the utilities had to sell the majority of their generating capacity to other producers.</w:t>
      </w:r>
      <w:r>
        <w:rPr>
          <w:rStyle w:val="FootnoteCharacters"/>
          <w:rStyle w:val="FootnoteReference"/>
        </w:rPr>
        <w:footnoteReference w:id="30"/>
      </w:r>
      <w:r>
        <w:rPr/>
        <w:t xml:space="preserve">  At the time of the legislation, California possessed a surplus of generating capacity, and it believed that by forcing its utilities to sell their generating assets to other companies, it would increase competition and consequently lower prices.</w:t>
      </w:r>
      <w:r>
        <w:rPr>
          <w:rStyle w:val="FootnoteCharacters"/>
          <w:rStyle w:val="FootnoteReference"/>
        </w:rPr>
        <w:footnoteReference w:id="31"/>
      </w:r>
      <w:r>
        <w:rPr/>
        <w:t xml:space="preserve">  Unregulated independent power producers (“IPPs”), such as Reliant Energy and Dynegy purchased the majority of these generating assets.</w:t>
      </w:r>
      <w:r>
        <w:rPr>
          <w:rStyle w:val="FootnoteCharacters"/>
          <w:rStyle w:val="FootnoteReference"/>
        </w:rPr>
        <w:footnoteReference w:id="32"/>
      </w:r>
      <w:r>
        <w:rPr/>
        <w:t xml:space="preserve">  The state required the utilities to use the money they received from the sale of these assets, some $3 billion, to pay their stranded costs on nuclear facilities and other older facilities.</w:t>
      </w:r>
      <w:r>
        <w:rPr>
          <w:rStyle w:val="FootnoteCharacters"/>
          <w:rStyle w:val="FootnoteReference"/>
        </w:rPr>
        <w:footnoteReference w:id="33"/>
      </w:r>
    </w:p>
    <w:p>
      <w:pPr>
        <w:pStyle w:val="Normal"/>
        <w:ind w:firstLine="720" w:end="0"/>
        <w:rPr/>
      </w:pPr>
      <w:r>
        <w:rPr/>
        <w:t xml:space="preserve">  </w:t>
      </w:r>
    </w:p>
    <w:p>
      <w:pPr>
        <w:pStyle w:val="Normal"/>
        <w:rPr/>
      </w:pPr>
      <w:r>
        <w:rPr/>
        <w:t>Next, the utilities had to sell the majority of the electricity they generated, and buy the majority of electricity they purchased, through the Power Exchange at unregulated, wholesale prices.</w:t>
      </w:r>
      <w:r>
        <w:rPr>
          <w:rStyle w:val="FootnoteCharacters"/>
          <w:rStyle w:val="FootnoteReference"/>
        </w:rPr>
        <w:footnoteReference w:id="34"/>
      </w:r>
      <w:r>
        <w:rPr/>
        <w:t xml:space="preserve">  While the divestiture of the utilities’ assets created a need for the purchase of power, this requirement presumably guaranteed a certain amount of liquidity to the Power Exchange to assure its viability as a marketplace.  This limitation also prevented the utilities from purchasing power on the forward or futures markets.</w:t>
      </w:r>
      <w:r>
        <w:rPr>
          <w:rStyle w:val="FootnoteCharacters"/>
          <w:rStyle w:val="FootnoteReference"/>
        </w:rPr>
        <w:footnoteReference w:id="35"/>
      </w:r>
      <w:r>
        <w:rPr/>
        <w:t xml:space="preserve">  Again, the IPPs faced no such requirement or restriction, and they could purchase or sell their power wherever they wanted at whatever price they could obtain.</w:t>
      </w:r>
      <w:r>
        <w:rPr>
          <w:rStyle w:val="FootnoteCharacters"/>
          <w:rStyle w:val="FootnoteReference"/>
        </w:rPr>
        <w:footnoteReference w:id="36"/>
      </w:r>
    </w:p>
    <w:p>
      <w:pPr>
        <w:pStyle w:val="Normal"/>
        <w:ind w:firstLine="720" w:end="0"/>
        <w:rPr/>
      </w:pPr>
      <w:r>
        <w:rPr/>
      </w:r>
    </w:p>
    <w:p>
      <w:pPr>
        <w:pStyle w:val="Normal"/>
        <w:rPr/>
      </w:pPr>
      <w:r>
        <w:rPr/>
        <w:t>Finally, although the state required the utilities to purchase electricity at unregulated wholesale prices, it prohibited the utilities from passing on the costs of the electricity they purchased through the Power Exchange to their customers.</w:t>
      </w:r>
      <w:r>
        <w:rPr>
          <w:rStyle w:val="FootnoteCharacters"/>
          <w:rStyle w:val="FootnoteReference"/>
        </w:rPr>
        <w:footnoteReference w:id="37"/>
      </w:r>
      <w:r>
        <w:rPr/>
        <w:t xml:space="preserve">  The state’s deregulation law required utilities to decrease by ten percent the rates paid by their residential electricity customers, and to freeze all of their customers’ rates from 1998 until March 2002.</w:t>
      </w:r>
      <w:r>
        <w:rPr>
          <w:rStyle w:val="FootnoteCharacters"/>
          <w:rStyle w:val="FootnoteReference"/>
        </w:rPr>
        <w:footnoteReference w:id="38"/>
      </w:r>
      <w:r>
        <w:rPr/>
        <w:t xml:space="preserve">  The state set the price caps that the utilities could charge its customers at a level that it believed would provide the utilities a reasonable rate of return.</w:t>
      </w:r>
      <w:r>
        <w:rPr>
          <w:rStyle w:val="FootnoteCharacters"/>
          <w:rStyle w:val="FootnoteReference"/>
        </w:rPr>
        <w:footnoteReference w:id="39"/>
      </w:r>
      <w:r>
        <w:rPr/>
        <w:t xml:space="preserve">  It should be remembered that the state set the caps in light of the generating capacity surplus that existed when it enacted deregulation.  Such price caps, however, removed any incentive for the utilities’ customers, residential or business, to reduce their power consumption when wholesale electricity prices rose.</w:t>
      </w:r>
      <w:r>
        <w:rPr>
          <w:rStyle w:val="FootnoteCharacters"/>
          <w:rStyle w:val="FootnoteReference"/>
        </w:rPr>
        <w:footnoteReference w:id="40"/>
      </w:r>
      <w:r>
        <w:rPr/>
        <w:t>As with the other restrictions applied to the utilities, IPPs remained immune to these price caps and could sell their electricity at whatever price they could obtain.</w:t>
      </w:r>
      <w:r>
        <w:rPr>
          <w:rStyle w:val="FootnoteCharacters"/>
          <w:rStyle w:val="FootnoteReference"/>
        </w:rPr>
        <w:footnoteReference w:id="41"/>
      </w:r>
    </w:p>
    <w:p>
      <w:pPr>
        <w:pStyle w:val="Normal"/>
        <w:rPr/>
      </w:pPr>
      <w:r>
        <w:rPr/>
      </w:r>
    </w:p>
    <w:p>
      <w:pPr>
        <w:pStyle w:val="Heading4"/>
        <w:ind w:hanging="0" w:start="0"/>
        <w:rPr/>
      </w:pPr>
      <w:r>
        <w:rPr/>
        <w:t>Challenges</w:t>
      </w:r>
    </w:p>
    <w:p>
      <w:pPr>
        <w:pStyle w:val="Normal"/>
        <w:rPr>
          <w:b/>
        </w:rPr>
      </w:pPr>
      <w:r>
        <w:rPr>
          <w:b/>
        </w:rPr>
      </w:r>
    </w:p>
    <w:p>
      <w:pPr>
        <w:pStyle w:val="Normal"/>
        <w:rPr/>
      </w:pPr>
      <w:r>
        <w:rPr/>
        <w:t>The restrictions and disincentives created by California’s deregulation legislation combined with several unforeseen, but not improbable events created the current electricity crisis in which California now finds itself.  First, the surplus electrical generating capacity quickly evaporated.</w:t>
      </w:r>
      <w:r>
        <w:rPr>
          <w:rStyle w:val="FootnoteCharacters"/>
          <w:rStyle w:val="FootnoteReference"/>
        </w:rPr>
        <w:footnoteReference w:id="42"/>
      </w:r>
      <w:r>
        <w:rPr/>
        <w:t xml:space="preserve">  During the 1990s, California’s electrical energy generating facilities grew at a compound annual growth rate of approximately one percent.</w:t>
      </w:r>
      <w:r>
        <w:rPr>
          <w:rStyle w:val="FootnoteCharacters"/>
          <w:rStyle w:val="FootnoteReference"/>
        </w:rPr>
        <w:footnoteReference w:id="43"/>
      </w:r>
      <w:r>
        <w:rPr/>
        <w:t xml:space="preserve">  The state’s population, meanwhile, grew at a compound annual growth rate of approximately one-and-a-half percent.</w:t>
      </w:r>
      <w:r>
        <w:rPr>
          <w:rStyle w:val="FootnoteCharacters"/>
          <w:rStyle w:val="FootnoteReference"/>
        </w:rPr>
        <w:footnoteReference w:id="44"/>
      </w:r>
      <w:r>
        <w:rPr/>
        <w:t xml:space="preserve">  From 1998 to 1999, the electrical generating capacity actually decreased while the population grew more than 1.6%.</w:t>
      </w:r>
      <w:r>
        <w:rPr>
          <w:rStyle w:val="FootnoteCharacters"/>
          <w:rStyle w:val="FootnoteReference"/>
        </w:rPr>
        <w:footnoteReference w:id="45"/>
      </w:r>
      <w:r>
        <w:rPr/>
        <w:t xml:space="preserve"> In high growth areas such as Silicon Valley, demand for electricity has grown at three times the state rate, or almost five percent per year.</w:t>
      </w:r>
      <w:r>
        <w:rPr>
          <w:rStyle w:val="FootnoteCharacters"/>
          <w:rStyle w:val="FootnoteReference"/>
        </w:rPr>
        <w:footnoteReference w:id="46"/>
      </w:r>
      <w:r>
        <w:rPr/>
        <w:t xml:space="preserve">  California’s tough environmental restrictions, the pre-existing surplus generating capacity, and the utilities’ divestiture of assets has resulted in no significant electric generating additions for twelve years.</w:t>
      </w:r>
      <w:r>
        <w:rPr>
          <w:rStyle w:val="FootnoteCharacters"/>
          <w:rStyle w:val="FootnoteReference"/>
        </w:rPr>
        <w:footnoteReference w:id="47"/>
      </w:r>
    </w:p>
    <w:p>
      <w:pPr>
        <w:pStyle w:val="Normal"/>
        <w:ind w:firstLine="720" w:end="0"/>
        <w:rPr/>
      </w:pPr>
      <w:r>
        <w:rPr/>
      </w:r>
    </w:p>
    <w:p>
      <w:pPr>
        <w:pStyle w:val="Normal"/>
        <w:rPr/>
      </w:pPr>
      <w:r>
        <w:rPr/>
        <w:t>The price caps on consumers’ purchase of electricity have increasingly, if indirectly, exacerbated the supply problem by not allowing price increases caused by rising wholesale prices to be passed on to consumers and cause a subsequent diminishment of their demand.</w:t>
      </w:r>
      <w:r>
        <w:rPr>
          <w:rStyle w:val="FootnoteCharacters"/>
          <w:rStyle w:val="FootnoteReference"/>
        </w:rPr>
        <w:footnoteReference w:id="48"/>
      </w:r>
      <w:r>
        <w:rPr/>
        <w:t xml:space="preserve">  The price caps of 6.4 cents per kilowatt-hour worked adequately when prices averaged approximately 3.5 cents per kilowatt hour, as in 1999, but recently prices on the Power Exchange have averaged approximately 30 cents per kilowatt hour.</w:t>
      </w:r>
      <w:r>
        <w:rPr>
          <w:rStyle w:val="FootnoteCharacters"/>
          <w:rStyle w:val="FootnoteReference"/>
        </w:rPr>
        <w:footnoteReference w:id="49"/>
      </w:r>
      <w:r>
        <w:rPr/>
        <w:t xml:space="preserve">  Deregulation’s requirement that utilities purchase their electricity on the unregulated wholesale market and prohibition against their entering long-term contracts, has led to the utilities paying the extremely high one-day spot price on the Power Exchange.  The shrinking electricity supplies have made this price as high as one dollar per kilowatt hour.</w:t>
      </w:r>
      <w:r>
        <w:rPr>
          <w:rStyle w:val="FootnoteCharacters"/>
          <w:rStyle w:val="FootnoteReference"/>
        </w:rPr>
        <w:footnoteReference w:id="50"/>
      </w:r>
      <w:r>
        <w:rPr/>
        <w:t xml:space="preserve">  This discrepancy between the prices that the utilities have had to pay in the unregulated wholesale market and the prices that the consumers have had to pay utilities in the regulated retail market has resulted in the utilities amassing a $12 billion operating deficit since last spring.</w:t>
      </w:r>
      <w:r>
        <w:rPr>
          <w:rStyle w:val="FootnoteCharacters"/>
          <w:rStyle w:val="FootnoteReference"/>
        </w:rPr>
        <w:footnoteReference w:id="51"/>
      </w:r>
      <w:r>
        <w:rPr/>
        <w:t xml:space="preserve">  In five days in June 2000, the utilities lost $1.4 billion on electricity purchases they had to make on the Power Exchange.</w:t>
      </w:r>
      <w:r>
        <w:rPr>
          <w:rStyle w:val="FootnoteCharacters"/>
          <w:rStyle w:val="FootnoteReference"/>
        </w:rPr>
        <w:footnoteReference w:id="52"/>
      </w:r>
    </w:p>
    <w:p>
      <w:pPr>
        <w:pStyle w:val="Normal"/>
        <w:ind w:firstLine="720" w:end="0"/>
        <w:rPr/>
      </w:pPr>
      <w:r>
        <w:rPr/>
      </w:r>
    </w:p>
    <w:p>
      <w:pPr>
        <w:pStyle w:val="Normal"/>
        <w:rPr/>
      </w:pPr>
      <w:r>
        <w:rPr/>
        <w:t>Finally, an unusually hot summer in 2000 and an unusually dry winter have respectively combined to further spike demand from consumers and inhibit supply to producers.</w:t>
      </w:r>
      <w:r>
        <w:rPr>
          <w:rStyle w:val="FootnoteCharacters"/>
          <w:rStyle w:val="FootnoteReference"/>
        </w:rPr>
        <w:footnoteReference w:id="53"/>
      </w:r>
      <w:r>
        <w:rPr/>
        <w:t xml:space="preserve">  The hot summer forced electricity generators to run their plants continuously during this period, as consumer demand for electricity rose, and consequently, some plants had to shut down for maintenance in the fall, and others had to cease operations due to state emissions standards and a relative dearth of pollution credits.</w:t>
      </w:r>
      <w:r>
        <w:rPr>
          <w:rStyle w:val="FootnoteCharacters"/>
          <w:rStyle w:val="FootnoteReference"/>
        </w:rPr>
        <w:footnoteReference w:id="54"/>
      </w:r>
      <w:r>
        <w:rPr/>
        <w:t xml:space="preserve">  Additionally, the relatively dry winter in the Pacific Northwest has deprived California of both the normal hydroelectric power that it produces in its northern region and the normal hydroelectric power it receives from the Pacific Northwest.</w:t>
      </w:r>
      <w:r>
        <w:rPr>
          <w:rStyle w:val="FootnoteCharacters"/>
          <w:rStyle w:val="FootnoteReference"/>
        </w:rPr>
        <w:footnoteReference w:id="55"/>
      </w:r>
      <w:r>
        <w:rPr/>
        <w:t xml:space="preserve">  </w:t>
      </w:r>
    </w:p>
    <w:p>
      <w:pPr>
        <w:pStyle w:val="Normal"/>
        <w:ind w:firstLine="720" w:end="0"/>
        <w:rPr/>
      </w:pPr>
      <w:r>
        <w:rPr/>
      </w:r>
    </w:p>
    <w:p>
      <w:pPr>
        <w:pStyle w:val="Normal"/>
        <w:rPr/>
      </w:pPr>
      <w:r>
        <w:rPr/>
        <w:t>These demand increases and supply shortages caused the rapid rise of spot prices on the Power Exchange.</w:t>
      </w:r>
      <w:r>
        <w:rPr>
          <w:rStyle w:val="FootnoteCharacters"/>
          <w:rStyle w:val="FootnoteReference"/>
        </w:rPr>
        <w:footnoteReference w:id="56"/>
      </w:r>
      <w:r>
        <w:rPr/>
        <w:t xml:space="preserve">  The difference in December, the latest month for which numbers are available, is that general high prices replaced and worsened the problems caused by periodic price spikes in previous months.</w:t>
      </w:r>
      <w:r>
        <w:rPr>
          <w:rStyle w:val="FootnoteCharacters"/>
          <w:rStyle w:val="FootnoteReference"/>
        </w:rPr>
        <w:footnoteReference w:id="57"/>
      </w:r>
      <w:r>
        <w:rPr/>
        <w:t xml:space="preserve">  As January and February have seen more than twenty days of Stage Three Emergencies, compared to December’s one day, it can be surmised that the high price environment has persisted.  </w:t>
      </w:r>
    </w:p>
    <w:p>
      <w:pPr>
        <w:pStyle w:val="Normal"/>
        <w:ind w:firstLine="720" w:end="0"/>
        <w:rPr/>
      </w:pPr>
      <w:r>
        <w:rPr/>
      </w:r>
    </w:p>
    <w:p>
      <w:pPr>
        <w:pStyle w:val="Normal"/>
        <w:rPr/>
      </w:pPr>
      <w:r>
        <w:rPr/>
        <w:t>The ISO, in the meantime, intended originally to purchase power only as a last resort, has regularly had to enter the market to purchase power to fulfill up to thirty percent of the state’s electricity demand.</w:t>
      </w:r>
      <w:r>
        <w:rPr>
          <w:rStyle w:val="FootnoteCharacters"/>
          <w:rStyle w:val="FootnoteReference"/>
        </w:rPr>
        <w:footnoteReference w:id="58"/>
      </w:r>
      <w:r>
        <w:rPr/>
        <w:t xml:space="preserve">  The ISO’s goal of ensuring electricity supply to consumers, and its ability to pass on the costs of the electricity to the utilities, has worsened the burden on the utilities.</w:t>
      </w:r>
      <w:r>
        <w:rPr>
          <w:rStyle w:val="FootnoteCharacters"/>
          <w:rStyle w:val="FootnoteReference"/>
        </w:rPr>
        <w:footnoteReference w:id="59"/>
      </w:r>
      <w:r>
        <w:rPr/>
        <w:t xml:space="preserve">  The ISO concedes that its employees are not trained as arbitrageurs, as traders for many IPPs are, and that in pursuing its goal of insuring sufficient electricity supply it has likely paid prices far in excess of the cost to the generators.</w:t>
      </w:r>
      <w:r>
        <w:rPr>
          <w:rStyle w:val="FootnoteCharacters"/>
          <w:rStyle w:val="FootnoteReference"/>
        </w:rPr>
        <w:footnoteReference w:id="60"/>
      </w:r>
      <w:r>
        <w:rPr/>
        <w:t xml:space="preserve">  This price environment has led PG&amp;E and Edison to the verge of bankruptcy </w:t>
      </w:r>
      <w:r>
        <w:rPr>
          <w:rStyle w:val="FootnoteCharacters"/>
          <w:rStyle w:val="FootnoteReference"/>
        </w:rPr>
        <w:footnoteReference w:customMarkFollows="1" w:id="61"/>
        <w:t>*</w:t>
      </w:r>
      <w:r>
        <w:rPr/>
        <w:t>, forcing them respectively to default on $76 million and $596 million of obligations.</w:t>
      </w:r>
      <w:r>
        <w:rPr>
          <w:rStyle w:val="FootnoteCharacters"/>
          <w:rStyle w:val="FootnoteReference"/>
        </w:rPr>
        <w:footnoteReference w:id="62"/>
      </w:r>
      <w:r>
        <w:rPr/>
        <w:t xml:space="preserve">  These events, coupled with downgrades in the utilities’ credit ratings, denied the utilities the ability to obtain needed credit from electricity generators to purchase electricity.</w:t>
      </w:r>
      <w:r>
        <w:rPr>
          <w:rStyle w:val="FootnoteCharacters"/>
          <w:rStyle w:val="FootnoteReference"/>
        </w:rPr>
        <w:footnoteReference w:id="63"/>
      </w:r>
      <w:r>
        <w:rPr/>
        <w:t xml:space="preserve">   They have also forced the State of California to rethink its deregulation system and take action to amend it.</w:t>
      </w:r>
    </w:p>
    <w:p>
      <w:pPr>
        <w:pStyle w:val="Normal"/>
        <w:ind w:firstLine="720" w:end="0"/>
        <w:rPr/>
      </w:pPr>
      <w:r>
        <w:rPr/>
      </w:r>
    </w:p>
    <w:p>
      <w:pPr>
        <w:pStyle w:val="Heading4"/>
        <w:ind w:hanging="0" w:start="0"/>
        <w:rPr/>
      </w:pPr>
      <w:r>
        <w:rPr/>
        <w:t>Changes</w:t>
      </w:r>
    </w:p>
    <w:p>
      <w:pPr>
        <w:pStyle w:val="Normal"/>
        <w:rPr/>
      </w:pPr>
      <w:r>
        <w:rPr/>
      </w:r>
    </w:p>
    <w:p>
      <w:pPr>
        <w:pStyle w:val="Normal"/>
        <w:rPr/>
      </w:pPr>
      <w:r>
        <w:rPr/>
        <w:t>In mid-January, Governor Davis set aside $400 million on an emergency basis and empowered the state’s Department of Water Resources to purchase power on the spot market to provide to the utilities’ customers.</w:t>
      </w:r>
      <w:r>
        <w:rPr>
          <w:rStyle w:val="FootnoteCharacters"/>
          <w:rStyle w:val="FootnoteReference"/>
        </w:rPr>
        <w:footnoteReference w:id="64"/>
      </w:r>
      <w:r>
        <w:rPr/>
        <w:t xml:space="preserve">  As the utilities could no longer purchase power on the spot market, the state shut down the Power Exchange.</w:t>
      </w:r>
      <w:r>
        <w:rPr>
          <w:rStyle w:val="FootnoteCharacters"/>
          <w:rStyle w:val="FootnoteReference"/>
        </w:rPr>
        <w:footnoteReference w:id="65"/>
      </w:r>
      <w:r>
        <w:rPr/>
        <w:t xml:space="preserve">  The CPUC even approved temporary rate increases of nine percent.</w:t>
      </w:r>
      <w:r>
        <w:rPr>
          <w:rStyle w:val="FootnoteCharacters"/>
          <w:rStyle w:val="FootnoteReference"/>
        </w:rPr>
        <w:footnoteReference w:id="66"/>
      </w:r>
      <w:r>
        <w:rPr/>
        <w:t xml:space="preserve">  The federal government, which had previously ordered IPPs and other producers to sell any excess power to the ISO despite reasonable concerns these producers might possess as to payment for the power, extended such orders but placed a firm deadline for the expiration of such orders of February 7, 2000.</w:t>
      </w:r>
      <w:r>
        <w:rPr>
          <w:rStyle w:val="FootnoteCharacters"/>
          <w:rStyle w:val="FootnoteReference"/>
        </w:rPr>
        <w:footnoteReference w:id="67"/>
      </w:r>
      <w:r>
        <w:rPr/>
        <w:t xml:space="preserve">  </w:t>
      </w:r>
    </w:p>
    <w:p>
      <w:pPr>
        <w:pStyle w:val="Normal"/>
        <w:rPr/>
      </w:pPr>
      <w:r>
        <w:rPr/>
      </w:r>
    </w:p>
    <w:p>
      <w:pPr>
        <w:pStyle w:val="Normal"/>
        <w:rPr/>
      </w:pPr>
      <w:r>
        <w:rPr/>
        <w:t>Finally, after spending the initial $400 set aside for spot purchases of electricity before the end of January, the California State Legislature approved $10 billion for the state to make long-term purchases of power on the forward and future markets.</w:t>
      </w:r>
      <w:r>
        <w:rPr>
          <w:rStyle w:val="FootnoteCharacters"/>
          <w:rStyle w:val="FootnoteReference"/>
        </w:rPr>
        <w:footnoteReference w:id="68"/>
      </w:r>
      <w:r>
        <w:rPr/>
        <w:t xml:space="preserve">  Exiting the spot markets for power allows the state to fulfill its power needs at an average cost far below the one it must incur on the spot markets.</w:t>
      </w:r>
      <w:r>
        <w:rPr>
          <w:rStyle w:val="FootnoteCharacters"/>
          <w:rStyle w:val="FootnoteReference"/>
        </w:rPr>
        <w:footnoteReference w:id="69"/>
      </w:r>
      <w:r>
        <w:rPr/>
        <w:t xml:space="preserve">  Furthermore, by allowing for the fulfillment of supply needs through the purchase of forward and future contracts, prices in the spot market should become more competitive.</w:t>
      </w:r>
      <w:r>
        <w:rPr>
          <w:rStyle w:val="FootnoteCharacters"/>
          <w:rStyle w:val="FootnoteReference"/>
        </w:rPr>
        <w:footnoteReference w:id="70"/>
      </w:r>
      <w:r>
        <w:rPr/>
        <w:t xml:space="preserve">  Essentially, contracts for future demand signal suppliers to build more capacity to meet this demand and enable them to obtain the funding to do so. </w:t>
      </w:r>
    </w:p>
    <w:p>
      <w:pPr>
        <w:pStyle w:val="Normal"/>
        <w:ind w:firstLine="720" w:end="0"/>
        <w:rPr/>
      </w:pPr>
      <w:r>
        <w:rPr/>
      </w:r>
    </w:p>
    <w:p>
      <w:pPr>
        <w:pStyle w:val="Normal"/>
        <w:ind w:firstLine="720" w:end="0"/>
        <w:rPr/>
      </w:pPr>
      <w:r>
        <w:rPr/>
        <w:t>Still, the costs will likely exceed the revenues the state receives from ratepayers, leaving the state, rather than the utilities, to incur and address the large deficits.</w:t>
      </w:r>
      <w:r>
        <w:rPr>
          <w:rStyle w:val="FootnoteCharacters"/>
          <w:rStyle w:val="FootnoteReference"/>
        </w:rPr>
        <w:footnoteReference w:id="71"/>
      </w:r>
      <w:r>
        <w:rPr/>
        <w:t xml:space="preserve">  Under the plan, the utilities themselves will use their generation facilities and fulfill their current power obligations to provide approximately two-thirds of the electricity supply needed to meet consumer demand, and the state will purchase the additional one-third needed.</w:t>
      </w:r>
      <w:r>
        <w:rPr>
          <w:rStyle w:val="FootnoteCharacters"/>
          <w:rStyle w:val="FootnoteReference"/>
        </w:rPr>
        <w:footnoteReference w:id="72"/>
      </w:r>
      <w:r>
        <w:rPr/>
        <w:t xml:space="preserve">  The utilities, essentially, have been removed from the market and relegated to the task of distributing power and collecting payment from its customers, and the state now has more power over its electric market than it did before deregulation.</w:t>
      </w:r>
      <w:r>
        <w:rPr>
          <w:rStyle w:val="FootnoteCharacters"/>
          <w:rStyle w:val="FootnoteReference"/>
        </w:rPr>
        <w:footnoteReference w:id="73"/>
      </w:r>
    </w:p>
    <w:p>
      <w:pPr>
        <w:pStyle w:val="Normal"/>
        <w:rPr/>
      </w:pPr>
      <w:r>
        <w:rPr/>
      </w:r>
    </w:p>
    <w:p>
      <w:pPr>
        <w:pStyle w:val="Heading1"/>
        <w:ind w:hanging="0" w:start="0"/>
        <w:rPr>
          <w:rFonts w:cs="Times New Roman"/>
          <w:sz w:val="24"/>
        </w:rPr>
      </w:pPr>
      <w:r>
        <w:rPr>
          <w:rFonts w:cs="Times New Roman"/>
          <w:sz w:val="24"/>
        </w:rPr>
        <w:t>Looking Forward</w:t>
      </w:r>
    </w:p>
    <w:p>
      <w:pPr>
        <w:pStyle w:val="Normal"/>
        <w:rPr>
          <w:rFonts w:cs="Times New Roman"/>
          <w:b/>
          <w:sz w:val="24"/>
        </w:rPr>
      </w:pPr>
      <w:r>
        <w:rPr>
          <w:rFonts w:cs="Times New Roman"/>
          <w:b/>
          <w:sz w:val="24"/>
        </w:rPr>
      </w:r>
    </w:p>
    <w:p>
      <w:pPr>
        <w:pStyle w:val="Normal"/>
        <w:rPr/>
      </w:pPr>
      <w:r>
        <w:rPr/>
        <w:t>While the causes of these problems appear somewhat readily identifiable, the solutions seem far less certain.  California and several other Western states have asked the Federal Energy Regulatory Commission (“FERC”), which oversees wholesale electricity markets, to impose temporary price caps on the wholesale prices of electricity.</w:t>
      </w:r>
      <w:r>
        <w:rPr>
          <w:rStyle w:val="FootnoteCharacters"/>
          <w:rStyle w:val="FootnoteReference"/>
        </w:rPr>
        <w:footnoteReference w:id="74"/>
      </w:r>
      <w:r>
        <w:rPr/>
        <w:t xml:space="preserve">  The states assert that these caps would provide short-term stability to electricity prices, but the FERC has resisted these requests and declared such caps contrary to its goals of creating a more competitive marketplace and encouraging consumer conservation.</w:t>
      </w:r>
      <w:r>
        <w:rPr>
          <w:rStyle w:val="FootnoteCharacters"/>
          <w:rStyle w:val="FootnoteReference"/>
        </w:rPr>
        <w:footnoteReference w:id="75"/>
      </w:r>
      <w:r>
        <w:rPr/>
        <w:t xml:space="preserve">  The states have also contended that they suspect some collusion by IPPs may be behind the supply reductions and dramatic price increases, but FERC recently stated that it found no proof of such market manipulation.</w:t>
      </w:r>
      <w:r>
        <w:rPr>
          <w:rStyle w:val="FootnoteCharacters"/>
          <w:rStyle w:val="FootnoteReference"/>
        </w:rPr>
        <w:footnoteReference w:id="76"/>
      </w:r>
      <w:r>
        <w:rPr/>
        <w:t xml:space="preserve">  On April 25, however, the FERC reversed its prior position against price caps and placed broad price caps on the sale of electricity in the California market.</w:t>
      </w:r>
      <w:r>
        <w:rPr>
          <w:rStyle w:val="FootnoteCharacters"/>
          <w:rStyle w:val="FootnoteReference"/>
        </w:rPr>
        <w:footnoteReference w:id="77"/>
      </w:r>
      <w:r>
        <w:rPr/>
        <w:t xml:space="preserve"> Starting May 1, these caps will go into effect when electricity supplies fall to within 7.5 percent of demand.</w:t>
      </w:r>
      <w:r>
        <w:rPr>
          <w:rStyle w:val="FootnoteCharacters"/>
          <w:rStyle w:val="FootnoteReference"/>
        </w:rPr>
        <w:footnoteReference w:id="78"/>
      </w:r>
    </w:p>
    <w:p>
      <w:pPr>
        <w:pStyle w:val="Normal"/>
        <w:ind w:firstLine="720" w:end="0"/>
        <w:rPr/>
      </w:pPr>
      <w:r>
        <w:rPr/>
      </w:r>
    </w:p>
    <w:p>
      <w:pPr>
        <w:pStyle w:val="Normal"/>
        <w:rPr/>
      </w:pPr>
      <w:r>
        <w:rPr/>
        <w:t>As the supply of our electricity becomes increasingly dependent on the role of IPPs, which provided twenty percent of our electricity in 2000, double the amount they provided in 1997, the question arises as to whether or not we can create the capacity needed to insure reliable electricity supplies.</w:t>
      </w:r>
      <w:r>
        <w:rPr>
          <w:rStyle w:val="FootnoteCharacters"/>
          <w:rStyle w:val="FootnoteReference"/>
        </w:rPr>
        <w:footnoteReference w:id="79"/>
      </w:r>
      <w:r>
        <w:rPr/>
        <w:t xml:space="preserve">  Since IPPs must make their profit from their operations, rather than have it guaranteed by state action, it seems that their most profitable times might coincide with electricity supply shortages which allow them to charge higher prices for their product.</w:t>
      </w:r>
      <w:r>
        <w:rPr>
          <w:rStyle w:val="FootnoteCharacters"/>
          <w:rStyle w:val="FootnoteReference"/>
        </w:rPr>
        <w:footnoteReference w:id="80"/>
      </w:r>
      <w:r>
        <w:rPr/>
        <w:t xml:space="preserve">  If IPPs, in turn, favor a state of chronic supply shortages, as Washington Governor Gary Locke hypothesizes, then will we ever again provide our citizens and businesses with the reliability formerly created by mandate that utilities maintain fifteen percent reserve capacity?</w:t>
      </w:r>
      <w:r>
        <w:rPr>
          <w:rStyle w:val="FootnoteCharacters"/>
          <w:rStyle w:val="FootnoteReference"/>
        </w:rPr>
        <w:footnoteReference w:id="81"/>
      </w:r>
      <w:r>
        <w:rPr/>
        <w:t xml:space="preserve">  </w:t>
      </w:r>
    </w:p>
    <w:p>
      <w:pPr>
        <w:pStyle w:val="Normal"/>
        <w:ind w:firstLine="720" w:end="0"/>
        <w:rPr/>
      </w:pPr>
      <w:r>
        <w:rPr/>
      </w:r>
    </w:p>
    <w:p>
      <w:pPr>
        <w:pStyle w:val="Normal"/>
        <w:rPr/>
      </w:pPr>
      <w:r>
        <w:rPr/>
        <w:t>Further potential problems could result from the fact that more than ninety percent of planned generation facilities rely on natural gas for their power.</w:t>
      </w:r>
      <w:r>
        <w:rPr>
          <w:rStyle w:val="FootnoteCharacters"/>
          <w:rStyle w:val="FootnoteReference"/>
        </w:rPr>
        <w:footnoteReference w:id="82"/>
      </w:r>
      <w:r>
        <w:rPr/>
        <w:t xml:space="preserve">  Just as state regulators used to require utilities to hold fifteen percent reserve capacity to insure against supply shortages, they also provided utilities incentives to provide electricity derived from various natural resources such as coal, water, gas, etc.</w:t>
      </w:r>
      <w:r>
        <w:rPr>
          <w:rStyle w:val="FootnoteCharacters"/>
          <w:rStyle w:val="FootnoteReference"/>
        </w:rPr>
        <w:footnoteReference w:id="83"/>
      </w:r>
      <w:r>
        <w:rPr/>
        <w:t xml:space="preserve"> The current focus on constructing gas-fired plants has left many of these generation facilities vulnerable to the recent precipitous rise in natural gas prices.  If natural gas prices remain at elevated levels due to a continued supply shortage, it could result in consistently higher energy bills for consumers.</w:t>
      </w:r>
      <w:r>
        <w:rPr>
          <w:rStyle w:val="FootnoteCharacters"/>
          <w:rStyle w:val="FootnoteReference"/>
        </w:rPr>
        <w:footnoteReference w:id="84"/>
      </w:r>
    </w:p>
    <w:p>
      <w:pPr>
        <w:pStyle w:val="Normal"/>
        <w:ind w:firstLine="720" w:end="0"/>
        <w:rPr/>
      </w:pPr>
      <w:r>
        <w:rPr/>
      </w:r>
    </w:p>
    <w:p>
      <w:pPr>
        <w:pStyle w:val="Normal"/>
        <w:rPr/>
      </w:pPr>
      <w:r>
        <w:rPr/>
        <w:t>With the current supply problems California faces, the outlook for the summer is grim.  Demand for electricity in the summer is typically fifty percent and more than winter peaks, and while this winter has been horrible on the supply side, it has been quite normal on the demand side.</w:t>
      </w:r>
      <w:r>
        <w:rPr>
          <w:rStyle w:val="FootnoteCharacters"/>
          <w:rStyle w:val="FootnoteReference"/>
        </w:rPr>
        <w:footnoteReference w:id="85"/>
      </w:r>
      <w:r>
        <w:rPr/>
        <w:t xml:space="preserve">  Although the state has expedited the process to build power plants and anticipates additional generating supply this summer, it could prove to be too little too late.</w:t>
      </w:r>
      <w:r>
        <w:rPr>
          <w:rStyle w:val="FootnoteCharacters"/>
          <w:rStyle w:val="FootnoteReference"/>
        </w:rPr>
        <w:footnoteReference w:id="86"/>
      </w:r>
      <w:r>
        <w:rPr/>
        <w:t xml:space="preserve">  </w:t>
      </w:r>
    </w:p>
    <w:p>
      <w:pPr>
        <w:pStyle w:val="Normal"/>
        <w:rPr/>
      </w:pPr>
      <w:r>
        <w:rPr/>
      </w:r>
    </w:p>
    <w:p>
      <w:pPr>
        <w:pStyle w:val="Heading1"/>
        <w:ind w:hanging="0" w:start="0"/>
        <w:rPr>
          <w:rFonts w:cs="Times New Roman"/>
          <w:sz w:val="24"/>
        </w:rPr>
      </w:pPr>
      <w:r>
        <w:rPr>
          <w:rFonts w:cs="Times New Roman"/>
          <w:sz w:val="24"/>
        </w:rPr>
        <w:t>Conclusion</w:t>
      </w:r>
    </w:p>
    <w:p>
      <w:pPr>
        <w:pStyle w:val="Normal"/>
        <w:ind w:firstLine="720" w:end="0"/>
        <w:rPr>
          <w:rFonts w:cs="Times New Roman"/>
          <w:sz w:val="24"/>
        </w:rPr>
      </w:pPr>
      <w:r>
        <w:rPr>
          <w:rFonts w:cs="Times New Roman"/>
          <w:sz w:val="24"/>
        </w:rPr>
      </w:r>
    </w:p>
    <w:p>
      <w:pPr>
        <w:pStyle w:val="Normal"/>
        <w:rPr/>
      </w:pPr>
      <w:r>
        <w:rPr/>
        <w:t>It appears from this analysis that electricity deregulation across the globe has been met with mixed results. In areas with sufficient supply to meet demands, as in England and PJM, it has been relatively successful in lowering costs to consumers. In areas with insufficient supply to meet demand, most notably California it has been a disaster.  The energy crisis in California that has developed over the past eight months can be attributed primarily to the failure of the state’s electrical energy generating facilities to keep their supply in pace with the growth in electricity demand caused by the state’s growing population and its high-tech economy.</w:t>
      </w:r>
      <w:r>
        <w:rPr>
          <w:rStyle w:val="FootnoteCharacters"/>
          <w:rStyle w:val="FootnoteReference"/>
        </w:rPr>
        <w:footnoteReference w:id="87"/>
      </w:r>
      <w:r>
        <w:rPr/>
        <w:t xml:space="preserve">  </w:t>
      </w:r>
    </w:p>
    <w:p>
      <w:pPr>
        <w:pStyle w:val="Normal"/>
        <w:ind w:firstLine="720" w:end="0"/>
        <w:rPr/>
      </w:pPr>
      <w:r>
        <w:rPr/>
      </w:r>
    </w:p>
    <w:p>
      <w:pPr>
        <w:pStyle w:val="Normal"/>
        <w:rPr/>
      </w:pPr>
      <w:r>
        <w:rPr/>
        <w:t>Electricity is somewhat peculiar when compared to other natural resources such as water, oil or natural gas.</w:t>
      </w:r>
      <w:r>
        <w:rPr>
          <w:rStyle w:val="FootnoteCharacters"/>
          <w:rStyle w:val="FootnoteReference"/>
        </w:rPr>
        <w:footnoteReference w:id="88"/>
      </w:r>
      <w:r>
        <w:rPr/>
        <w:t xml:space="preserve">  Electricity is difficult and expensive to store.</w:t>
      </w:r>
      <w:r>
        <w:rPr>
          <w:rStyle w:val="FootnoteCharacters"/>
          <w:rStyle w:val="FootnoteReference"/>
        </w:rPr>
        <w:footnoteReference w:id="89"/>
      </w:r>
      <w:r>
        <w:rPr/>
        <w:t xml:space="preserve">  Moreover, it is more efficiently distributed if generated locally as it loses power the farther it has to travel.</w:t>
      </w:r>
      <w:r>
        <w:rPr>
          <w:rStyle w:val="FootnoteCharacters"/>
          <w:rStyle w:val="FootnoteReference"/>
        </w:rPr>
        <w:footnoteReference w:id="90"/>
      </w:r>
      <w:r>
        <w:rPr/>
        <w:t xml:space="preserve">  California’s tough environmental siting restrictions have exacerbated the problems caused by this particular quality.  These peculiarities, coupled with the restriction of the access to forward markets and the relative inability of the utility to pass on real-time prices to consumers and display and charge the peak costs associated with peak demand, have made it impossible to affect supply on the generation side and demand on the consumer side.</w:t>
      </w:r>
      <w:r>
        <w:rPr>
          <w:rStyle w:val="FootnoteCharacters"/>
          <w:rStyle w:val="FootnoteReference"/>
        </w:rPr>
        <w:footnoteReference w:id="91"/>
      </w:r>
      <w:r>
        <w:rPr/>
        <w:t xml:space="preserve">  The ability to introduce market forces on both the supply and demand side of the electricity market would complete the equation and help alleviate the supply problems the state faces.</w:t>
      </w:r>
      <w:r>
        <w:rPr>
          <w:rStyle w:val="FootnoteCharacters"/>
          <w:rStyle w:val="FootnoteReference"/>
        </w:rPr>
        <w:footnoteReference w:id="92"/>
      </w:r>
    </w:p>
    <w:sectPr>
      <w:footerReference w:type="default" r:id="rId6"/>
      <w:footerReference w:type="first" r:id="rId7"/>
      <w:footnotePr>
        <w:numFmt w:val="decimal"/>
      </w:footnotePr>
      <w:type w:val="nextPage"/>
      <w:pgSz w:w="12240" w:h="15840"/>
      <w:pgMar w:left="1800" w:right="1800" w:gutter="0" w:header="0" w:top="1440" w:footer="720" w:bottom="3420"/>
      <w:pgNumType w:start="0"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9">
              <wp:simplePos x="0" y="0"/>
              <wp:positionH relativeFrom="margin">
                <wp:align>center</wp:align>
              </wp:positionH>
              <wp:positionV relativeFrom="paragraph">
                <wp:posOffset>635</wp:posOffset>
              </wp:positionV>
              <wp:extent cx="153035" cy="175260"/>
              <wp:effectExtent l="0" t="0" r="0" b="0"/>
              <wp:wrapSquare wrapText="bothSides"/>
              <wp:docPr id="3" name="Frame2"/>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Wolak, F.A. "Market Design and Price Behavior in Restructured Electricity Markets: An International Comparison." (August 97)</w:t>
      </w:r>
    </w:p>
  </w:footnote>
  <w:footnote w:id="3">
    <w:p>
      <w:pPr>
        <w:pStyle w:val="FootnoteText"/>
        <w:rPr/>
      </w:pPr>
      <w:r>
        <w:rPr>
          <w:rStyle w:val="FootnoteCharacters"/>
        </w:rPr>
        <w:footnoteRef/>
      </w:r>
      <w:r>
        <w:rPr/>
        <w:t xml:space="preserve"> </w:t>
      </w:r>
      <w:r>
        <w:rPr/>
        <w:t>Wolak, F.A. "Market Design and Price Behavior in Restructured Electricity Markets: An International Comparison." (August 97)</w:t>
      </w:r>
    </w:p>
  </w:footnote>
  <w:footnote w:id="4">
    <w:p>
      <w:pPr>
        <w:pStyle w:val="FootnoteText"/>
        <w:rPr/>
      </w:pPr>
      <w:r>
        <w:rPr>
          <w:rStyle w:val="FootnoteCharacters"/>
        </w:rPr>
        <w:footnoteRef/>
      </w:r>
      <w:r>
        <w:rPr/>
        <w:t xml:space="preserve"> </w:t>
      </w:r>
      <w:r>
        <w:rPr/>
        <w:t>Wolak, F.A. "Market Design and Price Behavior in Restructured Electricity Markets: An International Comparison." (August 97)</w:t>
      </w:r>
    </w:p>
  </w:footnote>
  <w:footnote w:id="5">
    <w:p>
      <w:pPr>
        <w:pStyle w:val="FootnoteText"/>
        <w:rPr/>
      </w:pPr>
      <w:r>
        <w:rPr>
          <w:rStyle w:val="FootnoteCharacters"/>
        </w:rPr>
        <w:footnoteRef/>
      </w:r>
      <w:r>
        <w:rPr/>
        <w:t xml:space="preserve"> </w:t>
      </w:r>
      <w:r>
        <w:rPr/>
        <w:t>Wolak, F.A. "Market Design and Price Behavior in Restructured Electricity Markets: An International Comparison." (August 97)</w:t>
      </w:r>
    </w:p>
  </w:footnote>
  <w:footnote w:id="6">
    <w:p>
      <w:pPr>
        <w:pStyle w:val="FootnoteText"/>
        <w:rPr/>
      </w:pPr>
      <w:r>
        <w:rPr>
          <w:rStyle w:val="FootnoteCharacters"/>
        </w:rPr>
        <w:footnoteRef/>
      </w:r>
      <w:r>
        <w:rPr/>
        <w:t xml:space="preserve"> </w:t>
      </w:r>
      <w:r>
        <w:rPr/>
        <w:t>Wolak, F.A. "Market Design and Price Behavior in Restructured Electricity Markets: An International Comparison." (August 97)</w:t>
      </w:r>
    </w:p>
  </w:footnote>
  <w:footnote w:id="7">
    <w:p>
      <w:pPr>
        <w:pStyle w:val="FootnoteText"/>
        <w:rPr/>
      </w:pPr>
      <w:r>
        <w:rPr>
          <w:rStyle w:val="FootnoteCharacters"/>
        </w:rPr>
        <w:footnoteRef/>
      </w:r>
      <w:r>
        <w:rPr/>
        <w:t xml:space="preserve"> </w:t>
      </w:r>
      <w:r>
        <w:rPr/>
        <w:t>Wolak, F.A. "Market Design and Price Behavior in Restructured Electricity Markets: An International Comparison." (August 97)</w:t>
      </w:r>
    </w:p>
  </w:footnote>
  <w:footnote w:id="8">
    <w:p>
      <w:pPr>
        <w:pStyle w:val="FootnoteText"/>
        <w:rPr/>
      </w:pPr>
      <w:r>
        <w:rPr>
          <w:rStyle w:val="FootnoteCharacters"/>
        </w:rPr>
        <w:footnoteRef/>
      </w:r>
      <w:r>
        <w:rPr/>
        <w:t xml:space="preserve"> </w:t>
      </w:r>
      <w:r>
        <w:rPr>
          <w:i/>
          <w:sz w:val="16"/>
        </w:rPr>
        <w:t xml:space="preserve">A Northern European Power Exchange..  </w:t>
      </w:r>
      <w:r>
        <w:rPr>
          <w:sz w:val="16"/>
        </w:rPr>
        <w:t>http://www.risoe.dk/sys-esy/elbr/index.htm.</w:t>
      </w:r>
    </w:p>
  </w:footnote>
  <w:footnote w:id="9">
    <w:p>
      <w:pPr>
        <w:pStyle w:val="FootnoteText"/>
        <w:rPr/>
      </w:pPr>
      <w:r>
        <w:rPr>
          <w:rStyle w:val="FootnoteCharacters"/>
        </w:rPr>
        <w:footnoteRef/>
      </w:r>
      <w:r>
        <w:rPr/>
        <w:t xml:space="preserve"> </w:t>
      </w:r>
      <w:r>
        <w:rPr>
          <w:i/>
          <w:sz w:val="16"/>
        </w:rPr>
        <w:t xml:space="preserve">A Northern European Power Exchange..  </w:t>
      </w:r>
      <w:r>
        <w:rPr>
          <w:sz w:val="16"/>
        </w:rPr>
        <w:t>http://www.risoe.dk/sys-esy/elbr/index.htm.</w:t>
      </w:r>
    </w:p>
  </w:footnote>
  <w:footnote w:id="10">
    <w:p>
      <w:pPr>
        <w:pStyle w:val="FootnoteText"/>
        <w:rPr/>
      </w:pPr>
      <w:r>
        <w:rPr>
          <w:rStyle w:val="FootnoteCharacters"/>
        </w:rPr>
        <w:footnoteRef/>
      </w:r>
      <w:r>
        <w:rPr/>
        <w:t xml:space="preserve"> </w:t>
      </w:r>
      <w:r>
        <w:rPr>
          <w:i/>
          <w:sz w:val="16"/>
        </w:rPr>
        <w:t xml:space="preserve">The Physical Power Market:  </w:t>
      </w:r>
      <w:r>
        <w:rPr>
          <w:sz w:val="16"/>
        </w:rPr>
        <w:t>http://www.nordpool.com/organisation/index.html</w:t>
      </w:r>
    </w:p>
  </w:footnote>
  <w:footnote w:id="11">
    <w:p>
      <w:pPr>
        <w:pStyle w:val="FootnoteText"/>
        <w:rPr/>
      </w:pPr>
      <w:r>
        <w:rPr>
          <w:rStyle w:val="FootnoteCharacters"/>
        </w:rPr>
        <w:footnoteRef/>
      </w:r>
      <w:r>
        <w:rPr/>
        <w:t xml:space="preserve"> </w:t>
      </w:r>
      <w:r>
        <w:rPr>
          <w:sz w:val="16"/>
        </w:rPr>
        <w:t xml:space="preserve">1999 Annual Report:  This is Nord Pool.  </w:t>
      </w:r>
      <w:hyperlink r:id="rId1">
        <w:r>
          <w:rPr>
            <w:rStyle w:val="Hyperlink"/>
            <w:sz w:val="16"/>
          </w:rPr>
          <w:t>http://www.el-ex.fi/eng99/thisis/fsett_thisis.html</w:t>
        </w:r>
      </w:hyperlink>
      <w:r>
        <w:rPr>
          <w:sz w:val="16"/>
        </w:rPr>
        <w:t>.  04/17/2001</w:t>
      </w:r>
    </w:p>
  </w:footnote>
  <w:footnote w:id="12">
    <w:p>
      <w:pPr>
        <w:pStyle w:val="FootnoteText"/>
        <w:rPr/>
      </w:pPr>
      <w:r>
        <w:rPr>
          <w:rStyle w:val="FootnoteCharacters"/>
        </w:rPr>
        <w:footnoteRef/>
      </w:r>
      <w:r>
        <w:rPr/>
        <w:t xml:space="preserve"> </w:t>
      </w:r>
      <w:r>
        <w:rPr>
          <w:sz w:val="16"/>
        </w:rPr>
        <w:t xml:space="preserve">1999 Annual Report:  Focus on the Nordic Countries.   </w:t>
      </w:r>
      <w:hyperlink r:id="rId2">
        <w:r>
          <w:rPr>
            <w:rStyle w:val="Hyperlink"/>
            <w:sz w:val="16"/>
          </w:rPr>
          <w:t>http://www.el-ex.fi/eng99/thisis/fsett_nordic.html</w:t>
        </w:r>
      </w:hyperlink>
      <w:r>
        <w:rPr>
          <w:sz w:val="16"/>
        </w:rPr>
        <w:t>.  04/17/2001</w:t>
      </w:r>
    </w:p>
  </w:footnote>
  <w:footnote w:id="13">
    <w:p>
      <w:pPr>
        <w:pStyle w:val="FootnoteText"/>
        <w:rPr/>
      </w:pPr>
      <w:r>
        <w:rPr>
          <w:rStyle w:val="FootnoteCharacters"/>
        </w:rPr>
        <w:footnoteRef/>
      </w:r>
      <w:r>
        <w:rPr/>
        <w:t xml:space="preserve"> </w:t>
      </w:r>
      <w:r>
        <w:rPr>
          <w:i/>
          <w:sz w:val="16"/>
        </w:rPr>
        <w:t xml:space="preserve">Forward Markets for Transmission that Clear at LMP:  A Hybrid Proposal.  </w:t>
      </w:r>
      <w:r>
        <w:rPr>
          <w:sz w:val="16"/>
        </w:rPr>
        <w:t>Tabors, Richard</w:t>
      </w:r>
      <w:r>
        <w:rPr>
          <w:i/>
          <w:sz w:val="16"/>
        </w:rPr>
        <w:t xml:space="preserve">.  </w:t>
      </w:r>
      <w:r>
        <w:rPr>
          <w:sz w:val="16"/>
        </w:rPr>
        <w:t>Proceedings of the 34</w:t>
      </w:r>
      <w:r>
        <w:rPr>
          <w:sz w:val="16"/>
          <w:vertAlign w:val="superscript"/>
        </w:rPr>
        <w:t>th</w:t>
      </w:r>
      <w:r>
        <w:rPr>
          <w:sz w:val="16"/>
        </w:rPr>
        <w:t xml:space="preserve"> Hawii International Conference on System Sciences –2001.</w:t>
      </w:r>
    </w:p>
  </w:footnote>
  <w:footnote w:id="14">
    <w:p>
      <w:pPr>
        <w:pStyle w:val="FootnoteText"/>
        <w:rPr/>
      </w:pPr>
      <w:r>
        <w:rPr>
          <w:rStyle w:val="FootnoteCharacters"/>
        </w:rPr>
        <w:footnoteRef/>
      </w:r>
      <w:r>
        <w:rPr/>
        <w:t xml:space="preserve"> </w:t>
      </w:r>
      <w:r>
        <w:rPr>
          <w:i/>
          <w:sz w:val="16"/>
        </w:rPr>
        <w:t xml:space="preserve">PJM jolted out of anonymity by Md. Electric deregulation.  </w:t>
      </w:r>
      <w:r>
        <w:rPr>
          <w:sz w:val="16"/>
        </w:rPr>
        <w:t>The Daily Record; Baltimore MD; Dec 13, 2000; Amy L Bernstein.</w:t>
      </w:r>
    </w:p>
  </w:footnote>
  <w:footnote w:id="15">
    <w:p>
      <w:pPr>
        <w:pStyle w:val="FootnoteText"/>
        <w:rPr/>
      </w:pPr>
      <w:r>
        <w:rPr>
          <w:rStyle w:val="FootnoteCharacters"/>
        </w:rPr>
        <w:footnoteRef/>
      </w:r>
      <w:r>
        <w:rPr/>
        <w:t xml:space="preserve"> </w:t>
      </w:r>
      <w:r>
        <w:rPr>
          <w:i/>
          <w:sz w:val="16"/>
        </w:rPr>
        <w:t xml:space="preserve">Where Deregulation Isn’t a Disaster.  </w:t>
      </w:r>
      <w:r>
        <w:rPr>
          <w:sz w:val="16"/>
        </w:rPr>
        <w:t>Kahn, Jeremy.  Fortune Magazine.  03/19/2001.</w:t>
      </w:r>
    </w:p>
  </w:footnote>
  <w:footnote w:id="16">
    <w:p>
      <w:pPr>
        <w:pStyle w:val="FootnoteText"/>
        <w:rPr/>
      </w:pPr>
      <w:r>
        <w:rPr>
          <w:rStyle w:val="FootnoteCharacters"/>
        </w:rPr>
        <w:footnoteRef/>
      </w:r>
      <w:r>
        <w:rPr/>
        <w:t xml:space="preserve"> </w:t>
      </w:r>
      <w:r>
        <w:rPr>
          <w:i/>
          <w:sz w:val="16"/>
        </w:rPr>
        <w:t xml:space="preserve">Where Deregulation Isn’t a Disaster.  </w:t>
      </w:r>
      <w:r>
        <w:rPr>
          <w:sz w:val="16"/>
        </w:rPr>
        <w:t>Kahn, Jeremy.  Fortune Magazine.  03/19/2001.</w:t>
      </w:r>
    </w:p>
  </w:footnote>
  <w:footnote w:id="17">
    <w:p>
      <w:pPr>
        <w:pStyle w:val="FootnoteText"/>
        <w:rPr/>
      </w:pPr>
      <w:r>
        <w:rPr>
          <w:rStyle w:val="FootnoteCharacters"/>
        </w:rPr>
        <w:footnoteRef/>
      </w:r>
      <w:r>
        <w:rPr/>
        <w:t xml:space="preserve"> </w:t>
      </w:r>
      <w:r>
        <w:rPr>
          <w:i/>
          <w:sz w:val="16"/>
        </w:rPr>
        <w:t xml:space="preserve">Forward Markets for Transmission that Clear at LMP:  A Hybrid Proposal.  </w:t>
      </w:r>
      <w:r>
        <w:rPr>
          <w:sz w:val="16"/>
        </w:rPr>
        <w:t>Tabors, Richard</w:t>
      </w:r>
      <w:r>
        <w:rPr>
          <w:i/>
          <w:sz w:val="16"/>
        </w:rPr>
        <w:t xml:space="preserve">.  </w:t>
      </w:r>
      <w:r>
        <w:rPr>
          <w:sz w:val="16"/>
        </w:rPr>
        <w:t>Proceedings of the 34</w:t>
      </w:r>
      <w:r>
        <w:rPr>
          <w:sz w:val="16"/>
          <w:vertAlign w:val="superscript"/>
        </w:rPr>
        <w:t>th</w:t>
      </w:r>
      <w:r>
        <w:rPr>
          <w:sz w:val="16"/>
        </w:rPr>
        <w:t xml:space="preserve"> Hawii International Conference on System Sciences –2001</w:t>
      </w:r>
    </w:p>
  </w:footnote>
  <w:footnote w:id="18">
    <w:p>
      <w:pPr>
        <w:pStyle w:val="FootnoteText"/>
        <w:rPr/>
      </w:pPr>
      <w:r>
        <w:rPr>
          <w:rStyle w:val="FootnoteCharacters"/>
        </w:rPr>
        <w:footnoteRef/>
      </w:r>
      <w:r>
        <w:rPr/>
        <w:t xml:space="preserve"> </w:t>
      </w:r>
      <w:r>
        <w:rPr>
          <w:i/>
          <w:sz w:val="16"/>
        </w:rPr>
        <w:t xml:space="preserve">Where Deregulation Isn’t a Disaster.  </w:t>
      </w:r>
      <w:r>
        <w:rPr>
          <w:sz w:val="16"/>
        </w:rPr>
        <w:t>Kahn, Jeremy.  Fortune Magazine.  03/19/2001.</w:t>
      </w:r>
    </w:p>
  </w:footnote>
  <w:footnote w:id="19">
    <w:p>
      <w:pPr>
        <w:pStyle w:val="FootnoteText"/>
        <w:rPr/>
      </w:pPr>
      <w:r>
        <w:rPr>
          <w:rStyle w:val="FootnoteCharacters"/>
        </w:rPr>
        <w:footnoteRef/>
      </w:r>
      <w:r>
        <w:rPr/>
        <w:t xml:space="preserve"> </w:t>
      </w:r>
      <w:r>
        <w:rPr>
          <w:i/>
          <w:sz w:val="16"/>
        </w:rPr>
        <w:t>PJM Manual:  M11 Scheduling Operations.</w:t>
      </w:r>
      <w:r>
        <w:rPr/>
        <w:t xml:space="preserve">  </w:t>
      </w:r>
      <w:r>
        <w:rPr>
          <w:sz w:val="16"/>
        </w:rPr>
        <w:t>http://pubs.pjm.com/dynaweb/PJMpubp/m11/@Generic__BookView</w:t>
      </w:r>
    </w:p>
  </w:footnote>
  <w:footnote w:id="20">
    <w:p>
      <w:pPr>
        <w:pStyle w:val="FootnoteText"/>
        <w:rPr/>
      </w:pPr>
      <w:r>
        <w:rPr>
          <w:rStyle w:val="FootnoteCharacters"/>
        </w:rPr>
        <w:footnoteRef/>
      </w:r>
      <w:r>
        <w:rPr/>
        <w:t xml:space="preserve"> </w:t>
      </w:r>
      <w:r>
        <w:rPr>
          <w:i/>
          <w:sz w:val="16"/>
        </w:rPr>
        <w:t xml:space="preserve">Forward Markets for Transmission that Clear at LMP:  A Hybrid Proposal.  </w:t>
      </w:r>
      <w:r>
        <w:rPr>
          <w:sz w:val="16"/>
        </w:rPr>
        <w:t>Tabors, Richard</w:t>
      </w:r>
      <w:r>
        <w:rPr>
          <w:i/>
          <w:sz w:val="16"/>
        </w:rPr>
        <w:t xml:space="preserve">.  </w:t>
      </w:r>
      <w:r>
        <w:rPr>
          <w:sz w:val="16"/>
        </w:rPr>
        <w:t>Proceedings of the 34</w:t>
      </w:r>
      <w:r>
        <w:rPr>
          <w:sz w:val="16"/>
          <w:vertAlign w:val="superscript"/>
        </w:rPr>
        <w:t>th</w:t>
      </w:r>
      <w:r>
        <w:rPr>
          <w:sz w:val="16"/>
        </w:rPr>
        <w:t xml:space="preserve"> Hawii International Conference on System Sciences –2001</w:t>
      </w:r>
    </w:p>
  </w:footnote>
  <w:footnote w:id="21">
    <w:p>
      <w:pPr>
        <w:pStyle w:val="FootnoteText"/>
        <w:rPr/>
      </w:pPr>
      <w:r>
        <w:rPr>
          <w:rStyle w:val="FootnoteCharacters"/>
        </w:rPr>
        <w:footnoteRef/>
      </w:r>
      <w:r>
        <w:rPr>
          <w:sz w:val="16"/>
        </w:rPr>
        <w:t xml:space="preserve"> </w:t>
      </w:r>
      <w:hyperlink r:id="rId3">
        <w:r>
          <w:rPr>
            <w:rStyle w:val="Hyperlink"/>
            <w:sz w:val="16"/>
          </w:rPr>
          <w:t>http://www.pjm.org/</w:t>
        </w:r>
      </w:hyperlink>
      <w:r>
        <w:rPr>
          <w:sz w:val="16"/>
        </w:rPr>
        <w:t>.  4/16/01.</w:t>
      </w:r>
    </w:p>
  </w:footnote>
  <w:footnote w:id="22">
    <w:p>
      <w:pPr>
        <w:pStyle w:val="FootnoteText"/>
        <w:rPr/>
      </w:pPr>
      <w:r>
        <w:rPr>
          <w:rStyle w:val="FootnoteCharacters"/>
        </w:rPr>
        <w:footnoteRef/>
      </w:r>
      <w:r>
        <w:rPr/>
        <w:t>California Public Utilities Commission. “CPUC Proposes New Electric Industry Market Structure in California to Provide Competition and Consumer Choice.”</w:t>
      </w:r>
    </w:p>
    <w:p>
      <w:pPr>
        <w:pStyle w:val="FootnoteText"/>
        <w:rPr/>
      </w:pPr>
      <w:hyperlink r:id="rId4">
        <w:r>
          <w:rPr>
            <w:rStyle w:val="Hyperlink"/>
          </w:rPr>
          <w:t>http://www.cpuc.ca.gov/electric_restructuring/news.txt</w:t>
        </w:r>
      </w:hyperlink>
      <w:r>
        <w:rPr/>
        <w:t>.</w:t>
      </w:r>
    </w:p>
  </w:footnote>
  <w:footnote w:id="23">
    <w:p>
      <w:pPr>
        <w:pStyle w:val="FootnoteText"/>
        <w:rPr/>
      </w:pPr>
      <w:r>
        <w:rPr>
          <w:rStyle w:val="FootnoteCharacters"/>
        </w:rPr>
        <w:footnoteRef/>
      </w:r>
      <w:r>
        <w:rPr/>
        <w:t xml:space="preserve"> </w:t>
      </w:r>
      <w:r>
        <w:rPr/>
        <w:t xml:space="preserve">California Power Exchange. “California’s New Electricity Market.  Great Expectations: What Happens When New Markets Open?” 27 March 1998: 3. </w:t>
      </w:r>
      <w:hyperlink r:id="rId5">
        <w:r>
          <w:rPr>
            <w:rStyle w:val="Hyperlink"/>
          </w:rPr>
          <w:t>http://www.calpx.com/news/publications/greatexpectations.doc</w:t>
        </w:r>
      </w:hyperlink>
      <w:r>
        <w:rPr/>
        <w:t xml:space="preserve">. </w:t>
      </w:r>
    </w:p>
    <w:p>
      <w:pPr>
        <w:pStyle w:val="FootnoteText"/>
        <w:rPr/>
      </w:pPr>
      <w:r>
        <w:rPr/>
        <w:t xml:space="preserve">Ivanovich, David. “Local Companies in Midst of Calif. Energy Crisis.” </w:t>
      </w:r>
      <w:r>
        <w:rPr>
          <w:i/>
        </w:rPr>
        <w:t>Houston Chronicle</w:t>
      </w:r>
      <w:r>
        <w:rPr/>
        <w:t xml:space="preserve"> 13 January 2001: A1, A16.</w:t>
      </w:r>
    </w:p>
  </w:footnote>
  <w:footnote w:id="24">
    <w:p>
      <w:pPr>
        <w:pStyle w:val="FootnoteText"/>
        <w:rPr/>
      </w:pPr>
      <w:r>
        <w:rPr>
          <w:rStyle w:val="FootnoteCharacters"/>
        </w:rPr>
        <w:footnoteRef/>
      </w:r>
      <w:r>
        <w:rPr/>
        <w:t xml:space="preserve"> </w:t>
      </w:r>
      <w:r>
        <w:rPr/>
        <w:t xml:space="preserve">Borenstein, Severin and James Bushnell. “Electricity Restructuring: Deregulation or Reregulation?” </w:t>
      </w:r>
      <w:r>
        <w:rPr>
          <w:i/>
        </w:rPr>
        <w:t>Regulation</w:t>
      </w:r>
      <w:r>
        <w:rPr/>
        <w:t>, Vol. 23, No. 2 (2000): 47.</w:t>
      </w:r>
    </w:p>
  </w:footnote>
  <w:footnote w:id="25">
    <w:p>
      <w:pPr>
        <w:pStyle w:val="FootnoteText"/>
        <w:rPr/>
      </w:pPr>
      <w:r>
        <w:rPr>
          <w:rStyle w:val="FootnoteCharacters"/>
        </w:rPr>
        <w:footnoteRef/>
      </w:r>
      <w:r>
        <w:rPr/>
        <w:t xml:space="preserve"> </w:t>
      </w:r>
      <w:r>
        <w:rPr/>
        <w:t xml:space="preserve">California Public Utilities Commission. “CPUC Proposes New Electric Industry Market Structure in California to Provide Competition and Consumer Choice.” </w:t>
      </w:r>
    </w:p>
  </w:footnote>
  <w:footnote w:id="26">
    <w:p>
      <w:pPr>
        <w:pStyle w:val="FootnoteText"/>
        <w:rPr/>
      </w:pPr>
      <w:r>
        <w:rPr>
          <w:rStyle w:val="FootnoteCharacters"/>
        </w:rPr>
        <w:footnoteRef/>
      </w:r>
      <w:r>
        <w:rPr/>
        <w:t xml:space="preserve"> </w:t>
      </w:r>
      <w:r>
        <w:rPr/>
        <w:t xml:space="preserve">Michaels, Robert. “Stranded in Sacramento: California Tries Legislating Electrical Competition.” </w:t>
      </w:r>
      <w:r>
        <w:rPr>
          <w:i/>
        </w:rPr>
        <w:t>Regulation</w:t>
      </w:r>
      <w:r>
        <w:rPr/>
        <w:t>, Vol. 20, No. 2 (1997): 3 of 10.</w:t>
      </w:r>
    </w:p>
  </w:footnote>
  <w:footnote w:id="27">
    <w:p>
      <w:pPr>
        <w:pStyle w:val="FootnoteText"/>
        <w:rPr/>
      </w:pPr>
      <w:r>
        <w:rPr>
          <w:rStyle w:val="FootnoteCharacters"/>
        </w:rPr>
        <w:footnoteRef/>
      </w:r>
      <w:r>
        <w:rPr/>
        <w:t xml:space="preserve"> </w:t>
      </w:r>
      <w:r>
        <w:rPr/>
        <w:t xml:space="preserve">California Public Utilities Commission. “Electric Restructuring Fact Sheet”: 2 of 10. </w:t>
      </w:r>
    </w:p>
    <w:p>
      <w:pPr>
        <w:pStyle w:val="FootnoteText"/>
        <w:rPr/>
      </w:pPr>
      <w:hyperlink r:id="rId6">
        <w:r>
          <w:rPr>
            <w:rStyle w:val="Hyperlink"/>
          </w:rPr>
          <w:t>http://www.cpuc.ca.gov/electric_restructuring/factshe.html</w:t>
        </w:r>
      </w:hyperlink>
      <w:r>
        <w:rPr/>
        <w:t xml:space="preserve">. </w:t>
      </w:r>
    </w:p>
  </w:footnote>
  <w:footnote w:id="28">
    <w:p>
      <w:pPr>
        <w:pStyle w:val="FootnoteText"/>
        <w:rPr/>
      </w:pPr>
      <w:r>
        <w:rPr>
          <w:rStyle w:val="FootnoteCharacters"/>
        </w:rPr>
        <w:footnoteRef/>
      </w:r>
      <w:r>
        <w:rPr/>
        <w:t xml:space="preserve"> </w:t>
      </w:r>
      <w:r>
        <w:rPr>
          <w:i/>
        </w:rPr>
        <w:t>Ibid.</w:t>
      </w:r>
    </w:p>
  </w:footnote>
  <w:footnote w:id="29">
    <w:p>
      <w:pPr>
        <w:pStyle w:val="FootnoteText"/>
        <w:rPr/>
      </w:pPr>
      <w:r>
        <w:rPr>
          <w:rStyle w:val="FootnoteCharacters"/>
        </w:rPr>
        <w:footnoteRef/>
      </w:r>
      <w:r>
        <w:rPr/>
        <w:t xml:space="preserve"> </w:t>
      </w:r>
      <w:r>
        <w:rPr/>
        <w:t>Michaels, Robert J. “Stranded in Sacramento: California Tries Legislating Electrical Competition”: 1of 10.</w:t>
      </w:r>
    </w:p>
  </w:footnote>
  <w:footnote w:id="30">
    <w:p>
      <w:pPr>
        <w:pStyle w:val="FootnoteText"/>
        <w:rPr/>
      </w:pPr>
      <w:r>
        <w:rPr>
          <w:rStyle w:val="FootnoteCharacters"/>
        </w:rPr>
        <w:footnoteRef/>
      </w:r>
      <w:r>
        <w:rPr/>
        <w:t xml:space="preserve"> </w:t>
      </w:r>
      <w:r>
        <w:rPr/>
        <w:t>Ivanovich, David. “Local Companies in Midst of Calif. Energy Crisis”: A1, A16.</w:t>
      </w:r>
    </w:p>
  </w:footnote>
  <w:footnote w:id="31">
    <w:p>
      <w:pPr>
        <w:pStyle w:val="FootnoteText"/>
        <w:rPr/>
      </w:pPr>
      <w:r>
        <w:rPr>
          <w:rStyle w:val="FootnoteCharacters"/>
        </w:rPr>
        <w:footnoteRef/>
      </w:r>
      <w:r>
        <w:rPr/>
        <w:t xml:space="preserve"> </w:t>
      </w:r>
      <w:r>
        <w:rPr>
          <w:i/>
        </w:rPr>
        <w:t>Ibid</w:t>
      </w:r>
      <w:r>
        <w:rPr/>
        <w:t>.</w:t>
      </w:r>
    </w:p>
  </w:footnote>
  <w:footnote w:id="32">
    <w:p>
      <w:pPr>
        <w:pStyle w:val="FootnoteText"/>
        <w:rPr/>
      </w:pPr>
      <w:r>
        <w:rPr>
          <w:rStyle w:val="FootnoteCharacters"/>
        </w:rPr>
        <w:footnoteRef/>
      </w:r>
      <w:r>
        <w:rPr/>
        <w:t xml:space="preserve"> </w:t>
      </w:r>
      <w:r>
        <w:rPr>
          <w:i/>
        </w:rPr>
        <w:t>Ibid</w:t>
      </w:r>
      <w:r>
        <w:rPr/>
        <w:t>.</w:t>
      </w:r>
    </w:p>
  </w:footnote>
  <w:footnote w:id="33">
    <w:p>
      <w:pPr>
        <w:pStyle w:val="FootnoteText"/>
        <w:rPr/>
      </w:pPr>
      <w:r>
        <w:rPr>
          <w:rStyle w:val="FootnoteCharacters"/>
        </w:rPr>
        <w:footnoteRef/>
      </w:r>
      <w:r>
        <w:rPr/>
        <w:t xml:space="preserve"> </w:t>
      </w:r>
      <w:r>
        <w:rPr/>
        <w:t xml:space="preserve">Holson, Laura M. and Richard A. Oppel, Jr. “Trying to Follow the Money as Energy System Flounders.” </w:t>
      </w:r>
      <w:r>
        <w:rPr>
          <w:i/>
        </w:rPr>
        <w:t>New York Times</w:t>
      </w:r>
      <w:r>
        <w:rPr/>
        <w:t xml:space="preserve"> 12 January 2001: A1, C5.</w:t>
      </w:r>
    </w:p>
  </w:footnote>
  <w:footnote w:id="34">
    <w:p>
      <w:pPr>
        <w:pStyle w:val="FootnoteText"/>
        <w:rPr/>
      </w:pPr>
      <w:r>
        <w:rPr>
          <w:rStyle w:val="FootnoteCharacters"/>
        </w:rPr>
        <w:footnoteRef/>
      </w:r>
      <w:r>
        <w:rPr/>
        <w:t xml:space="preserve"> </w:t>
      </w:r>
      <w:r>
        <w:rPr/>
        <w:t xml:space="preserve">Sterngold, James. “Power Shutoff is Just Avoided in California.” </w:t>
      </w:r>
      <w:r>
        <w:rPr>
          <w:i/>
        </w:rPr>
        <w:t>New York Times</w:t>
      </w:r>
      <w:r>
        <w:rPr/>
        <w:t xml:space="preserve"> 12 January 2001: A1, C5.</w:t>
      </w:r>
    </w:p>
  </w:footnote>
  <w:footnote w:id="35">
    <w:p>
      <w:pPr>
        <w:pStyle w:val="FootnoteText"/>
        <w:rPr/>
      </w:pPr>
      <w:r>
        <w:rPr>
          <w:rStyle w:val="FootnoteCharacters"/>
        </w:rPr>
        <w:footnoteRef/>
      </w:r>
      <w:r>
        <w:rPr/>
        <w:t xml:space="preserve"> </w:t>
      </w:r>
      <w:r>
        <w:rPr/>
        <w:t>Ivanovich, David. “Local Companies in Midst of Calif. Energy Crisis”: A1, A16.</w:t>
      </w:r>
    </w:p>
  </w:footnote>
  <w:footnote w:id="36">
    <w:p>
      <w:pPr>
        <w:pStyle w:val="FootnoteText"/>
        <w:rPr/>
      </w:pPr>
      <w:r>
        <w:rPr>
          <w:rStyle w:val="FootnoteCharacters"/>
        </w:rPr>
        <w:footnoteRef/>
      </w:r>
      <w:r>
        <w:rPr/>
        <w:t xml:space="preserve"> </w:t>
      </w:r>
      <w:r>
        <w:rPr>
          <w:i/>
        </w:rPr>
        <w:t>Ibid</w:t>
      </w:r>
      <w:r>
        <w:rPr/>
        <w:t>.</w:t>
      </w:r>
    </w:p>
  </w:footnote>
  <w:footnote w:id="37">
    <w:p>
      <w:pPr>
        <w:pStyle w:val="FootnoteText"/>
        <w:rPr/>
      </w:pPr>
      <w:r>
        <w:rPr>
          <w:rStyle w:val="FootnoteCharacters"/>
        </w:rPr>
        <w:footnoteRef/>
      </w:r>
      <w:r>
        <w:rPr/>
        <w:t xml:space="preserve"> </w:t>
      </w:r>
      <w:r>
        <w:rPr>
          <w:i/>
        </w:rPr>
        <w:t>Ibid.</w:t>
      </w:r>
    </w:p>
  </w:footnote>
  <w:footnote w:id="38">
    <w:p>
      <w:pPr>
        <w:pStyle w:val="FootnoteText"/>
        <w:rPr/>
      </w:pPr>
      <w:r>
        <w:rPr>
          <w:rStyle w:val="FootnoteCharacters"/>
        </w:rPr>
        <w:footnoteRef/>
      </w:r>
      <w:r>
        <w:rPr/>
        <w:t xml:space="preserve"> </w:t>
      </w:r>
      <w:r>
        <w:rPr/>
        <w:t>California Power Exchange. “California’s New Electricity Market.  Great Expectations: What Happens When New Markets Open”: 4.</w:t>
      </w:r>
    </w:p>
  </w:footnote>
  <w:footnote w:id="39">
    <w:p>
      <w:pPr>
        <w:pStyle w:val="FootnoteText"/>
        <w:rPr/>
      </w:pPr>
      <w:r>
        <w:rPr>
          <w:rStyle w:val="FootnoteCharacters"/>
        </w:rPr>
        <w:footnoteRef/>
      </w:r>
      <w:r>
        <w:rPr/>
        <w:t xml:space="preserve"> </w:t>
      </w:r>
      <w:r>
        <w:rPr/>
        <w:t>Ivanovich, David. “Local Companies in Midst of Calif. Energy Crisis”: A1, A16.</w:t>
      </w:r>
    </w:p>
  </w:footnote>
  <w:footnote w:id="40">
    <w:p>
      <w:pPr>
        <w:pStyle w:val="FootnoteText"/>
        <w:rPr/>
      </w:pPr>
      <w:r>
        <w:rPr>
          <w:rStyle w:val="FootnoteCharacters"/>
        </w:rPr>
        <w:footnoteRef/>
      </w:r>
      <w:r>
        <w:rPr/>
        <w:t xml:space="preserve"> </w:t>
      </w:r>
      <w:r>
        <w:rPr/>
        <w:t>Holson, Laura M. and Richard A. Oppel, Jr. “Trying to Follow the Money as Energy System Flounders”: C5.</w:t>
      </w:r>
    </w:p>
  </w:footnote>
  <w:footnote w:id="41">
    <w:p>
      <w:pPr>
        <w:pStyle w:val="FootnoteText"/>
        <w:rPr/>
      </w:pPr>
      <w:r>
        <w:rPr>
          <w:rStyle w:val="FootnoteCharacters"/>
        </w:rPr>
        <w:footnoteRef/>
      </w:r>
      <w:r>
        <w:rPr/>
        <w:t xml:space="preserve"> </w:t>
      </w:r>
      <w:r>
        <w:rPr/>
        <w:t>Ivanovich, David. “Local Companies in Midst of Calif. Energy Crisis”: A1, A16.</w:t>
      </w:r>
    </w:p>
  </w:footnote>
  <w:footnote w:id="42">
    <w:p>
      <w:pPr>
        <w:pStyle w:val="FootnoteText"/>
        <w:rPr/>
      </w:pPr>
      <w:r>
        <w:rPr>
          <w:rStyle w:val="FootnoteCharacters"/>
        </w:rPr>
        <w:footnoteRef/>
      </w:r>
      <w:r>
        <w:rPr/>
        <w:t xml:space="preserve"> </w:t>
      </w:r>
      <w:r>
        <w:rPr/>
        <w:t xml:space="preserve">Purdum, Todd S. “California’s Power Crisis Replays a Familiar Theme.” </w:t>
      </w:r>
      <w:r>
        <w:rPr>
          <w:i/>
        </w:rPr>
        <w:t>New York Times</w:t>
      </w:r>
      <w:r>
        <w:rPr/>
        <w:t xml:space="preserve"> 25 January 2001: A1.</w:t>
      </w:r>
    </w:p>
  </w:footnote>
  <w:footnote w:id="43">
    <w:p>
      <w:pPr>
        <w:pStyle w:val="FootnoteText"/>
        <w:rPr/>
      </w:pPr>
      <w:r>
        <w:rPr>
          <w:rStyle w:val="FootnoteCharacters"/>
        </w:rPr>
        <w:footnoteRef/>
      </w:r>
      <w:r>
        <w:rPr/>
        <w:t xml:space="preserve"> </w:t>
      </w:r>
      <w:r>
        <w:rPr/>
        <w:t>California Energy Commission. “California Energy Generation, 1990 to 1999”: 1of 2.</w:t>
      </w:r>
    </w:p>
    <w:p>
      <w:pPr>
        <w:pStyle w:val="FootnoteText"/>
        <w:rPr/>
      </w:pPr>
      <w:hyperlink r:id="rId7">
        <w:r>
          <w:rPr>
            <w:rStyle w:val="Hyperlink"/>
          </w:rPr>
          <w:t>http://www.energy.ca.gov/electricity/electricitygen.html</w:t>
        </w:r>
      </w:hyperlink>
      <w:r>
        <w:rPr/>
        <w:t xml:space="preserve">. </w:t>
      </w:r>
    </w:p>
  </w:footnote>
  <w:footnote w:id="44">
    <w:p>
      <w:pPr>
        <w:pStyle w:val="FootnoteText"/>
        <w:rPr/>
      </w:pPr>
      <w:r>
        <w:rPr>
          <w:rStyle w:val="FootnoteCharacters"/>
        </w:rPr>
        <w:footnoteRef/>
      </w:r>
      <w:r>
        <w:rPr/>
        <w:t xml:space="preserve"> </w:t>
      </w:r>
      <w:r>
        <w:rPr/>
        <w:t>California Department of Finance, Demographic Research Unit. “Components of Change in California’s Civilian Population as of July 1, 1970 to 1999.”</w:t>
      </w:r>
    </w:p>
    <w:p>
      <w:pPr>
        <w:pStyle w:val="FootnoteText"/>
        <w:rPr/>
      </w:pPr>
      <w:hyperlink r:id="rId8">
        <w:r>
          <w:rPr>
            <w:rStyle w:val="Hyperlink"/>
          </w:rPr>
          <w:t>http://www.dof.ca.gov/html/fs_data/stat-abs/tables/b2.xls</w:t>
        </w:r>
      </w:hyperlink>
      <w:r>
        <w:rPr/>
        <w:t xml:space="preserve">. </w:t>
      </w:r>
    </w:p>
  </w:footnote>
  <w:footnote w:id="45">
    <w:p>
      <w:pPr>
        <w:pStyle w:val="FootnoteText"/>
        <w:rPr/>
      </w:pPr>
      <w:r>
        <w:rPr>
          <w:rStyle w:val="FootnoteCharacters"/>
        </w:rPr>
        <w:footnoteRef/>
      </w:r>
      <w:r>
        <w:rPr/>
        <w:t xml:space="preserve"> </w:t>
      </w:r>
      <w:r>
        <w:rPr/>
        <w:t>California Energy Commission. “California Energy Generation, 1990 to 1999”: 1of 2.</w:t>
      </w:r>
    </w:p>
    <w:p>
      <w:pPr>
        <w:pStyle w:val="FootnoteText"/>
        <w:rPr/>
      </w:pPr>
      <w:r>
        <w:rPr/>
        <w:t>California Department of Finance, Demographic Research Unit. “Components of Change in California’s Civilian Population as of July 1, 1970 to 1999.”</w:t>
      </w:r>
    </w:p>
  </w:footnote>
  <w:footnote w:id="46">
    <w:p>
      <w:pPr>
        <w:pStyle w:val="FootnoteText"/>
        <w:rPr/>
      </w:pPr>
      <w:r>
        <w:rPr>
          <w:rStyle w:val="FootnoteCharacters"/>
        </w:rPr>
        <w:footnoteRef/>
      </w:r>
      <w:r>
        <w:rPr/>
        <w:t xml:space="preserve"> </w:t>
      </w:r>
      <w:r>
        <w:rPr/>
        <w:t xml:space="preserve">Gaither, Chris. “The Dog Day in June the Lights Went Out: Silicon Valley’s Achilles’ Heel is Exposed.” </w:t>
      </w:r>
      <w:r>
        <w:rPr>
          <w:i/>
        </w:rPr>
        <w:t>New York Times</w:t>
      </w:r>
      <w:r>
        <w:rPr/>
        <w:t xml:space="preserve"> 12 January 2001: C1, 4.</w:t>
      </w:r>
    </w:p>
  </w:footnote>
  <w:footnote w:id="47">
    <w:p>
      <w:pPr>
        <w:pStyle w:val="FootnoteText"/>
        <w:rPr/>
      </w:pPr>
      <w:r>
        <w:rPr>
          <w:rStyle w:val="FootnoteCharacters"/>
        </w:rPr>
        <w:footnoteRef/>
      </w:r>
      <w:r>
        <w:rPr/>
        <w:t xml:space="preserve"> </w:t>
      </w:r>
      <w:r>
        <w:rPr/>
        <w:t>Holson, Laura M. and Richard A. Oppel, Jr. “Trying to Follow the Money as Energy System Flounders”: C5.  Ivanovich, David. “Local Companies in Midst of Calif. Energy Crisis”: A1, A16.</w:t>
      </w:r>
    </w:p>
  </w:footnote>
  <w:footnote w:id="48">
    <w:p>
      <w:pPr>
        <w:pStyle w:val="FootnoteText"/>
        <w:rPr/>
      </w:pPr>
      <w:r>
        <w:rPr>
          <w:rStyle w:val="FootnoteCharacters"/>
        </w:rPr>
        <w:footnoteRef/>
      </w:r>
      <w:r>
        <w:rPr/>
        <w:t xml:space="preserve"> </w:t>
      </w:r>
      <w:r>
        <w:rPr/>
        <w:t xml:space="preserve">VanDoren, Peter and Jerry Taylor. “Electricity Deregulation Must Target Demand.” </w:t>
      </w:r>
      <w:r>
        <w:rPr>
          <w:i/>
        </w:rPr>
        <w:t>Cato: Today’s Commentary</w:t>
      </w:r>
      <w:r>
        <w:rPr/>
        <w:t xml:space="preserve"> 23 January 2001: 2 of 3. </w:t>
      </w:r>
      <w:hyperlink r:id="rId9">
        <w:r>
          <w:rPr>
            <w:rStyle w:val="Hyperlink"/>
          </w:rPr>
          <w:t>http://www.cato.org/dailys/01-23-01.html</w:t>
        </w:r>
      </w:hyperlink>
      <w:r>
        <w:rPr/>
        <w:t xml:space="preserve">. </w:t>
      </w:r>
    </w:p>
  </w:footnote>
  <w:footnote w:id="49">
    <w:p>
      <w:pPr>
        <w:pStyle w:val="FootnoteText"/>
        <w:rPr/>
      </w:pPr>
      <w:r>
        <w:rPr>
          <w:rStyle w:val="FootnoteCharacters"/>
        </w:rPr>
        <w:footnoteRef/>
      </w:r>
      <w:r>
        <w:rPr/>
        <w:t xml:space="preserve"> </w:t>
      </w:r>
      <w:r>
        <w:rPr>
          <w:i/>
        </w:rPr>
        <w:t>Ibid</w:t>
      </w:r>
      <w:r>
        <w:rPr/>
        <w:t xml:space="preserve">.  Howard, John. “California Just Misses Blackouts.” </w:t>
      </w:r>
      <w:r>
        <w:rPr>
          <w:i/>
        </w:rPr>
        <w:t>Houston Chronicle</w:t>
      </w:r>
      <w:r>
        <w:rPr/>
        <w:t xml:space="preserve"> 17 January 2001:1C, 4C.</w:t>
      </w:r>
    </w:p>
  </w:footnote>
  <w:footnote w:id="50">
    <w:p>
      <w:pPr>
        <w:pStyle w:val="FootnoteText"/>
        <w:rPr/>
      </w:pPr>
      <w:r>
        <w:rPr>
          <w:rStyle w:val="FootnoteCharacters"/>
        </w:rPr>
        <w:footnoteRef/>
      </w:r>
      <w:r>
        <w:rPr/>
        <w:t xml:space="preserve"> </w:t>
      </w:r>
      <w:r>
        <w:rPr>
          <w:i/>
        </w:rPr>
        <w:t>Ibid</w:t>
      </w:r>
      <w:r>
        <w:rPr/>
        <w:t>.</w:t>
      </w:r>
    </w:p>
  </w:footnote>
  <w:footnote w:id="51">
    <w:p>
      <w:pPr>
        <w:pStyle w:val="FootnoteText"/>
        <w:rPr/>
      </w:pPr>
      <w:r>
        <w:rPr>
          <w:rStyle w:val="FootnoteCharacters"/>
        </w:rPr>
        <w:footnoteRef/>
      </w:r>
      <w:r>
        <w:rPr/>
        <w:t xml:space="preserve"> </w:t>
      </w:r>
      <w:r>
        <w:rPr/>
        <w:t xml:space="preserve">Holson, Laura M. and Richard A. Oppel, Jr. “Trying to Follow the Money as Energy System Flounders”: C5.   </w:t>
      </w:r>
    </w:p>
  </w:footnote>
  <w:footnote w:id="52">
    <w:p>
      <w:pPr>
        <w:pStyle w:val="FootnoteText"/>
        <w:rPr/>
      </w:pPr>
      <w:r>
        <w:rPr>
          <w:rStyle w:val="FootnoteCharacters"/>
        </w:rPr>
        <w:footnoteRef/>
      </w:r>
      <w:r>
        <w:rPr/>
        <w:t xml:space="preserve"> </w:t>
      </w:r>
      <w:r>
        <w:rPr/>
        <w:t>Egan, Timothy and Sam Howe Verhovek. “California’s Panic was Moneymaker for Energy Sellers”: A1, A20.</w:t>
      </w:r>
    </w:p>
  </w:footnote>
  <w:footnote w:id="53">
    <w:p>
      <w:pPr>
        <w:pStyle w:val="FootnoteText"/>
        <w:rPr/>
      </w:pPr>
      <w:r>
        <w:rPr>
          <w:rStyle w:val="FootnoteCharacters"/>
        </w:rPr>
        <w:footnoteRef/>
      </w:r>
      <w:r>
        <w:rPr/>
        <w:t xml:space="preserve"> </w:t>
      </w:r>
      <w:r>
        <w:rPr/>
        <w:t xml:space="preserve">California Energy Commission. “Wholesale Electricity Price Review, June 2000: Observations and Outlook.” </w:t>
      </w:r>
      <w:hyperlink r:id="rId10">
        <w:r>
          <w:rPr>
            <w:rStyle w:val="Hyperlink"/>
          </w:rPr>
          <w:t>http://www.energy.ca.gov/electricity/wepr/2000-06/index.html</w:t>
        </w:r>
      </w:hyperlink>
      <w:r>
        <w:rPr/>
        <w:t xml:space="preserve">.  California Energy Commission. “Wholesale Electricity Price Review, December 2000: Observations and Outlook.”   </w:t>
      </w:r>
    </w:p>
  </w:footnote>
  <w:footnote w:id="54">
    <w:p>
      <w:pPr>
        <w:pStyle w:val="FootnoteText"/>
        <w:rPr/>
      </w:pPr>
      <w:r>
        <w:rPr>
          <w:rStyle w:val="FootnoteCharacters"/>
        </w:rPr>
        <w:footnoteRef/>
      </w:r>
      <w:r>
        <w:rPr/>
        <w:t xml:space="preserve"> </w:t>
      </w:r>
      <w:r>
        <w:rPr/>
        <w:t>Ivanovich, David. “Local Companies in Midst of Calif. Energy Crisis”: A1, A16.</w:t>
      </w:r>
    </w:p>
  </w:footnote>
  <w:footnote w:id="55">
    <w:p>
      <w:pPr>
        <w:pStyle w:val="FootnoteText"/>
        <w:rPr/>
      </w:pPr>
      <w:r>
        <w:rPr>
          <w:rStyle w:val="FootnoteCharacters"/>
        </w:rPr>
        <w:footnoteRef/>
      </w:r>
      <w:r>
        <w:rPr/>
        <w:t xml:space="preserve"> </w:t>
      </w:r>
      <w:r>
        <w:rPr>
          <w:i/>
        </w:rPr>
        <w:t>Ibid</w:t>
      </w:r>
      <w:r>
        <w:rPr/>
        <w:t xml:space="preserve">.  California Energy Commission. “Wholesale Electricity Price Review, December 2000: Observations and Outlook.”   </w:t>
      </w:r>
    </w:p>
  </w:footnote>
  <w:footnote w:id="56">
    <w:p>
      <w:pPr>
        <w:pStyle w:val="FootnoteText"/>
        <w:rPr/>
      </w:pPr>
      <w:r>
        <w:rPr>
          <w:rStyle w:val="FootnoteCharacters"/>
        </w:rPr>
        <w:footnoteRef/>
      </w:r>
      <w:r>
        <w:rPr/>
        <w:t xml:space="preserve"> </w:t>
      </w:r>
      <w:r>
        <w:rPr>
          <w:i/>
        </w:rPr>
        <w:t>Ibid</w:t>
      </w:r>
      <w:r>
        <w:rPr/>
        <w:t>.</w:t>
      </w:r>
    </w:p>
  </w:footnote>
  <w:footnote w:id="57">
    <w:p>
      <w:pPr>
        <w:pStyle w:val="FootnoteText"/>
        <w:rPr/>
      </w:pPr>
      <w:r>
        <w:rPr>
          <w:rStyle w:val="FootnoteCharacters"/>
        </w:rPr>
        <w:footnoteRef/>
      </w:r>
      <w:r>
        <w:rPr/>
        <w:t xml:space="preserve"> </w:t>
      </w:r>
      <w:r>
        <w:rPr/>
        <w:t>California Energy Commission. “Wholesale Electricity Price Review, December 2000: Observations and Outlook.”</w:t>
      </w:r>
    </w:p>
  </w:footnote>
  <w:footnote w:id="58">
    <w:p>
      <w:pPr>
        <w:pStyle w:val="FootnoteText"/>
        <w:rPr/>
      </w:pPr>
      <w:r>
        <w:rPr>
          <w:rStyle w:val="FootnoteCharacters"/>
        </w:rPr>
        <w:footnoteRef/>
      </w:r>
      <w:r>
        <w:rPr/>
        <w:t xml:space="preserve"> </w:t>
      </w:r>
      <w:r>
        <w:rPr/>
        <w:t xml:space="preserve">Holson, Laura M. and Richard A. Oppel, Jr. “Trying to Follow the Money as Energy System Flounders”: C5. </w:t>
      </w:r>
    </w:p>
  </w:footnote>
  <w:footnote w:id="59">
    <w:p>
      <w:pPr>
        <w:pStyle w:val="FootnoteText"/>
        <w:rPr/>
      </w:pPr>
      <w:r>
        <w:rPr>
          <w:rStyle w:val="FootnoteCharacters"/>
        </w:rPr>
        <w:footnoteRef/>
      </w:r>
      <w:r>
        <w:rPr/>
        <w:t xml:space="preserve"> </w:t>
      </w:r>
      <w:r>
        <w:rPr>
          <w:i/>
        </w:rPr>
        <w:t>Ibid</w:t>
      </w:r>
      <w:r>
        <w:rPr/>
        <w:t>.</w:t>
      </w:r>
    </w:p>
  </w:footnote>
  <w:footnote w:id="60">
    <w:p>
      <w:pPr>
        <w:pStyle w:val="FootnoteText"/>
        <w:rPr/>
      </w:pPr>
      <w:r>
        <w:rPr>
          <w:rStyle w:val="FootnoteCharacters"/>
        </w:rPr>
        <w:footnoteRef/>
      </w:r>
      <w:r>
        <w:rPr/>
        <w:t xml:space="preserve"> </w:t>
      </w:r>
      <w:r>
        <w:rPr>
          <w:i/>
        </w:rPr>
        <w:t>Ibid</w:t>
      </w:r>
      <w:r>
        <w:rPr/>
        <w:t>.  Egan, Timothy and Sam Howe Verhovek. “California’s Panic was Moneymaker for Energy Sellers”: A1, A20.</w:t>
      </w:r>
    </w:p>
  </w:footnote>
  <w:footnote w:id="61">
    <w:p>
      <w:pPr>
        <w:pStyle w:val="FootnoteText"/>
        <w:rPr/>
      </w:pPr>
      <w:r>
        <w:rPr>
          <w:rStyle w:val="FootnoteCharacters"/>
        </w:rPr>
        <w:t>*</w:t>
      </w:r>
      <w:r>
        <w:rPr/>
        <w:t xml:space="preserve"> </w:t>
      </w:r>
      <w:r>
        <w:rPr/>
        <w:t>San Diego Gas &amp; Electric divested itself of all of its generating assets, allowing it to pass on the costs of the electricity it purchased at wholesale prices to its customers.  This ability has helped it avoid defaulting on obligations, but it raised the electricity bills of its electricity customers 300 percent this past summer.  Holson, Laura A. and Richard A. Oppel, Jr. “Trying to Follow the Money as Energy System Flounders”: C5.</w:t>
      </w:r>
    </w:p>
  </w:footnote>
  <w:footnote w:id="62">
    <w:p>
      <w:pPr>
        <w:pStyle w:val="FootnoteText"/>
        <w:rPr/>
      </w:pPr>
      <w:r>
        <w:rPr>
          <w:rStyle w:val="FootnoteCharacters"/>
        </w:rPr>
        <w:footnoteRef/>
      </w:r>
      <w:r>
        <w:rPr/>
        <w:t xml:space="preserve"> </w:t>
      </w:r>
      <w:r>
        <w:rPr/>
        <w:t xml:space="preserve">Holson, Laura A. “Bankruptcy Judge May be Solution to California Energy Crisis.” </w:t>
      </w:r>
      <w:r>
        <w:rPr>
          <w:i/>
        </w:rPr>
        <w:t>New York Times</w:t>
      </w:r>
      <w:r>
        <w:rPr/>
        <w:t xml:space="preserve"> 18 January 2001: C1.</w:t>
      </w:r>
    </w:p>
  </w:footnote>
  <w:footnote w:id="63">
    <w:p>
      <w:pPr>
        <w:pStyle w:val="FootnoteText"/>
        <w:rPr/>
      </w:pPr>
      <w:r>
        <w:rPr>
          <w:rStyle w:val="FootnoteCharacters"/>
        </w:rPr>
        <w:footnoteRef/>
      </w:r>
      <w:r>
        <w:rPr/>
        <w:t xml:space="preserve"> </w:t>
      </w:r>
      <w:r>
        <w:rPr/>
        <w:t xml:space="preserve">Associated Press. “California Senate Backs State Power Buying.” </w:t>
      </w:r>
      <w:r>
        <w:rPr>
          <w:i/>
        </w:rPr>
        <w:t>New York Times</w:t>
      </w:r>
      <w:r>
        <w:rPr/>
        <w:t xml:space="preserve"> 1 February 2001: A17.</w:t>
      </w:r>
    </w:p>
  </w:footnote>
  <w:footnote w:id="64">
    <w:p>
      <w:pPr>
        <w:pStyle w:val="FootnoteText"/>
        <w:rPr/>
      </w:pPr>
      <w:r>
        <w:rPr>
          <w:rStyle w:val="FootnoteCharacters"/>
        </w:rPr>
        <w:footnoteRef/>
      </w:r>
      <w:r>
        <w:rPr/>
        <w:t xml:space="preserve"> </w:t>
      </w:r>
      <w:r>
        <w:rPr/>
        <w:t xml:space="preserve">Sterngold, James. “California Weighs Offers to Sell It More Electricity.” </w:t>
      </w:r>
      <w:r>
        <w:rPr>
          <w:i/>
        </w:rPr>
        <w:t>New York Times</w:t>
      </w:r>
      <w:r>
        <w:rPr/>
        <w:t xml:space="preserve"> 25 January 2001: A1, A20.</w:t>
      </w:r>
    </w:p>
  </w:footnote>
  <w:footnote w:id="65">
    <w:p>
      <w:pPr>
        <w:pStyle w:val="FootnoteText"/>
        <w:rPr/>
      </w:pPr>
      <w:r>
        <w:rPr>
          <w:rStyle w:val="FootnoteCharacters"/>
        </w:rPr>
        <w:footnoteRef/>
      </w:r>
      <w:r>
        <w:rPr/>
        <w:t xml:space="preserve"> </w:t>
      </w:r>
      <w:r>
        <w:rPr/>
        <w:t xml:space="preserve">Associated Press. “California Senate Backs State Power Buying”: A17.  Sterngold, James and Matt Richtel. “Power Source Ends Direct Flow to California Business.” </w:t>
      </w:r>
      <w:r>
        <w:rPr>
          <w:i/>
        </w:rPr>
        <w:t>New York Times</w:t>
      </w:r>
      <w:r>
        <w:rPr/>
        <w:t xml:space="preserve"> 1 February 2001: A17.</w:t>
      </w:r>
    </w:p>
  </w:footnote>
  <w:footnote w:id="66">
    <w:p>
      <w:pPr>
        <w:pStyle w:val="FootnoteText"/>
        <w:rPr/>
      </w:pPr>
      <w:r>
        <w:rPr>
          <w:rStyle w:val="FootnoteCharacters"/>
        </w:rPr>
        <w:footnoteRef/>
      </w:r>
      <w:r>
        <w:rPr/>
        <w:t xml:space="preserve"> </w:t>
      </w:r>
      <w:r>
        <w:rPr/>
        <w:t xml:space="preserve">Purdum, Todd S. “California Passes a $10 Billion Plan for Buying Power.” </w:t>
      </w:r>
      <w:r>
        <w:rPr>
          <w:i/>
        </w:rPr>
        <w:t>New York Times</w:t>
      </w:r>
      <w:r>
        <w:rPr/>
        <w:t xml:space="preserve"> 2 February 2001: A1, A16.</w:t>
      </w:r>
    </w:p>
  </w:footnote>
  <w:footnote w:id="67">
    <w:p>
      <w:pPr>
        <w:pStyle w:val="FootnoteText"/>
        <w:rPr/>
      </w:pPr>
      <w:r>
        <w:rPr>
          <w:rStyle w:val="FootnoteCharacters"/>
        </w:rPr>
        <w:footnoteRef/>
      </w:r>
      <w:r>
        <w:rPr/>
        <w:t xml:space="preserve"> </w:t>
      </w:r>
      <w:r>
        <w:rPr/>
        <w:t xml:space="preserve">Department of Energy. “Energy Secretary Richardson Invokes Emergency Powers to Order Electricity Sales to California.” 14 December 2000: </w:t>
      </w:r>
      <w:hyperlink r:id="rId11">
        <w:r>
          <w:rPr>
            <w:rStyle w:val="Hyperlink"/>
          </w:rPr>
          <w:t>http://www.energy.gov/HQPress/releases00/decpr/pr00309_v.htm</w:t>
        </w:r>
      </w:hyperlink>
      <w:r>
        <w:rPr/>
        <w:t xml:space="preserve">.  </w:t>
      </w:r>
    </w:p>
    <w:p>
      <w:pPr>
        <w:pStyle w:val="FootnoteText"/>
        <w:rPr/>
      </w:pPr>
      <w:r>
        <w:rPr/>
        <w:t xml:space="preserve">Department of Energy. “Energy Secretary Abraham Extends Emergency Orders to Provide Natural Gas and Electricity to California Utilities.” 23 January 2001: </w:t>
      </w:r>
      <w:hyperlink r:id="rId12">
        <w:r>
          <w:rPr>
            <w:rStyle w:val="Hyperlink"/>
          </w:rPr>
          <w:t>http://www.energy.gov/HQPress/releases01/janpr/pr01028_v.htm</w:t>
        </w:r>
      </w:hyperlink>
    </w:p>
  </w:footnote>
  <w:footnote w:id="68">
    <w:p>
      <w:pPr>
        <w:pStyle w:val="FootnoteText"/>
        <w:rPr/>
      </w:pPr>
      <w:r>
        <w:rPr>
          <w:rStyle w:val="FootnoteCharacters"/>
        </w:rPr>
        <w:footnoteRef/>
      </w:r>
      <w:r>
        <w:rPr/>
        <w:t xml:space="preserve"> </w:t>
      </w:r>
      <w:r>
        <w:rPr/>
        <w:t>Associated Press. “California Senate Backs State Power Buying”: A17.  Purdum, Todd S. “California Passes a $10 Billion Plan for Buying Power”: A1, A16.</w:t>
      </w:r>
    </w:p>
  </w:footnote>
  <w:footnote w:id="69">
    <w:p>
      <w:pPr>
        <w:pStyle w:val="FootnoteText"/>
        <w:rPr/>
      </w:pPr>
      <w:r>
        <w:rPr>
          <w:rStyle w:val="FootnoteCharacters"/>
        </w:rPr>
        <w:footnoteRef/>
      </w:r>
      <w:r>
        <w:rPr/>
        <w:t xml:space="preserve"> </w:t>
      </w:r>
      <w:r>
        <w:rPr/>
        <w:t xml:space="preserve">Sterngold, James. “California’s Energy Plan Promises Market Stability and Big Risks.” </w:t>
      </w:r>
      <w:r>
        <w:rPr>
          <w:i/>
        </w:rPr>
        <w:t>New York Times</w:t>
      </w:r>
      <w:r>
        <w:rPr/>
        <w:t xml:space="preserve"> 5 February 2001: A18.</w:t>
      </w:r>
    </w:p>
  </w:footnote>
  <w:footnote w:id="70">
    <w:p>
      <w:pPr>
        <w:pStyle w:val="FootnoteText"/>
        <w:rPr/>
      </w:pPr>
      <w:r>
        <w:rPr>
          <w:rStyle w:val="FootnoteCharacters"/>
        </w:rPr>
        <w:footnoteRef/>
      </w:r>
      <w:r>
        <w:rPr/>
        <w:t xml:space="preserve"> </w:t>
      </w:r>
      <w:r>
        <w:rPr/>
        <w:t xml:space="preserve">Wolfram, Catherine D. “Electricity Markets: Should the Rest of the World Adopt the United Kingdom’s Reforms?” </w:t>
      </w:r>
      <w:r>
        <w:rPr>
          <w:i/>
        </w:rPr>
        <w:t>Regulation</w:t>
      </w:r>
      <w:r>
        <w:rPr/>
        <w:t>, Vol. 22, No. 4 (1999).</w:t>
      </w:r>
    </w:p>
  </w:footnote>
  <w:footnote w:id="71">
    <w:p>
      <w:pPr>
        <w:pStyle w:val="FootnoteText"/>
        <w:rPr/>
      </w:pPr>
      <w:r>
        <w:rPr>
          <w:rStyle w:val="FootnoteCharacters"/>
        </w:rPr>
        <w:footnoteRef/>
      </w:r>
      <w:r>
        <w:rPr/>
        <w:t xml:space="preserve"> </w:t>
      </w:r>
      <w:r>
        <w:rPr>
          <w:i/>
        </w:rPr>
        <w:t>Ibid</w:t>
      </w:r>
      <w:r>
        <w:rPr/>
        <w:t>.</w:t>
      </w:r>
    </w:p>
  </w:footnote>
  <w:footnote w:id="72">
    <w:p>
      <w:pPr>
        <w:pStyle w:val="FootnoteText"/>
        <w:rPr/>
      </w:pPr>
      <w:r>
        <w:rPr>
          <w:rStyle w:val="FootnoteCharacters"/>
        </w:rPr>
        <w:footnoteRef/>
      </w:r>
      <w:r>
        <w:rPr/>
        <w:t xml:space="preserve"> </w:t>
      </w:r>
      <w:r>
        <w:rPr>
          <w:i/>
        </w:rPr>
        <w:t>Ibid</w:t>
      </w:r>
      <w:r>
        <w:rPr/>
        <w:t>.</w:t>
      </w:r>
    </w:p>
  </w:footnote>
  <w:footnote w:id="73">
    <w:p>
      <w:pPr>
        <w:pStyle w:val="FootnoteText"/>
        <w:rPr/>
      </w:pPr>
      <w:r>
        <w:rPr>
          <w:rStyle w:val="FootnoteCharacters"/>
        </w:rPr>
        <w:footnoteRef/>
      </w:r>
      <w:r>
        <w:rPr/>
        <w:t xml:space="preserve"> </w:t>
      </w:r>
      <w:r>
        <w:rPr/>
        <w:t>Sterngold, James. “California Weighs Offers to Sell It More Electricity”: A1, A20.</w:t>
      </w:r>
    </w:p>
  </w:footnote>
  <w:footnote w:id="74">
    <w:p>
      <w:pPr>
        <w:pStyle w:val="FootnoteText"/>
        <w:rPr/>
      </w:pPr>
      <w:r>
        <w:rPr>
          <w:rStyle w:val="FootnoteCharacters"/>
        </w:rPr>
        <w:footnoteRef/>
      </w:r>
      <w:r>
        <w:rPr/>
        <w:t xml:space="preserve"> </w:t>
      </w:r>
      <w:r>
        <w:rPr/>
        <w:t xml:space="preserve">Verhovek, Sam Howe. “Energy’s Chief Declines to Cap Costs of Power.” </w:t>
      </w:r>
      <w:r>
        <w:rPr>
          <w:i/>
        </w:rPr>
        <w:t>New York Times</w:t>
      </w:r>
      <w:r>
        <w:rPr/>
        <w:t xml:space="preserve"> 3 February 2001: A1, A7.</w:t>
      </w:r>
    </w:p>
  </w:footnote>
  <w:footnote w:id="75">
    <w:p>
      <w:pPr>
        <w:pStyle w:val="FootnoteText"/>
        <w:rPr/>
      </w:pPr>
      <w:r>
        <w:rPr>
          <w:rStyle w:val="FootnoteCharacters"/>
        </w:rPr>
        <w:footnoteRef/>
      </w:r>
      <w:r>
        <w:rPr/>
        <w:t xml:space="preserve"> </w:t>
      </w:r>
      <w:r>
        <w:rPr>
          <w:i/>
        </w:rPr>
        <w:t>Ibid</w:t>
      </w:r>
      <w:r>
        <w:rPr/>
        <w:t>.</w:t>
      </w:r>
    </w:p>
  </w:footnote>
  <w:footnote w:id="76">
    <w:p>
      <w:pPr>
        <w:pStyle w:val="FootnoteText"/>
        <w:rPr/>
      </w:pPr>
      <w:r>
        <w:rPr>
          <w:rStyle w:val="FootnoteCharacters"/>
        </w:rPr>
        <w:footnoteRef/>
      </w:r>
      <w:r>
        <w:rPr/>
        <w:t xml:space="preserve"> </w:t>
      </w:r>
      <w:r>
        <w:rPr>
          <w:i/>
        </w:rPr>
        <w:t>Ibid</w:t>
      </w:r>
      <w:r>
        <w:rPr/>
        <w:t>.  Egan, Timothy and Sam Howe Verhovek. “California’s Panic was Moneymaker for Energy Sellers”: A1, A20.</w:t>
      </w:r>
    </w:p>
  </w:footnote>
  <w:footnote w:id="77">
    <w:p>
      <w:pPr>
        <w:pStyle w:val="FootnoteText"/>
        <w:rPr/>
      </w:pPr>
      <w:r>
        <w:rPr>
          <w:rStyle w:val="FootnoteCharacters"/>
        </w:rPr>
        <w:footnoteRef/>
      </w:r>
      <w:r>
        <w:rPr/>
        <w:t xml:space="preserve"> </w:t>
      </w:r>
      <w:r>
        <w:rPr/>
        <w:t xml:space="preserve">Kahn, Joseph. “Federal Board Orders Limited Price Caps for California Power.” </w:t>
      </w:r>
      <w:r>
        <w:rPr>
          <w:i/>
          <w:iCs/>
        </w:rPr>
        <w:t xml:space="preserve">New York Times 26 </w:t>
      </w:r>
      <w:r>
        <w:rPr/>
        <w:t>April 2001: A14</w:t>
      </w:r>
    </w:p>
  </w:footnote>
  <w:footnote w:id="78">
    <w:p>
      <w:pPr>
        <w:pStyle w:val="FootnoteText"/>
        <w:rPr/>
      </w:pPr>
      <w:r>
        <w:rPr>
          <w:rStyle w:val="FootnoteCharacters"/>
        </w:rPr>
        <w:footnoteRef/>
      </w:r>
      <w:r>
        <w:rPr/>
        <w:t xml:space="preserve"> </w:t>
      </w:r>
      <w:r>
        <w:rPr>
          <w:i/>
          <w:iCs/>
        </w:rPr>
        <w:t>Ibid.</w:t>
      </w:r>
    </w:p>
  </w:footnote>
  <w:footnote w:id="79">
    <w:p>
      <w:pPr>
        <w:pStyle w:val="FootnoteText"/>
        <w:rPr/>
      </w:pPr>
      <w:r>
        <w:rPr>
          <w:rStyle w:val="FootnoteCharacters"/>
        </w:rPr>
        <w:footnoteRef/>
      </w:r>
      <w:r>
        <w:rPr/>
        <w:t xml:space="preserve"> </w:t>
      </w:r>
      <w:r>
        <w:rPr/>
        <w:t xml:space="preserve">Oppel, Richard A. Jr. “Independent Plants Play Role in Electricity Troubles.” </w:t>
      </w:r>
      <w:r>
        <w:rPr>
          <w:i/>
        </w:rPr>
        <w:t>New York Times</w:t>
      </w:r>
      <w:r>
        <w:rPr/>
        <w:t xml:space="preserve"> 23 January 2001: A1, C4.</w:t>
      </w:r>
    </w:p>
  </w:footnote>
  <w:footnote w:id="80">
    <w:p>
      <w:pPr>
        <w:pStyle w:val="FootnoteText"/>
        <w:rPr/>
      </w:pPr>
      <w:r>
        <w:rPr>
          <w:rStyle w:val="FootnoteCharacters"/>
        </w:rPr>
        <w:footnoteRef/>
      </w:r>
      <w:r>
        <w:rPr/>
        <w:t xml:space="preserve"> </w:t>
      </w:r>
      <w:r>
        <w:rPr>
          <w:i/>
        </w:rPr>
        <w:t>Ibid</w:t>
      </w:r>
      <w:r>
        <w:rPr/>
        <w:t>.</w:t>
      </w:r>
    </w:p>
  </w:footnote>
  <w:footnote w:id="81">
    <w:p>
      <w:pPr>
        <w:pStyle w:val="FootnoteText"/>
        <w:rPr/>
      </w:pPr>
      <w:r>
        <w:rPr>
          <w:rStyle w:val="FootnoteCharacters"/>
        </w:rPr>
        <w:footnoteRef/>
      </w:r>
      <w:r>
        <w:rPr/>
        <w:t xml:space="preserve"> </w:t>
      </w:r>
      <w:r>
        <w:rPr/>
        <w:t xml:space="preserve">Locke, Gary. “Caught in the Electrical Fallout.” </w:t>
      </w:r>
      <w:r>
        <w:rPr>
          <w:i/>
        </w:rPr>
        <w:t xml:space="preserve">New York Times </w:t>
      </w:r>
      <w:r>
        <w:rPr/>
        <w:t>2 February 2001: A21.  Oppel, Richard A. Jr. “Independent Plants Play Role in Electricity Troubles”: A1, C4.</w:t>
      </w:r>
    </w:p>
  </w:footnote>
  <w:footnote w:id="82">
    <w:p>
      <w:pPr>
        <w:pStyle w:val="FootnoteText"/>
        <w:rPr/>
      </w:pPr>
      <w:r>
        <w:rPr>
          <w:rStyle w:val="FootnoteCharacters"/>
        </w:rPr>
        <w:footnoteRef/>
      </w:r>
      <w:r>
        <w:rPr/>
        <w:t xml:space="preserve"> </w:t>
      </w:r>
      <w:r>
        <w:rPr/>
        <w:t>Oppel, Richard A. Jr. “Independent Plants Play Role in Electricity Troubles”: A1, C4.</w:t>
      </w:r>
    </w:p>
  </w:footnote>
  <w:footnote w:id="83">
    <w:p>
      <w:pPr>
        <w:pStyle w:val="FootnoteText"/>
        <w:rPr/>
      </w:pPr>
      <w:r>
        <w:rPr>
          <w:rStyle w:val="FootnoteCharacters"/>
        </w:rPr>
        <w:footnoteRef/>
      </w:r>
      <w:r>
        <w:rPr/>
        <w:t xml:space="preserve"> </w:t>
      </w:r>
      <w:r>
        <w:rPr>
          <w:i/>
        </w:rPr>
        <w:t>Ibid</w:t>
      </w:r>
      <w:r>
        <w:rPr/>
        <w:t>.</w:t>
      </w:r>
    </w:p>
  </w:footnote>
  <w:footnote w:id="84">
    <w:p>
      <w:pPr>
        <w:pStyle w:val="FootnoteText"/>
        <w:rPr/>
      </w:pPr>
      <w:r>
        <w:rPr>
          <w:rStyle w:val="FootnoteCharacters"/>
        </w:rPr>
        <w:footnoteRef/>
      </w:r>
      <w:r>
        <w:rPr/>
        <w:t xml:space="preserve"> </w:t>
      </w:r>
      <w:r>
        <w:rPr/>
        <w:t xml:space="preserve">Symnods, William C. “Trying to Break the Choke Hold.” </w:t>
      </w:r>
      <w:r>
        <w:rPr>
          <w:i/>
        </w:rPr>
        <w:t>Business Week</w:t>
      </w:r>
      <w:r>
        <w:rPr/>
        <w:t xml:space="preserve"> 22 January 2001: 38-39.</w:t>
      </w:r>
    </w:p>
  </w:footnote>
  <w:footnote w:id="85">
    <w:p>
      <w:pPr>
        <w:pStyle w:val="FootnoteText"/>
        <w:rPr/>
      </w:pPr>
      <w:r>
        <w:rPr>
          <w:rStyle w:val="FootnoteCharacters"/>
        </w:rPr>
        <w:footnoteRef/>
      </w:r>
      <w:r>
        <w:rPr/>
        <w:t xml:space="preserve"> </w:t>
      </w:r>
      <w:r>
        <w:rPr/>
        <w:t xml:space="preserve">Sterngold, James. “California Weighs Offers to Sell It More Electricity”: A1, A20.  California Energy Commission. “Wholesale Electricity Price Review, December 2000: Observations and Outlook.”   </w:t>
      </w:r>
    </w:p>
  </w:footnote>
  <w:footnote w:id="86">
    <w:p>
      <w:pPr>
        <w:pStyle w:val="FootnoteText"/>
        <w:rPr/>
      </w:pPr>
      <w:r>
        <w:rPr>
          <w:rStyle w:val="FootnoteCharacters"/>
        </w:rPr>
        <w:footnoteRef/>
      </w:r>
      <w:r>
        <w:rPr/>
        <w:t xml:space="preserve"> </w:t>
      </w:r>
      <w:r>
        <w:rPr/>
        <w:t xml:space="preserve">Holson, Laura M. “California Treasurer Won’t Save Utilities.” </w:t>
      </w:r>
      <w:r>
        <w:rPr>
          <w:i/>
        </w:rPr>
        <w:t>New York Times</w:t>
      </w:r>
      <w:r>
        <w:rPr/>
        <w:t xml:space="preserve"> 9 February 2001: A19.</w:t>
      </w:r>
    </w:p>
  </w:footnote>
  <w:footnote w:id="87">
    <w:p>
      <w:pPr>
        <w:pStyle w:val="FootnoteText"/>
        <w:rPr/>
      </w:pPr>
      <w:r>
        <w:rPr>
          <w:rStyle w:val="FootnoteCharacters"/>
        </w:rPr>
        <w:footnoteRef/>
      </w:r>
      <w:r>
        <w:rPr/>
        <w:t xml:space="preserve"> </w:t>
      </w:r>
      <w:r>
        <w:rPr/>
        <w:t>Davis, Michael. “California Urged to Alter, Not Scrap, Market Approach.” 1C, 3C.</w:t>
      </w:r>
    </w:p>
  </w:footnote>
  <w:footnote w:id="88">
    <w:p>
      <w:pPr>
        <w:pStyle w:val="FootnoteText"/>
        <w:rPr/>
      </w:pPr>
      <w:r>
        <w:rPr>
          <w:rStyle w:val="FootnoteCharacters"/>
        </w:rPr>
        <w:footnoteRef/>
      </w:r>
      <w:r>
        <w:rPr/>
        <w:t xml:space="preserve"> </w:t>
      </w:r>
      <w:r>
        <w:rPr/>
        <w:t>Borenstein, Severin and James Bushnell. “Electricity Restructuring: Deregulation or Reregulation”: 48.</w:t>
      </w:r>
    </w:p>
  </w:footnote>
  <w:footnote w:id="89">
    <w:p>
      <w:pPr>
        <w:pStyle w:val="FootnoteText"/>
        <w:rPr/>
      </w:pPr>
      <w:r>
        <w:rPr>
          <w:rStyle w:val="FootnoteCharacters"/>
        </w:rPr>
        <w:footnoteRef/>
      </w:r>
      <w:r>
        <w:rPr/>
        <w:t xml:space="preserve"> </w:t>
      </w:r>
      <w:r>
        <w:rPr/>
        <w:t>Borenstein, Severin and James Bushnell. “Electricity Restructuring: Deregulation or Reregulation”: 48.</w:t>
      </w:r>
    </w:p>
  </w:footnote>
  <w:footnote w:id="90">
    <w:p>
      <w:pPr>
        <w:pStyle w:val="FootnoteText"/>
        <w:rPr/>
      </w:pPr>
      <w:r>
        <w:rPr>
          <w:rStyle w:val="FootnoteCharacters"/>
        </w:rPr>
        <w:footnoteRef/>
      </w:r>
      <w:r>
        <w:rPr/>
        <w:t xml:space="preserve"> </w:t>
      </w:r>
      <w:r>
        <w:rPr/>
        <w:t>Gaither, Chris. “The Dog Day in June the Lights Went Out: Silicon Valley’s Achilles’ Heel is Exposed”: C1, 4.</w:t>
      </w:r>
    </w:p>
  </w:footnote>
  <w:footnote w:id="91">
    <w:p>
      <w:pPr>
        <w:pStyle w:val="FootnoteText"/>
        <w:rPr/>
      </w:pPr>
      <w:r>
        <w:rPr>
          <w:rStyle w:val="FootnoteCharacters"/>
        </w:rPr>
        <w:footnoteRef/>
      </w:r>
      <w:r>
        <w:rPr/>
        <w:t xml:space="preserve"> </w:t>
      </w:r>
      <w:r>
        <w:rPr/>
        <w:t>Borenstein, Severin and James Bushnell. “Electricity Restructuring: Deregulation or Reregulation”: 49.</w:t>
      </w:r>
    </w:p>
  </w:footnote>
  <w:footnote w:id="92">
    <w:p>
      <w:pPr>
        <w:pStyle w:val="FootnoteText"/>
        <w:rPr/>
      </w:pPr>
      <w:r>
        <w:rPr>
          <w:rStyle w:val="FootnoteCharacters"/>
        </w:rPr>
        <w:footnoteRef/>
      </w:r>
      <w:r>
        <w:rPr/>
        <w:t xml:space="preserve"> </w:t>
      </w:r>
      <w:r>
        <w:rPr/>
        <w:t>VanDoren, Peter and Jerry Taylor. “Electricity Deregulation Must Target Demand”: 2 of 3.</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bullet"/>
      <w:lvlText w:val=""/>
      <w:lvlJc w:val="start"/>
      <w:pPr>
        <w:tabs>
          <w:tab w:val="num" w:pos="360"/>
        </w:tabs>
        <w:ind w:start="360" w:hanging="360"/>
      </w:pPr>
      <w:rPr>
        <w:rFonts w:ascii="Symbol" w:hAnsi="Symbol" w:cs="Symbol" w:hint="default"/>
        <w:sz w:val="2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cs="Arial"/>
      <w:b/>
      <w:bCs/>
      <w:sz w:val="20"/>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numPr>
        <w:ilvl w:val="2"/>
        <w:numId w:val="1"/>
      </w:numPr>
      <w:autoSpaceDE w:val="false"/>
      <w:ind w:hanging="225" w:start="585" w:end="0"/>
      <w:outlineLvl w:val="2"/>
    </w:pPr>
    <w:rPr>
      <w:rFonts w:ascii="Arial" w:hAnsi="Arial" w:cs="Arial"/>
      <w:b/>
      <w:bCs/>
      <w:color w:val="000000"/>
    </w:rPr>
  </w:style>
  <w:style w:type="paragraph" w:styleId="Heading4">
    <w:name w:val="heading 4"/>
    <w:basedOn w:val="Normal"/>
    <w:next w:val="Normal"/>
    <w:qFormat/>
    <w:pPr>
      <w:keepNext w:val="true"/>
      <w:numPr>
        <w:ilvl w:val="3"/>
        <w:numId w:val="1"/>
      </w:numPr>
      <w:outlineLvl w:val="3"/>
    </w:pPr>
    <w:rPr>
      <w:b/>
      <w:bCs/>
    </w:rPr>
  </w:style>
  <w:style w:type="paragraph" w:styleId="Heading5">
    <w:name w:val="heading 5"/>
    <w:basedOn w:val="Normal"/>
    <w:next w:val="Normal"/>
    <w:qFormat/>
    <w:pPr>
      <w:keepNext w:val="true"/>
      <w:numPr>
        <w:ilvl w:val="4"/>
        <w:numId w:val="1"/>
      </w:numPr>
      <w:ind w:hanging="0" w:start="2160" w:end="0"/>
      <w:jc w:val="center"/>
      <w:outlineLvl w:val="4"/>
    </w:pPr>
    <w:rPr>
      <w:sz w:val="32"/>
    </w:rPr>
  </w:style>
  <w:style w:type="paragraph" w:styleId="Heading6">
    <w:name w:val="heading 6"/>
    <w:basedOn w:val="Normal"/>
    <w:next w:val="Normal"/>
    <w:qFormat/>
    <w:pPr>
      <w:keepNext w:val="true"/>
      <w:numPr>
        <w:ilvl w:val="5"/>
        <w:numId w:val="1"/>
      </w:numPr>
      <w:jc w:val="center"/>
      <w:outlineLvl w:val="5"/>
    </w:pPr>
    <w:rPr>
      <w:rFonts w:ascii="Arial" w:hAnsi="Arial" w:cs="Arial"/>
      <w:sz w:val="32"/>
    </w:rPr>
  </w:style>
  <w:style w:type="character" w:styleId="WW8Num1z0">
    <w:name w:val="WW8Num1z0"/>
    <w:qFormat/>
    <w:rPr/>
  </w:style>
  <w:style w:type="character" w:styleId="WW8Num3z0">
    <w:name w:val="WW8Num3z0"/>
    <w:qFormat/>
    <w:rPr/>
  </w:style>
  <w:style w:type="character" w:styleId="WW8Num4z0">
    <w:name w:val="WW8Num4z0"/>
    <w:qFormat/>
    <w:rPr>
      <w:rFonts w:ascii="Symbol" w:hAnsi="Symbol" w:cs="Symbol"/>
      <w:sz w:val="2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character" w:styleId="FollowedHyperlink">
    <w:name w:val="FollowedHyperlink"/>
    <w:basedOn w:val="DefaultParagraphFont"/>
    <w:rPr>
      <w:color w:val="800080"/>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sz w:val="28"/>
    </w:rPr>
  </w:style>
  <w:style w:type="paragraph" w:styleId="BodyText">
    <w:name w:val="Body Text"/>
    <w:basedOn w:val="Normal"/>
    <w:pPr>
      <w:autoSpaceDE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z w:val="20"/>
      <w:szCs w:val="20"/>
    </w:rPr>
  </w:style>
  <w:style w:type="paragraph" w:styleId="NormalWeb">
    <w:name w:val="Normal (Web)"/>
    <w:basedOn w:val="Normal"/>
    <w:qFormat/>
    <w:pPr>
      <w:spacing w:before="100" w:after="100"/>
    </w:pPr>
    <w:rPr>
      <w:rFonts w:ascii="Arial Unicode MS" w:hAnsi="Arial Unicode MS" w:eastAsia="Arial Unicode MS" w:cs="Arial Unicode MS"/>
      <w:color w:val="0000F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z w:val="20"/>
      <w:szCs w:val="20"/>
    </w:rPr>
  </w:style>
  <w:style w:type="paragraph" w:styleId="CommentText">
    <w:name w:val="Comment Text"/>
    <w:basedOn w:val="Normal"/>
    <w:qFormat/>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hyperlink" Target="http://www.nordpool.no/" TargetMode="Externa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el-ex.fi/eng99/thisis/fsett_thisis.html" TargetMode="External"/><Relationship Id="rId2" Type="http://schemas.openxmlformats.org/officeDocument/2006/relationships/hyperlink" Target="http://www.el-ex.fi/eng99/thisis/fsett_nordic.html" TargetMode="External"/><Relationship Id="rId3" Type="http://schemas.openxmlformats.org/officeDocument/2006/relationships/hyperlink" Target="http://www.pjm.org/" TargetMode="External"/><Relationship Id="rId4" Type="http://schemas.openxmlformats.org/officeDocument/2006/relationships/hyperlink" Target="http://www.cpuc.ca.gov/electric_restructuring/news.txt" TargetMode="External"/><Relationship Id="rId5" Type="http://schemas.openxmlformats.org/officeDocument/2006/relationships/hyperlink" Target="http://www.calpx.com/news/publications/greatexpectations.doc" TargetMode="External"/><Relationship Id="rId6" Type="http://schemas.openxmlformats.org/officeDocument/2006/relationships/hyperlink" Target="http://www.cpuc.ca.gov/electric_restructuring/factshe.html" TargetMode="External"/><Relationship Id="rId7" Type="http://schemas.openxmlformats.org/officeDocument/2006/relationships/hyperlink" Target="http://www.energy.ca.gov/electricity/electricitygen.html" TargetMode="External"/><Relationship Id="rId8" Type="http://schemas.openxmlformats.org/officeDocument/2006/relationships/hyperlink" Target="http://www.dof.ca.gov/html/fs_data/stat-abs/tables/b2.xls" TargetMode="External"/><Relationship Id="rId9" Type="http://schemas.openxmlformats.org/officeDocument/2006/relationships/hyperlink" Target="http://www.cato.org/dailys/01-23-01.html" TargetMode="External"/><Relationship Id="rId10" Type="http://schemas.openxmlformats.org/officeDocument/2006/relationships/hyperlink" Target="http://www.energy.ca.gov/electricity/wepr/2000-12/index.html" TargetMode="External"/><Relationship Id="rId11" Type="http://schemas.openxmlformats.org/officeDocument/2006/relationships/hyperlink" Target="http://www.energy.gov/HQPress/releases00/decpr/pr00309_v.htm" TargetMode="External"/><Relationship Id="rId12" Type="http://schemas.openxmlformats.org/officeDocument/2006/relationships/hyperlink" Target="http://www.energy.gov/HQPress/releases00/decpr/pr00309_v.htm"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2001-04-30T13:09:00Z</dcterms:created>
  <dc:creator>Robert J. Gaudette</dc:creator>
  <dc:description/>
  <dc:language>en-CA</dc:language>
  <cp:lastModifiedBy>Kenneth Jett</cp:lastModifiedBy>
  <cp:lastPrinted>2001-04-30T09:29:00Z</cp:lastPrinted>
  <dcterms:modified xsi:type="dcterms:W3CDTF">2001-04-30T14:39:00Z</dcterms:modified>
  <cp:revision>18</cp:revision>
  <dc:subject/>
  <dc:title>History</dc:title>
</cp:coreProperties>
</file>