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 xml:space="preserve">     </w:t>
      </w:r>
      <w:r>
        <w:rPr>
          <w:b/>
          <w:bCs/>
        </w:rPr>
        <w:t>REPLY BRIEF OF ENRON POWER MARKETING, INC. IN NO. 00-809</w:t>
      </w:r>
    </w:p>
    <w:p>
      <w:pPr>
        <w:pStyle w:val="Normal"/>
        <w:rPr>
          <w:b/>
          <w:bCs/>
        </w:rPr>
      </w:pPr>
      <w:r>
        <w:rPr>
          <w:b/>
          <w:bCs/>
        </w:rPr>
      </w:r>
    </w:p>
    <w:p>
      <w:pPr>
        <w:pStyle w:val="Normal"/>
        <w:jc w:val="center"/>
        <w:rPr>
          <w:b/>
          <w:bCs/>
        </w:rPr>
      </w:pPr>
      <w:r>
        <w:rPr>
          <w:b/>
          <w:bCs/>
        </w:rPr>
        <w:t>--------------------------------</w:t>
      </w:r>
    </w:p>
    <w:p>
      <w:pPr>
        <w:pStyle w:val="Normal"/>
        <w:jc w:val="center"/>
        <w:rPr>
          <w:b/>
          <w:bCs/>
        </w:rPr>
      </w:pPr>
      <w:r>
        <w:rPr>
          <w:b/>
          <w:bCs/>
        </w:rPr>
      </w:r>
    </w:p>
    <w:p>
      <w:pPr>
        <w:pStyle w:val="Normal"/>
        <w:jc w:val="center"/>
        <w:rPr>
          <w:b/>
          <w:bCs/>
        </w:rPr>
      </w:pPr>
      <w:r>
        <w:rPr>
          <w:b/>
          <w:bCs/>
        </w:rPr>
        <w:t>INTRODUCTION AND SUMMARY</w:t>
      </w:r>
    </w:p>
    <w:p>
      <w:pPr>
        <w:pStyle w:val="Normal"/>
        <w:rPr/>
      </w:pPr>
      <w:r>
        <w:rPr/>
      </w:r>
    </w:p>
    <w:p>
      <w:pPr>
        <w:pStyle w:val="Normal"/>
        <w:spacing w:lineRule="auto" w:line="480"/>
        <w:rPr/>
      </w:pPr>
      <w:r>
        <w:rPr/>
        <w:tab/>
        <w:t xml:space="preserve">FERC found in Orders No. 888 and 888-A that the utilities that own interstate transmission facilities discriminate, with respect to terms of access and usage, against other suppliers of electricity and in favor of their own transmissions.  </w:t>
      </w:r>
      <w:r>
        <w:rPr>
          <w:i/>
          <w:iCs/>
        </w:rPr>
        <w:t>See, e.g.</w:t>
      </w:r>
      <w:r>
        <w:rPr/>
        <w:t>, NOPR at 33,052, Pet App. 566a; Order No. 888 at 31,682, 31,919-26, Pet. App. 214a, 315a-331a; (FERC Br. at 14).  Order No. 888-A at 30,210, Pet. App. 435a.  FERC ordered such utilities to eliminate discrim</w:t>
        <w:softHyphen/>
        <w:t>ina</w:t>
        <w:softHyphen/>
        <w:t>tion between (a) their transmissions for such other suppliers and (b) their transmissions for their own (i) wholesale sales and (ii) unbundled retail sales.  But although FERC concluded it would be “helpful,” Order No. 888 at 31m699, Pet. App. 235a, also to require such utilities to take transmission service for their bundled retail sales on the same nondiscriminatory terms, it read the Federal Power Act (“FPA”) as denying it jurisdiction to do so.  The result is to allow the utilities to continue to discriminate in favor of their own transmissions that account for about 60% of the pertinent usage of the interstate grids.  (Enron Br. at 5.)</w:t>
      </w:r>
    </w:p>
    <w:p>
      <w:pPr>
        <w:pStyle w:val="Normal"/>
        <w:spacing w:lineRule="auto" w:line="480"/>
        <w:rPr/>
      </w:pPr>
      <w:r>
        <w:rPr/>
        <w:tab/>
        <w:t xml:space="preserve">The D.C. Circuit upheld FERC’s refusal of jurisdiction over transmissions to serve bundled retail sales on the ground that the FPA is ambiguous and the agency is entitled to deference under </w:t>
      </w:r>
      <w:r>
        <w:rPr>
          <w:i/>
          <w:iCs/>
        </w:rPr>
        <w:t>Chevron USA Inc. v. Natural Resources Defense Council</w:t>
      </w:r>
      <w:r>
        <w:rPr/>
        <w:t>, 467 U.S. 837 (1984).  In this Court, FERC urges affirmance primarily on that ground.  Respond</w:t>
        <w:softHyphen/>
        <w:t xml:space="preserve">ents New York </w:t>
      </w:r>
      <w:r>
        <w:rPr>
          <w:i/>
          <w:iCs/>
        </w:rPr>
        <w:t>et al</w:t>
      </w:r>
      <w:r>
        <w:rPr/>
        <w:t xml:space="preserve">. (“New York”) and Edison Electric Institute (“EEI”), the trade association representing transmission-owning utilities, argue in addition that FERC jurisdiction over such transmissions would interfere with the traditional authority of the States over retail sales and that in any event there is no discrimination because, they allege, there is no competition to serve bundled retail customers.  All of these arguments are wrong.  </w:t>
      </w:r>
    </w:p>
    <w:p>
      <w:pPr>
        <w:pStyle w:val="Normal"/>
        <w:spacing w:lineRule="auto" w:line="480"/>
        <w:rPr/>
      </w:pPr>
      <w:r>
        <w:rPr/>
        <w:tab/>
        <w:t>Preliminarily, four important points are not open to serious dispute.  First, “trans</w:t>
        <w:softHyphen/>
        <w:t>mission” of electric energy at high voltage over a grid is distinct, as both a physical matter and a statutory matter, from “distribution” at low voltage over radial electric lines.  (</w:t>
      </w:r>
      <w:r>
        <w:rPr>
          <w:i/>
          <w:iCs/>
        </w:rPr>
        <w:t>See</w:t>
      </w:r>
      <w:r>
        <w:rPr/>
        <w:t xml:space="preserve"> Enron Br. in No. 00-568 at 28-32; FERC Br. at 37-41; Brief of Electrical Engineers </w:t>
      </w:r>
      <w:r>
        <w:rPr>
          <w:i/>
          <w:iCs/>
        </w:rPr>
        <w:t>et al</w:t>
      </w:r>
      <w:r>
        <w:rPr/>
        <w:t>. (Experts Br.) at 26).  Second, transmission does not differ depending on the form of the ensuing sale.  (</w:t>
      </w:r>
      <w:r>
        <w:rPr>
          <w:i/>
          <w:iCs/>
        </w:rPr>
        <w:t>See</w:t>
      </w:r>
      <w:r>
        <w:rPr/>
        <w:t xml:space="preserve"> Enron Br. at 4-5, 30-31; Experts Br. at 2, 8-11, 14-17.) Third, Section 201 of the FPA gives FERC “jurisdiction over public utilities’ trans</w:t>
        <w:softHyphen/>
        <w:t xml:space="preserve">mission of energy in interstate commerce ‘without qualification’” (FERC Br. at 16 [in the typescript], </w:t>
      </w:r>
      <w:r>
        <w:rPr>
          <w:i/>
          <w:iCs/>
        </w:rPr>
        <w:t>quoting</w:t>
      </w:r>
      <w:r>
        <w:rPr/>
        <w:t xml:space="preserve"> FERC at Pet. App. 306a; Enron Br. at 21-27).  Finally, except for transmissions within Texas, virtually all electric transmission within the continental U.S. is “in interstate commerce” because (a) the nature of electricity is such that every trans</w:t>
        <w:softHyphen/>
        <w:t>mission over a grid uses the entire grid, (</w:t>
      </w:r>
      <w:r>
        <w:rPr>
          <w:i/>
          <w:iCs/>
        </w:rPr>
        <w:t>see</w:t>
      </w:r>
      <w:r>
        <w:rPr/>
        <w:t xml:space="preserve"> FERC Br. at 32; Experts Br. at 2-3, 10-11, 16-17; California Br. at xxx), and (b) today (although this was not true in 1935) all non-Texas transmission lines are inter</w:t>
        <w:softHyphen/>
        <w:t>connected.  (</w:t>
      </w:r>
      <w:r>
        <w:rPr>
          <w:i/>
          <w:iCs/>
        </w:rPr>
        <w:t>See</w:t>
      </w:r>
      <w:r>
        <w:rPr/>
        <w:t xml:space="preserve"> Enron Br. at 9-28; FERC Br. at 45, 31-32; Experts Br. at 2-3, 19, 30.)</w:t>
      </w:r>
    </w:p>
    <w:p>
      <w:pPr>
        <w:pStyle w:val="Normal"/>
        <w:spacing w:lineRule="auto" w:line="480"/>
        <w:rPr/>
      </w:pPr>
      <w:r>
        <w:rPr/>
        <w:tab/>
        <w:t>FERC’s argument that there is an “ambiguity” with respect to FERC’s jurisdiction is not based on the text of section 201(b)(1), which FERC concedes would, standing alone, grant jurisdiction over all transmission in interstate commerce, without limitation or qualification.  (</w:t>
      </w:r>
      <w:r>
        <w:rPr>
          <w:i/>
          <w:iCs/>
        </w:rPr>
        <w:t>See</w:t>
      </w:r>
      <w:r>
        <w:rPr/>
        <w:t xml:space="preserve"> FERC Br. at 34-35, 55.)  FERC contends, rather, that ambiguity is created by the Act’s separate confirmation of state jurisdiction over retail </w:t>
      </w:r>
      <w:r>
        <w:rPr>
          <w:i/>
          <w:iCs/>
        </w:rPr>
        <w:t>sales</w:t>
      </w:r>
      <w:r>
        <w:rPr/>
        <w:t xml:space="preserve"> of electric energy, together with legislative history reiterating that confirma</w:t>
        <w:softHyphen/>
        <w:t>tion.  New York and EEI go further, arguing that FERC jurisdiction over inter</w:t>
        <w:softHyphen/>
        <w:t>state trans</w:t>
        <w:softHyphen/>
        <w:t xml:space="preserve">mission, if construed to reach transmissions that serve bundled retail sales, would interfere with authority Congress left to the States.  </w:t>
      </w:r>
    </w:p>
    <w:p>
      <w:pPr>
        <w:pStyle w:val="Normal"/>
        <w:spacing w:lineRule="auto" w:line="480"/>
        <w:rPr/>
      </w:pPr>
      <w:r>
        <w:rPr/>
        <w:tab/>
        <w:t>The first answer to these contentions is that there is no ambiguity and no inter</w:t>
        <w:softHyphen/>
        <w:t xml:space="preserve">ference.  Interstate transmission is both a federally regulated activity and an upstream component of bundled retail service, whose cost is factored into the state-regulated retail rates.  Federal regulation of such transmission is perfectly compatible with plenary state regulation of retail sales of electricity, just like federal regulation of railroad charges for carrying coal to a utility’s generators or federal regulation of the communications charges it incurs in doing business.  The rights of the States to decide who may serve their retail customers and to dictate the form and terms of that service are not challenged by anyone and not at issue.  </w:t>
      </w:r>
    </w:p>
    <w:p>
      <w:pPr>
        <w:pStyle w:val="Normal"/>
        <w:spacing w:lineRule="auto" w:line="480"/>
        <w:rPr/>
      </w:pPr>
      <w:r>
        <w:rPr/>
        <w:tab/>
        <w:t>This case is not, however, solely or primarily about the price charged for trans</w:t>
        <w:softHyphen/>
        <w:t>mission: it is about fair and nondiscriminatory access to and usage of the interstate grids,</w:t>
      </w:r>
      <w:r>
        <w:rPr>
          <w:rStyle w:val="FootnoteCharacters"/>
          <w:rStyle w:val="FootnoteReference"/>
        </w:rPr>
        <w:footnoteReference w:id="2"/>
      </w:r>
      <w:r>
        <w:rPr/>
        <w:t xml:space="preserve"> based on a published tariff that sets forth rules of access, scheduling and information procedures, rules for curtailment in periods of system constraint, and similar matters.  Respondents argue that since bundled retail customers normally have no choice of supplier, there is no competition and no need for any regulation of interstate transmission other than whatever review of transmission costs a State does in connection with retail ratemaking.  But all transmission competes for access to the interstate grids, whether the ultimate retail sale is unbundled or bundled and, as FERC itself has long recognized, a transmission owner unduly discriminates when it treats other transmission users less favorably than it treats itself, whether or not they are competing for the same energy customer.  </w:t>
      </w:r>
      <w:r>
        <w:rPr>
          <w:i/>
          <w:iCs/>
        </w:rPr>
        <w:t>See American Electric Power Service Corp.</w:t>
      </w:r>
      <w:r>
        <w:rPr/>
        <w:t xml:space="preserve">, 64 F.E.R.C.  ¶61,279 (1993).  Moreover, utilities that serve bundled retail customers do compete with other suppliers for various important classes of customers, and the ability to provide superior transmission service to themselves unfairly affects that competition. </w:t>
      </w:r>
    </w:p>
    <w:p>
      <w:pPr>
        <w:pStyle w:val="Normal"/>
        <w:ind w:hanging="720" w:start="720" w:end="0"/>
        <w:rPr/>
      </w:pPr>
      <w:r>
        <w:rPr>
          <w:b/>
          <w:bCs/>
        </w:rPr>
        <w:t>I.</w:t>
        <w:tab/>
      </w:r>
      <w:r>
        <w:rPr>
          <w:b/>
          <w:bCs/>
          <w:caps/>
        </w:rPr>
        <w:t>The Federal Power Act Grants FERC Jurisdiction Over All Transmission of Electric Energy in interstate commerce, including Transmissions whose cost is bundled into a retail sales charge.</w:t>
      </w:r>
    </w:p>
    <w:p>
      <w:pPr>
        <w:pStyle w:val="Normal"/>
        <w:ind w:hanging="720" w:start="720" w:end="0"/>
        <w:rPr/>
      </w:pPr>
      <w:r>
        <w:rPr/>
      </w:r>
    </w:p>
    <w:p>
      <w:pPr>
        <w:pStyle w:val="Normal"/>
        <w:tabs>
          <w:tab w:val="left" w:pos="720" w:leader="none"/>
        </w:tabs>
        <w:ind w:hanging="1440" w:start="1440" w:end="0"/>
        <w:rPr/>
      </w:pPr>
      <w:r>
        <w:rPr/>
        <w:tab/>
      </w:r>
      <w:r>
        <w:rPr>
          <w:b/>
          <w:bCs/>
        </w:rPr>
        <w:t xml:space="preserve">A. </w:t>
      </w:r>
      <w:r>
        <w:rPr/>
        <w:t xml:space="preserve"> </w:t>
        <w:tab/>
      </w:r>
      <w:r>
        <w:rPr>
          <w:b/>
          <w:bCs/>
        </w:rPr>
        <w:t>The FPA Is Not Ambiguous With Respect to FERC’s Jurisdiction Over Interstate Transmission.</w:t>
      </w:r>
    </w:p>
    <w:p>
      <w:pPr>
        <w:pStyle w:val="Normal"/>
        <w:rPr/>
      </w:pPr>
      <w:r>
        <w:rPr/>
      </w:r>
    </w:p>
    <w:p>
      <w:pPr>
        <w:pStyle w:val="Normal"/>
        <w:spacing w:lineRule="auto" w:line="480"/>
        <w:rPr>
          <w:i/>
          <w:i/>
          <w:iCs/>
        </w:rPr>
      </w:pPr>
      <w:r>
        <w:rPr/>
        <w:tab/>
        <w:t>FERC determined that although it would be “helpful” to subject transmissions for bundled retail sales to the Open Access Transmission Tariff (OATT), it lacked juris</w:t>
        <w:softHyphen/>
        <w:t xml:space="preserve">diction to do so.  The D.C. Circuit ruled, and FERC argues in this Court, that the FPA is ambiguous and that FERC’s determination of its own jurisdiction is therefore entitled to deference under the </w:t>
      </w:r>
      <w:r>
        <w:rPr>
          <w:i/>
          <w:iCs/>
        </w:rPr>
        <w:t>Chevron</w:t>
      </w:r>
      <w:r>
        <w:rPr/>
        <w:t xml:space="preserve"> doctrine.  But the relevant provision of the FPA is not ambiguous, and the agency and courts are bound by what it plainly says.</w:t>
      </w:r>
      <w:r>
        <w:rPr>
          <w:b/>
          <w:bCs/>
        </w:rPr>
        <w:t xml:space="preserve">  </w:t>
      </w:r>
      <w:r>
        <w:rPr>
          <w:i/>
          <w:iCs/>
        </w:rPr>
        <w:t>See</w:t>
      </w:r>
      <w:r>
        <w:rPr/>
        <w:t xml:space="preserve"> </w:t>
      </w:r>
      <w:r>
        <w:rPr>
          <w:i/>
          <w:iCs/>
        </w:rPr>
        <w:t>Chevron</w:t>
      </w:r>
      <w:r>
        <w:rPr/>
        <w:t>,467 U.S. at 842 (“the court, as well as the agency must give effect to the unambiguously expressed intent of Congress”).</w:t>
      </w:r>
    </w:p>
    <w:p>
      <w:pPr>
        <w:pStyle w:val="Normal"/>
        <w:spacing w:lineRule="auto" w:line="480"/>
        <w:rPr/>
      </w:pPr>
      <w:r>
        <w:rPr/>
        <w:tab/>
        <w:t xml:space="preserve">FERC does not contend that the language that directly addresses the point at issue is itself ambiguous.  Section 201(b) gives FERC jurisdiction over “the transmission of electric energy in interstate commerce . . . .”  As FERC recognizes, (Br. at 55), there is no stated qualification or limitation based on the terms of the ensuing sale (wholesale or retail, bundled or unbundled) or on anything else.  </w:t>
      </w:r>
      <w:r>
        <w:rPr>
          <w:i/>
          <w:iCs/>
        </w:rPr>
        <w:t>Cf. FPC v. Louisiana Power &amp; Light Co.</w:t>
      </w:r>
      <w:r>
        <w:rPr/>
        <w:t>, 406 U.S. 621 (1972) (“</w:t>
      </w:r>
      <w:r>
        <w:rPr>
          <w:i/>
          <w:iCs/>
        </w:rPr>
        <w:t>LP&amp;L”</w:t>
      </w:r>
      <w:r>
        <w:rPr/>
        <w:t>) (finding no limitation on FPC jurisdiction over trans</w:t>
        <w:softHyphen/>
        <w:t xml:space="preserve">portation of natural gas in interstate commerce and upholding FPC regulation of curtailment regulations applicable to bundled retail sales).  Instead, FERC argues (Br. at 55) that an ambiguity is created, leaving room for FERC interpretation, because “[s]ection 201(b) also assigns the states jurisdiction over ‘any . . . sale of electric energy’ that is not ‘at wholesale in interstate commerce.’” </w:t>
      </w:r>
    </w:p>
    <w:p>
      <w:pPr>
        <w:pStyle w:val="Normal"/>
        <w:spacing w:lineRule="auto" w:line="480"/>
        <w:rPr/>
      </w:pPr>
      <w:r>
        <w:rPr/>
        <w:tab/>
        <w:t>But there is no conflict between the two provisions of Section 201(b), and there is no ambiguity for FERC to resolve.  The terms of transmis</w:t>
        <w:softHyphen/>
        <w:t xml:space="preserve">sion in interstate commerce, including all aspects of access to the interstate grid, are explicitly subject to FERC jurisdiction.  The cost of transmission is one of a number of component costs incurred by a retail utility that are clearly subject to federal regulation, including the cost of power purchased at wholesale.  Such federal regulation does not deprive state regulators of their plenary right to decide who may serve their retail customers in their states and regulate the price of delivered electricity.  A state regulator may, depending on the form of state regulation, have to take a utility’s federally determined costs into account, but this does not mean that the federal agency is usurping state regulatory power.  </w:t>
      </w:r>
      <w:r>
        <w:rPr>
          <w:i/>
          <w:iCs/>
        </w:rPr>
        <w:t>Cf. Nantahala Power &amp; Light Co. v. Thornburg</w:t>
      </w:r>
      <w:r>
        <w:rPr/>
        <w:t>, 476 U.S. 953, 966 (1986).  Nor does the fully established and unchal</w:t>
        <w:softHyphen/>
        <w:t>lenged power of the States to regulate retail sales intrude upon, or create any ambiguity about, the clearly stated power of FERC to regulate interstate transmission.</w:t>
      </w:r>
    </w:p>
    <w:p>
      <w:pPr>
        <w:pStyle w:val="Normal"/>
        <w:spacing w:lineRule="auto" w:line="480"/>
        <w:rPr/>
      </w:pPr>
      <w:r>
        <w:rPr/>
        <w:tab/>
        <w:t>EEI takes a similar view of the language in section 201(b).  It asserts (Br. at 38) that in the case of bundled retail sales, interstate transmission becomes an “inseparable” part of the retail “sale of electric energy.”  But they are no more “inseparable” (in the sense of being impossible to regulate separately) than the (federally regulated) cost of transporting a good to market and the (state regulated) act of selling it.  Bundling does not turn the transmission into a sale; transmission involves the same activity, and uses the grid the same way, regardless of how its cost is reflected on the end user’s power bill.  Bundling means only that the retail customer is charged a single price for delivered electricity; the very word “bundling” implies that different things, here generation, transmission, and delivery, are wrapped together.</w:t>
      </w:r>
    </w:p>
    <w:p>
      <w:pPr>
        <w:pStyle w:val="Normal"/>
        <w:spacing w:lineRule="auto" w:line="480"/>
        <w:rPr/>
      </w:pPr>
      <w:r>
        <w:rPr/>
        <w:tab/>
        <w:t xml:space="preserve">Falling back on a secondary statutory argument, EEI asserts (Br. at 38) that since section 201(b) unambiguously gives FERC jurisdiction over wholesale sales in interstate commerce, the additional language confirming state jurisdiction over “any other sale of electric energy” must be interpreted to mean “the </w:t>
      </w:r>
      <w:r>
        <w:rPr>
          <w:i/>
          <w:iCs/>
        </w:rPr>
        <w:t>transmission</w:t>
      </w:r>
      <w:r>
        <w:rPr/>
        <w:t xml:space="preserve"> of energy for retail sale,” because otherwise the “any other sale” language would be superfluous.  This argument—that the reference to “any other sale” must mean something all its own and therefore must refer not to a sale but to a transmission—is remarkable on its face.  As it happens, this Court has already rejected it, noting in a parallel situation that Congress was simply adding belt to suspenders: </w:t>
      </w:r>
    </w:p>
    <w:p>
      <w:pPr>
        <w:pStyle w:val="FootnoteText"/>
        <w:spacing w:before="0" w:after="0"/>
        <w:ind w:start="720" w:end="1440"/>
        <w:rPr/>
      </w:pPr>
      <w:r>
        <w:rPr/>
        <w:tab/>
        <w:t>It is well established that the proviso [to section 1(b) of the Natural Gas Act, denying the FPC jurisdiction over “any other  . . . sale of natural gas”] was added to the Act merely for clarification and was not intended to deprive FPC of any jurisdiction otherwise granted by section 1(b).  The House report on the bill described this second sentence of s 1(b) as follows:  ‘The quoted words aren’t actually necessary, as the matters specified therein could not be said fairly to be covered by the language affirmatively stating the jurisdiction of the Commission, but similar language was in previous bills, and, rather than invite the contention, however unfounded, that the elimination of the negative language would broaden the scope of the act, the committee has included it in this bill.’</w:t>
      </w:r>
    </w:p>
    <w:p>
      <w:pPr>
        <w:pStyle w:val="Normal"/>
        <w:rPr/>
      </w:pPr>
      <w:r>
        <w:rPr/>
      </w:r>
    </w:p>
    <w:p>
      <w:pPr>
        <w:pStyle w:val="Normal"/>
        <w:spacing w:lineRule="auto" w:line="480"/>
        <w:rPr/>
      </w:pPr>
      <w:r>
        <w:rPr>
          <w:i/>
          <w:iCs/>
        </w:rPr>
        <w:t>LP&amp;L</w:t>
      </w:r>
      <w:r>
        <w:rPr/>
        <w:t xml:space="preserve">, 406 U.S. at 638 n.14, </w:t>
      </w:r>
      <w:r>
        <w:rPr>
          <w:i/>
          <w:iCs/>
        </w:rPr>
        <w:t>quoting</w:t>
      </w:r>
      <w:r>
        <w:rPr/>
        <w:t xml:space="preserve"> H.R. Rep. No. 709, 75th Cong. 1st Sess., 3 (1937).</w:t>
      </w:r>
    </w:p>
    <w:p>
      <w:pPr>
        <w:pStyle w:val="Normal"/>
        <w:spacing w:lineRule="auto" w:line="480"/>
        <w:rPr/>
      </w:pPr>
      <w:r>
        <w:rPr/>
        <w:tab/>
        <w:t xml:space="preserve">FERC and the other respondents also claim that the legislative history supports their positions.  FERC argues (Br. at 56) that the “legislative history of the FPA is inconclusive,” but legislative history—in particular “inconclusive” legislative history— cannot make a clear statute ambiguous.  </w:t>
      </w:r>
      <w:r>
        <w:rPr>
          <w:i/>
          <w:iCs/>
        </w:rPr>
        <w:t>See Ratzlaf v. United States</w:t>
      </w:r>
      <w:r>
        <w:rPr/>
        <w:t>, 510 U.S. 135, 147-48 (1994).</w:t>
      </w:r>
      <w:r>
        <w:rPr>
          <w:b/>
          <w:bCs/>
        </w:rPr>
        <w:t xml:space="preserve">  </w:t>
      </w:r>
      <w:r>
        <w:rPr/>
        <w:t>Moreover, the legislative history that FERC, New York, and EEI cite is not on point.  All three respondents point to language preserving “the authority of States to fix local rates.” (FERC Br. at 56; NY Br. at 8; EEI Br. at 39 n.30.)  But the grant of authority to FERC to regulate interstate transmission does not diminish that authority, any more than does the undisputed grant of authority to regulate wholesale sales.  As Enron showed in its opening brief (Br. at 23-25), the legislative history of the FPA in fact supports FERC jurisdiction over all interstate transmission, wholesale or retail, bundled or unbundled.  FERC and New York unsuccessfully attempt to answer this showing (</w:t>
      </w:r>
      <w:r>
        <w:rPr>
          <w:i/>
          <w:iCs/>
        </w:rPr>
        <w:t>see</w:t>
      </w:r>
      <w:r>
        <w:rPr/>
        <w:t xml:space="preserve"> FERC Br. at 56-57; NY Br. at 8-12) by misreading statements in the legislative history about retail </w:t>
      </w:r>
      <w:r>
        <w:rPr>
          <w:i/>
          <w:iCs/>
        </w:rPr>
        <w:t>sales</w:t>
      </w:r>
      <w:r>
        <w:rPr/>
        <w:t xml:space="preserve"> as if they were discussing </w:t>
      </w:r>
      <w:r>
        <w:rPr>
          <w:i/>
          <w:iCs/>
        </w:rPr>
        <w:t>transmission</w:t>
      </w:r>
      <w:r>
        <w:rPr/>
        <w:t xml:space="preserve"> and, in the case of New York, confusing transmission with distribution (</w:t>
      </w:r>
      <w:r>
        <w:rPr>
          <w:i/>
          <w:iCs/>
        </w:rPr>
        <w:t>see</w:t>
      </w:r>
      <w:r>
        <w:rPr/>
        <w:t xml:space="preserve"> NY Br. at 11).  </w:t>
      </w:r>
    </w:p>
    <w:p>
      <w:pPr>
        <w:pStyle w:val="Normal"/>
        <w:spacing w:lineRule="auto" w:line="480"/>
        <w:rPr>
          <w:b/>
          <w:bCs/>
          <w:i/>
          <w:i/>
          <w:iCs/>
        </w:rPr>
      </w:pPr>
      <w:r>
        <w:rPr/>
        <w:tab/>
        <w:t xml:space="preserve">Finally, contrary to respondents’ arguments, this Court’s decision in </w:t>
      </w:r>
      <w:r>
        <w:rPr>
          <w:i/>
          <w:iCs/>
        </w:rPr>
        <w:t>LP&amp;L</w:t>
      </w:r>
      <w:r>
        <w:rPr/>
        <w:t xml:space="preserve"> is directly on point.  At issue in </w:t>
      </w:r>
      <w:r>
        <w:rPr>
          <w:i/>
          <w:iCs/>
        </w:rPr>
        <w:t xml:space="preserve">LP&amp;L </w:t>
      </w:r>
      <w:r>
        <w:rPr/>
        <w:t xml:space="preserve">was FERC’s jurisdiction to include bundled retail sales of natural gas in FPC-ordered curtailment plans during periods of short supply.  The Court held that section 1(b) of the Natural Gas Act (NGA), Pet. App. 645a, which parallels and is nearly identical to section 201(b) of the FPA, granted FERC jurisdiction over the transportation of natural gas, even when transportation was bundled with a retail sale.  </w:t>
      </w:r>
      <w:r>
        <w:rPr>
          <w:i/>
          <w:iCs/>
        </w:rPr>
        <w:t>Id.</w:t>
      </w:r>
      <w:r>
        <w:rPr/>
        <w:t xml:space="preserve"> at 636-37.  Under the Court’s “established practice of citing interchangeably decisions interpreting the pertinent sections of the two statutes,” </w:t>
      </w:r>
      <w:r>
        <w:rPr>
          <w:i/>
          <w:iCs/>
        </w:rPr>
        <w:t>Arkansas Louisiana Gas Co. v. Hall</w:t>
      </w:r>
      <w:r>
        <w:rPr/>
        <w:t xml:space="preserve">, 453 U.S. 571, 577 n.7, </w:t>
      </w:r>
      <w:r>
        <w:rPr>
          <w:i/>
          <w:iCs/>
        </w:rPr>
        <w:t>LP&amp;L</w:t>
      </w:r>
      <w:r>
        <w:rPr/>
        <w:t xml:space="preserve"> should control in this case. </w:t>
      </w:r>
    </w:p>
    <w:p>
      <w:pPr>
        <w:pStyle w:val="Normal"/>
        <w:spacing w:lineRule="auto" w:line="480"/>
        <w:rPr/>
      </w:pPr>
      <w:r>
        <w:rPr/>
        <w:tab/>
        <w:t xml:space="preserve">FERC acknowledges that </w:t>
      </w:r>
      <w:r>
        <w:rPr>
          <w:i/>
          <w:iCs/>
        </w:rPr>
        <w:t>LP&amp;L</w:t>
      </w:r>
      <w:r>
        <w:rPr/>
        <w:t xml:space="preserve"> “confirms that the Commission's jurisdiction over interstate transmission is in addition to, and is not limited by, its jurisdiction over wholesale sales.”  (FERC Br. at 24; </w:t>
      </w:r>
      <w:r>
        <w:rPr>
          <w:i/>
          <w:iCs/>
        </w:rPr>
        <w:t>see also</w:t>
      </w:r>
      <w:r>
        <w:rPr/>
        <w:t xml:space="preserve"> </w:t>
      </w:r>
      <w:r>
        <w:rPr>
          <w:i/>
          <w:iCs/>
        </w:rPr>
        <w:t>id</w:t>
      </w:r>
      <w:r>
        <w:rPr/>
        <w:t>.</w:t>
      </w:r>
      <w:r>
        <w:rPr>
          <w:i/>
          <w:iCs/>
        </w:rPr>
        <w:t xml:space="preserve"> </w:t>
      </w:r>
      <w:r>
        <w:rPr/>
        <w:t xml:space="preserve">at 35-36)  But FERC later, inconsistently, describes the pertinent holding of </w:t>
      </w:r>
      <w:r>
        <w:rPr>
          <w:i/>
          <w:iCs/>
        </w:rPr>
        <w:t>LP&amp;L</w:t>
      </w:r>
      <w:r>
        <w:rPr/>
        <w:t xml:space="preserve"> as limited to “federal curtailment requirements.”  (</w:t>
      </w:r>
      <w:r>
        <w:rPr>
          <w:i/>
          <w:iCs/>
        </w:rPr>
        <w:t>Id.</w:t>
      </w:r>
      <w:r>
        <w:rPr/>
        <w:t xml:space="preserve"> at 57.)  The latter description is wrong—</w:t>
      </w:r>
      <w:r>
        <w:rPr>
          <w:i/>
          <w:iCs/>
        </w:rPr>
        <w:t xml:space="preserve">LP&amp;L </w:t>
      </w:r>
      <w:r>
        <w:rPr/>
        <w:t xml:space="preserve">suggests no such limitation—and, perhaps more important, curtailment rules, a key feature of rules for access to the transmission grid, are close to the heart of this case.  </w:t>
      </w:r>
      <w:r>
        <w:rPr>
          <w:i/>
          <w:iCs/>
        </w:rPr>
        <w:t>See</w:t>
      </w:r>
      <w:r>
        <w:rPr/>
        <w:t xml:space="preserve"> pp.    , </w:t>
      </w:r>
      <w:r>
        <w:rPr>
          <w:i/>
          <w:iCs/>
        </w:rPr>
        <w:t>infra</w:t>
      </w:r>
      <w:r>
        <w:rPr/>
        <w:t xml:space="preserve">.   </w:t>
      </w:r>
    </w:p>
    <w:p>
      <w:pPr>
        <w:pStyle w:val="Normal"/>
        <w:spacing w:lineRule="auto" w:line="480"/>
        <w:rPr/>
      </w:pPr>
      <w:r>
        <w:rPr/>
        <w:tab/>
        <w:t xml:space="preserve">FERC argues further that </w:t>
      </w:r>
      <w:r>
        <w:rPr>
          <w:i/>
          <w:iCs/>
        </w:rPr>
        <w:t>LP&amp;L</w:t>
      </w:r>
      <w:r>
        <w:rPr/>
        <w:t xml:space="preserve"> is distinguishable because two key factors in </w:t>
      </w:r>
      <w:r>
        <w:rPr>
          <w:i/>
          <w:iCs/>
        </w:rPr>
        <w:t>LP&amp;L</w:t>
      </w:r>
      <w:r>
        <w:rPr/>
        <w:t xml:space="preserve"> are not present in this case.  It asserts that (a) the federal curtailment requirements in </w:t>
      </w:r>
      <w:r>
        <w:rPr>
          <w:i/>
          <w:iCs/>
        </w:rPr>
        <w:t>LP&amp;L</w:t>
      </w:r>
      <w:r>
        <w:rPr/>
        <w:t xml:space="preserve"> addressed transportation rather than retail ratemaking, and (b) in </w:t>
      </w:r>
      <w:r>
        <w:rPr>
          <w:i/>
          <w:iCs/>
        </w:rPr>
        <w:t xml:space="preserve">LP&amp;L </w:t>
      </w:r>
      <w:r>
        <w:rPr/>
        <w:t xml:space="preserve">there was record evidence that regulation of interstate transportation was necessary to prevent conflicts among the States.  But similar conditions obtain here: the OATT addresses interstate transmission, not retail ratemaking, and if it may have some indirect effect on retail rates, that effect is not qualitatively different from the potential indirect effect of the regulations at issue in </w:t>
      </w:r>
      <w:r>
        <w:rPr>
          <w:i/>
          <w:iCs/>
        </w:rPr>
        <w:t>LP&amp;L</w:t>
      </w:r>
      <w:r>
        <w:rPr/>
        <w:t xml:space="preserve">.  And as further discussed at pp.    </w:t>
      </w:r>
      <w:r>
        <w:rPr>
          <w:i/>
          <w:iCs/>
        </w:rPr>
        <w:t xml:space="preserve">infra, </w:t>
      </w:r>
      <w:r>
        <w:rPr/>
        <w:t xml:space="preserve">the absence of federal regulation of important interstate transmission will create jurisdictional gaps and make state conflicts almost inevitable.  </w:t>
      </w:r>
    </w:p>
    <w:p>
      <w:pPr>
        <w:pStyle w:val="Normal"/>
        <w:spacing w:lineRule="auto" w:line="480"/>
        <w:rPr/>
      </w:pPr>
      <w:r>
        <w:rPr/>
        <w:tab/>
        <w:t xml:space="preserve">EEI’s first answer to </w:t>
      </w:r>
      <w:r>
        <w:rPr>
          <w:i/>
          <w:iCs/>
        </w:rPr>
        <w:t>LP&amp;L</w:t>
      </w:r>
      <w:r>
        <w:rPr/>
        <w:t xml:space="preserve"> is that the Court’s practice of citing the two statutes interchangeably does not apply to the jurisdictional provisions: “the Court has never stated that the </w:t>
      </w:r>
      <w:r>
        <w:rPr>
          <w:i/>
          <w:iCs/>
        </w:rPr>
        <w:t>jurisdictional</w:t>
      </w:r>
      <w:r>
        <w:rPr/>
        <w:t xml:space="preserve"> provisions of the two statutes are interchangeable.”  (EEI at 42 (emphasis in original).)  But EEI is simply wrong.  </w:t>
      </w:r>
      <w:r>
        <w:rPr>
          <w:i/>
          <w:iCs/>
        </w:rPr>
        <w:t>See FPC v. Southern California Edison Co.</w:t>
      </w:r>
      <w:r>
        <w:rPr/>
        <w:t>, 376 U.S. 205, 211-12 (1964) (“In reviewing the court’s ruling on this question [about the interpretation of section 201(b)] we do not write on a clean slate. . . .  The Natural Gas Act grew out of the same judicial history as did the part of the [FPA] with which we are here concerned; and § 201(b) of the Power Act has its counterpart in § 1(b) of the Gas Act”).</w:t>
      </w:r>
      <w:r>
        <w:rPr>
          <w:rStyle w:val="FootnoteCharacters"/>
          <w:rStyle w:val="FootnoteReference"/>
        </w:rPr>
        <w:footnoteReference w:id="3"/>
      </w:r>
      <w:r>
        <w:rPr/>
        <w:t xml:space="preserve">  Indeed, FERC itself argues (Br. at 35-36) that NGA precedents are relevant for this purpose. </w:t>
      </w:r>
    </w:p>
    <w:p>
      <w:pPr>
        <w:pStyle w:val="Normal"/>
        <w:spacing w:lineRule="auto" w:line="480"/>
        <w:rPr>
          <w:b/>
          <w:bCs/>
        </w:rPr>
      </w:pPr>
      <w:r>
        <w:rPr/>
        <w:tab/>
        <w:t xml:space="preserve">EEI also argues that </w:t>
      </w:r>
      <w:r>
        <w:rPr>
          <w:i/>
          <w:iCs/>
        </w:rPr>
        <w:t>LP&amp;L</w:t>
      </w:r>
      <w:r>
        <w:rPr/>
        <w:t xml:space="preserve"> is distinguishable because, EEI asserts, it dealt with section 7(c) of the NGA (15 U.S.C. §717g(c), a provision with no FPA parallel, which requires natural gas companies to obtain FPC certificates of public convenience before transporting natural gas, 15 U.S.C. § 717f(c).  But this Court’s confirmation of FPC jurisdiction over all transportation did not rest on section 7(c), and there is no indication that the Court believed that section 7(c) augmented the FPC’s transportation jurisdiction.  The Court expressly rejected the lower court’s holding that FERC must have been acting under its section 7 authority because it lacked jurisdiction under section 1(b), holding instead that the FPC acted under its authority in sections 1(b) and 4.  </w:t>
      </w:r>
      <w:r>
        <w:rPr>
          <w:i/>
          <w:iCs/>
        </w:rPr>
        <w:t>See LP&amp;L</w:t>
      </w:r>
      <w:r>
        <w:rPr/>
        <w:t>, 406 U.S. at 643-46.</w:t>
      </w:r>
      <w:r>
        <w:rPr>
          <w:rStyle w:val="FootnoteCharacters"/>
          <w:rStyle w:val="FootnoteReference"/>
        </w:rPr>
        <w:footnoteReference w:id="4"/>
      </w:r>
    </w:p>
    <w:p>
      <w:pPr>
        <w:pStyle w:val="Normal"/>
        <w:ind w:hanging="720" w:start="1440" w:end="0"/>
        <w:rPr>
          <w:b/>
          <w:bCs/>
        </w:rPr>
      </w:pPr>
      <w:r>
        <w:rPr>
          <w:b/>
          <w:bCs/>
        </w:rPr>
        <w:t>B.</w:t>
        <w:tab/>
        <w:t>Application of the OATT to Interstate Transmissions Bundled With Retail Sales Is Consistent With the Federal/State Regulatory Scheme Set Out in the FPA, and Does Not Interfere With Traditional State Regulation.</w:t>
      </w:r>
    </w:p>
    <w:p>
      <w:pPr>
        <w:pStyle w:val="Normal"/>
        <w:ind w:hanging="720" w:start="1440" w:end="0"/>
        <w:rPr>
          <w:b/>
          <w:bCs/>
        </w:rPr>
      </w:pPr>
      <w:r>
        <w:rPr>
          <w:b/>
          <w:bCs/>
        </w:rPr>
      </w:r>
    </w:p>
    <w:p>
      <w:pPr>
        <w:pStyle w:val="Normal"/>
        <w:spacing w:lineRule="auto" w:line="480"/>
        <w:rPr/>
      </w:pPr>
      <w:r>
        <w:rPr/>
        <w:tab/>
        <w:t xml:space="preserve">The problem addressed in Orders No. 888 and 888-A is relatively new.  In the era when vertically integrated utilities, mostly confined to single states, served almost all retail customers on a state-regulated monopoly basis, the problem of competitive access to the interstate grids was presented only in isolated situations.  </w:t>
      </w:r>
      <w:r>
        <w:rPr>
          <w:i/>
          <w:iCs/>
        </w:rPr>
        <w:t xml:space="preserve">See </w:t>
      </w:r>
      <w:r>
        <w:rPr/>
        <w:t>Order No. 888 at 31,639-47, Pet. App. 140a-161a; (TAPS Br. at 38-41.)</w:t>
      </w:r>
      <w:r>
        <w:rPr>
          <w:b/>
          <w:bCs/>
        </w:rPr>
        <w:t xml:space="preserve">  </w:t>
      </w:r>
      <w:r>
        <w:rPr/>
        <w:t>The need for general open, nondiscriminatory access arose in the late 1980s and early 1990s, when congressional encouragement led to widespread competi</w:t>
        <w:softHyphen/>
        <w:t xml:space="preserve">tion to supply electric energy, and the new suppliers, lacking transmission facilities, needed access to the facilities owned by the traditional utilities.  </w:t>
      </w:r>
      <w:r>
        <w:rPr>
          <w:i/>
          <w:iCs/>
        </w:rPr>
        <w:t>See</w:t>
      </w:r>
      <w:r>
        <w:rPr/>
        <w:t xml:space="preserve"> </w:t>
      </w:r>
      <w:r>
        <w:rPr>
          <w:i/>
          <w:iCs/>
        </w:rPr>
        <w:t>id.</w:t>
      </w:r>
      <w:r>
        <w:rPr/>
        <w:t>; Order No. 888 at 31,651-52, 170a-172a; (Enron Br. at 9-11; FERC Br. at 11-16).</w:t>
      </w:r>
    </w:p>
    <w:p>
      <w:pPr>
        <w:pStyle w:val="Normal"/>
        <w:spacing w:lineRule="auto" w:line="480"/>
        <w:rPr/>
      </w:pPr>
      <w:r>
        <w:rPr/>
        <w:tab/>
        <w:t xml:space="preserve">Conversely, traditional state regulation of bundled retail sales has never involved regulation of the transmission of electric energy in interstate commerce.  What EEI describes (Br. at 36) as “five or more decades” of “state commissions . . . asserting jurisdiction over the transmission aspect of such sales” has consisted only of state authorities taking transmission costs into account when determining retail rates and imposing such other service requirements as a State deems necessary for its retail customers.  </w:t>
      </w:r>
      <w:r>
        <w:rPr>
          <w:b/>
          <w:bCs/>
        </w:rPr>
        <w:t>Cite for this?  Is it right?</w:t>
      </w:r>
      <w:r>
        <w:rPr/>
        <w:t xml:space="preserve">  State commissions have no authority to impose nondiscriminatory conditions for competitive access to the interstate grid by out of state suppliers, </w:t>
      </w:r>
      <w:r>
        <w:rPr>
          <w:b/>
          <w:bCs/>
        </w:rPr>
        <w:t>yes??  cites?</w:t>
      </w:r>
      <w:r>
        <w:rPr/>
        <w:t>, and no experience in doing so.</w:t>
      </w:r>
    </w:p>
    <w:p>
      <w:pPr>
        <w:pStyle w:val="Normal"/>
        <w:spacing w:lineRule="auto" w:line="480"/>
        <w:rPr/>
      </w:pPr>
      <w:r>
        <w:rPr/>
        <w:tab/>
        <w:t>Federal regulation of interstate transmission, even when the cost of such trans</w:t>
        <w:softHyphen/>
        <w:t xml:space="preserve">mission is bundled with the price of energy at retail, therefore would not usurp any authority traditionally exercised by the States.  Federal regulation could, of course, affect the terms and costs of interstate transmission, which is one of the costs that the utility must bear in order to provide its retail service, and, depending on the pattern of state regulation, the State may be required to allow recovery of these federally regulated costs through retail rates.  </w:t>
      </w:r>
      <w:r>
        <w:rPr>
          <w:i/>
          <w:iCs/>
        </w:rPr>
        <w:t>See Nantahala Power &amp; Light Co. v. Thornburg</w:t>
      </w:r>
      <w:r>
        <w:rPr/>
        <w:t xml:space="preserve">, 476 U.S. 953, 966 (1986).  New York cites (Br. at  14) </w:t>
      </w:r>
      <w:r>
        <w:rPr>
          <w:i/>
          <w:iCs/>
        </w:rPr>
        <w:t>Nantahala</w:t>
      </w:r>
      <w:r>
        <w:rPr/>
        <w:t xml:space="preserve"> for this point; but, as </w:t>
      </w:r>
      <w:r>
        <w:rPr>
          <w:i/>
          <w:iCs/>
        </w:rPr>
        <w:t>Nantahala</w:t>
      </w:r>
      <w:r>
        <w:rPr/>
        <w:t xml:space="preserve"> illu</w:t>
        <w:softHyphen/>
        <w:t>s</w:t>
        <w:softHyphen/>
        <w:t>trates, requiring States to take into account FERC determinations of matters within FERC’s jurisdiction, and to treat FERC-filed rates as reasonable costs for state rate</w:t>
        <w:softHyphen/>
        <w:t>making purposes, does not usurp State power even if, as New York asserts (Br. at 5), States have traditionally determined whether transmission costs are reasonable without any federal input.</w:t>
      </w:r>
      <w:r>
        <w:rPr>
          <w:rStyle w:val="FootnoteCharacters"/>
          <w:rStyle w:val="FootnoteReference"/>
        </w:rPr>
        <w:footnoteReference w:id="5"/>
      </w:r>
      <w:r>
        <w:rPr/>
        <w:t xml:space="preserve">  </w:t>
      </w:r>
    </w:p>
    <w:p>
      <w:pPr>
        <w:pStyle w:val="Normal"/>
        <w:spacing w:lineRule="auto" w:line="480"/>
        <w:rPr/>
      </w:pPr>
      <w:r>
        <w:rPr/>
        <w:tab/>
        <w:t xml:space="preserve">The important point is that </w:t>
      </w:r>
      <w:r>
        <w:rPr>
          <w:i/>
          <w:iCs/>
        </w:rPr>
        <w:t>only</w:t>
      </w:r>
      <w:r>
        <w:rPr/>
        <w:t xml:space="preserve"> FERC can do the job FERC set out to do (and partially completed) in Order No. 888:  to set the terms for open, nondiscriminatory access to the interstate grids.  The OATT is qualitatively unlike anything any state has ever done or could ever do, and it is simply inconceivable that open access could be achieved otherwise than by a federal agency imposing compatible terms on all owners of the facilities that together make up the grids.  FERC’s assertedly discretionary decision that it lacks jurisdiction to include trans</w:t>
        <w:softHyphen/>
        <w:t>missions for bundled retail sales improperly exempts about 60% of the pertinent traffic from this essential regulatory scheme.</w:t>
      </w:r>
      <w:r>
        <w:rPr>
          <w:rStyle w:val="FootnoteCharacters"/>
          <w:rStyle w:val="FootnoteReference"/>
        </w:rPr>
        <w:footnoteReference w:id="6"/>
      </w:r>
    </w:p>
    <w:p>
      <w:pPr>
        <w:pStyle w:val="Normal"/>
        <w:spacing w:lineRule="auto" w:line="480"/>
        <w:rPr/>
      </w:pPr>
      <w:r>
        <w:rPr/>
        <w:tab/>
        <w:t>Finally, New York and EEI argue (</w:t>
      </w:r>
      <w:r>
        <w:rPr>
          <w:i/>
          <w:iCs/>
        </w:rPr>
        <w:t>see</w:t>
      </w:r>
      <w:r>
        <w:rPr/>
        <w:t xml:space="preserve"> NY Br. at 7, 16; EEI Br. at 40-41) that FPA section 212(h), 16 U.S.C. § 824k(h), which bars FERC from “requir[ing] the transmission of electric energy . . . directly to an ultimate consumer,” expressly forbids what they assert Enron is trying to compel FERC to do.  But Enron argues only that FERC has jurisdiction over all transmission in interstate commerce that a utility chooses (or is properly ordered by a federal or state regulator) to engage in, and that FERC must use that authority to eliminate undue discrimination between users of interstate transmission facilities.  Neither FERC nor Enron contemplates giving FERC authority to order direct transmission to an ultimate consumer.  [</w:t>
      </w:r>
      <w:r>
        <w:rPr>
          <w:i/>
          <w:iCs/>
        </w:rPr>
        <w:t>See</w:t>
      </w:r>
      <w:r>
        <w:rPr/>
        <w:t xml:space="preserve"> Order 888 at 31,690-91, 31,781.]</w:t>
      </w:r>
    </w:p>
    <w:p>
      <w:pPr>
        <w:pStyle w:val="Normal"/>
        <w:ind w:hanging="720" w:start="720" w:end="0"/>
        <w:rPr>
          <w:b/>
          <w:bCs/>
        </w:rPr>
      </w:pPr>
      <w:r>
        <w:rPr>
          <w:b/>
          <w:bCs/>
        </w:rPr>
        <w:t>II.</w:t>
        <w:tab/>
        <w:t>TRANSMISSION-OWNING UTILITIES CAN AND DO DISCRIMINATE AGAINST COMPETING USERS OF TRANSMISSION SERVICE, AND FERC’S FAILURE TO ADDRESS THIS DISCRIMINATION WAS UNLAWFUL.</w:t>
      </w:r>
    </w:p>
    <w:p>
      <w:pPr>
        <w:pStyle w:val="Normal"/>
        <w:ind w:hanging="720" w:start="720" w:end="0"/>
        <w:rPr/>
      </w:pPr>
      <w:r>
        <w:rPr/>
      </w:r>
    </w:p>
    <w:p>
      <w:pPr>
        <w:pStyle w:val="Normal"/>
        <w:spacing w:lineRule="auto" w:line="480"/>
        <w:rPr/>
      </w:pPr>
      <w:r>
        <w:rPr/>
        <w:tab/>
        <w:t xml:space="preserve">In the orders under review, FERC found that the “vast majority” of vertically integrated utilities “historically have declined to transport electric energy that would compete with their own sales or have offered access that is inferior to what they use for their own sales,” Order No. 888-A at 30,210, Pet. App. 436a, and that “[t]he </w:t>
      </w:r>
      <w:r>
        <w:rPr>
          <w:i/>
          <w:iCs/>
        </w:rPr>
        <w:t>only</w:t>
      </w:r>
      <w:r>
        <w:rPr/>
        <w:t xml:space="preserve"> way . . . to remedy” such discrimination “is through readily available, non-discriminatory transmission access.”  </w:t>
      </w:r>
      <w:r>
        <w:rPr>
          <w:i/>
          <w:iCs/>
        </w:rPr>
        <w:t>Id.</w:t>
      </w:r>
      <w:r>
        <w:rPr/>
        <w:t xml:space="preserve"> at 30,176, Pet. App. 382a (emphasis added).  These findings made no distinction between transmissions for bundled and unbundled retail sales; on the contrary, the orders state that “all” transmission must be subject to open access if consumers are to realize the benefits of supply competition.  Order No. 888 at 31,635, Pet. App. 133a.  But even though FERC acknowledged it has a “statutory obligation under sections 205 and 206 of the Federal Power Act” to remedy undue discrimination, </w:t>
      </w:r>
      <w:r>
        <w:rPr>
          <w:i/>
          <w:iCs/>
        </w:rPr>
        <w:t>id.</w:t>
      </w:r>
      <w:r>
        <w:rPr/>
        <w:t xml:space="preserve">, it simply shrugged that task off with respect to the majority of transmissions on the interstate grid: without explanation or citation to the record, FERC declared that it was “not . . . necessary” to apply the OATT to transmissions where the ensuing sale is bundled retail. Pet. App. 235a.  </w:t>
      </w:r>
    </w:p>
    <w:p>
      <w:pPr>
        <w:pStyle w:val="Normal"/>
        <w:spacing w:lineRule="auto" w:line="480"/>
        <w:rPr>
          <w:rFonts w:eastAsia="Arial Unicode MS"/>
        </w:rPr>
      </w:pPr>
      <w:r>
        <w:rPr/>
        <w:tab/>
        <w:t xml:space="preserve">The result is a serious regulatory gap that FERC inadvertently acknowledges.  </w:t>
      </w:r>
      <w:r>
        <w:rPr>
          <w:szCs w:val="20"/>
        </w:rPr>
        <w:t>FERC notes (Br. at 46) that “Congress's overriding concern [in the FPA] was that there never be a jurisdictional void.”  FERC then explains (Br. at 46-47) that if the retail custom</w:t>
        <w:softHyphen/>
        <w:t>er's State has the sole jurisdiction to regulate transmissions to serve that customer, then no federal or state authority can regulate transmission service that involves what FERC calls "intervening states":</w:t>
      </w:r>
    </w:p>
    <w:p>
      <w:pPr>
        <w:pStyle w:val="Normal"/>
        <w:ind w:start="720" w:end="1440"/>
        <w:rPr>
          <w:szCs w:val="20"/>
        </w:rPr>
      </w:pPr>
      <w:r>
        <w:rPr>
          <w:szCs w:val="20"/>
        </w:rPr>
        <w:t>If the State in which the retail customer is located has jurisdiction to regulate all unbundled transmission associated with a retail sale, there would be a large regulatory gap when the retail customer purchases power from a supplier in a distant State, and that supplier requires transmission service from intervening out-of-state utilities to deliver the power.  The intervening transmission would be beyond the jurisdictional reach of the consumer's State . . . [and] would not be subject to meaningful regulation.</w:t>
      </w:r>
    </w:p>
    <w:p>
      <w:pPr>
        <w:pStyle w:val="Normal"/>
        <w:ind w:start="720" w:end="1440"/>
        <w:rPr>
          <w:szCs w:val="20"/>
        </w:rPr>
      </w:pPr>
      <w:r>
        <w:rPr>
          <w:szCs w:val="20"/>
        </w:rPr>
      </w:r>
    </w:p>
    <w:p>
      <w:pPr>
        <w:pStyle w:val="Normal"/>
        <w:spacing w:lineRule="auto" w:line="480"/>
        <w:rPr/>
      </w:pPr>
      <w:r>
        <w:rPr>
          <w:szCs w:val="20"/>
        </w:rPr>
        <w:t xml:space="preserve">FERC means to be answering New York's contention that the States, not FERC, have jurisdiction over transmission to serve unbundled retail customers, but the point applies equally to transmission that serves bundled retail customers: absent FERC jurisdiction there can be </w:t>
      </w:r>
      <w:r>
        <w:rPr>
          <w:rStyle w:val="Emphasis"/>
          <w:szCs w:val="20"/>
        </w:rPr>
        <w:t>no</w:t>
      </w:r>
      <w:r>
        <w:rPr>
          <w:szCs w:val="20"/>
        </w:rPr>
        <w:t xml:space="preserve"> effective regulation of such transmission insofar as it implicates facilities in States other than the State of the retail customer.</w:t>
      </w:r>
    </w:p>
    <w:p>
      <w:pPr>
        <w:pStyle w:val="Normal"/>
        <w:spacing w:lineRule="auto" w:line="480"/>
        <w:rPr/>
      </w:pPr>
      <w:r>
        <w:rPr/>
        <w:tab/>
        <w:t xml:space="preserve">EEI and FERC both attempt to defend FERC’s abdication with arguments not actually found in the orders.  Neither respondent’s gambit works.  </w:t>
      </w:r>
    </w:p>
    <w:p>
      <w:pPr>
        <w:pStyle w:val="Normal"/>
        <w:tabs>
          <w:tab w:val="left" w:pos="720" w:leader="none"/>
        </w:tabs>
        <w:ind w:hanging="1440" w:start="1440" w:end="0"/>
        <w:rPr/>
      </w:pPr>
      <w:r>
        <w:rPr/>
        <w:tab/>
      </w:r>
      <w:r>
        <w:rPr>
          <w:b/>
          <w:bCs/>
        </w:rPr>
        <w:t>A.</w:t>
        <w:tab/>
        <w:t>EEI’s Argument That There Can Be No Undue Discrimination Is Wrong as a Matter of Both Law and Fact.</w:t>
      </w:r>
    </w:p>
    <w:p>
      <w:pPr>
        <w:pStyle w:val="Normal"/>
        <w:tabs>
          <w:tab w:val="left" w:pos="720" w:leader="none"/>
        </w:tabs>
        <w:ind w:hanging="1440" w:start="1440" w:end="0"/>
        <w:rPr>
          <w:b/>
          <w:bCs/>
        </w:rPr>
      </w:pPr>
      <w:r>
        <w:rPr>
          <w:b/>
          <w:bCs/>
        </w:rPr>
      </w:r>
    </w:p>
    <w:p>
      <w:pPr>
        <w:pStyle w:val="Normal"/>
        <w:spacing w:lineRule="auto" w:line="480"/>
        <w:rPr/>
      </w:pPr>
      <w:r>
        <w:rPr/>
        <w:tab/>
        <w:t>EEI suggests (Br. at 46-47) that there can be no “undue discrimination” within the meaning of sections 205 and 206 because (it asserts) alternative suppliers do not compete with vertically integrated utilities for their bundled-service retail customers, and the unbundled-service customers for whom the new entrants compete are not “similarly situated” to the transmission monopolists’ bundled native load.  This is wrong on both the law and the facts.</w:t>
      </w:r>
    </w:p>
    <w:p>
      <w:pPr>
        <w:pStyle w:val="Normal"/>
        <w:spacing w:lineRule="auto" w:line="480"/>
        <w:rPr/>
      </w:pPr>
      <w:r>
        <w:rPr/>
        <w:tab/>
        <w:t xml:space="preserve">First, although EEI attributes to FERC the suggestion that “undue discrimination” can exist only as between similarly situated retail customers (EEI Br. at 47), the agency has specifically </w:t>
      </w:r>
      <w:r>
        <w:rPr>
          <w:i/>
          <w:iCs/>
        </w:rPr>
        <w:t>rejected</w:t>
      </w:r>
      <w:r>
        <w:rPr/>
        <w:t xml:space="preserve"> that narrow conception of discrimination.  As FERC noted in Order No. 888, the development of competition after the EPAct required the agency to “broaden[] its undue discrimination analysis (which traditionally focused on the rates, terms, and situations faced by similarly situated third-party customers) to include a focus on the rates, terms, and conditions of a utility’s own uses of the transmission system.”  Pet. App. 160a-161a.  Transmission monopolists and other suppliers do compete head-to-head for capacity on the interstate grids, even when they are using that capacity to serve different classes of customers, or customers in different states.  For that reason, FERC held, an “open access tariff that is not unduly discriminatory or anticompetitive should offer third parties access on the same or comparable basis, and under the same or comparable terms and conditions, as the transmission provider’s uses of its system.”  </w:t>
      </w:r>
      <w:r>
        <w:rPr>
          <w:i/>
          <w:iCs/>
        </w:rPr>
        <w:t>Id.</w:t>
      </w:r>
      <w:r>
        <w:rPr/>
        <w:t xml:space="preserve"> at 161a (quoting </w:t>
      </w:r>
      <w:r>
        <w:rPr>
          <w:i/>
          <w:iCs/>
        </w:rPr>
        <w:t>American Elec. Power Serv. Corp.</w:t>
      </w:r>
      <w:r>
        <w:rPr/>
        <w:t>, 67 F.E.R.C. ¶ 61,317, ¶ 61,490 (1994)).</w:t>
      </w:r>
    </w:p>
    <w:p>
      <w:pPr>
        <w:pStyle w:val="Normal"/>
        <w:spacing w:lineRule="auto" w:line="480"/>
        <w:rPr/>
      </w:pPr>
      <w:r>
        <w:rPr/>
        <w:tab/>
        <w:t xml:space="preserve">Second, EEI’s factual premise—that vertically integrated utilities and other suppliers do not compete for the same customers—is incorrect.  Even in a “bundled” State, the largest customers face the choice of whether to take the franchised utility’s bundled retail service or self-supply, and competition for these native-load customers is fierce.  For example, </w:t>
      </w:r>
    </w:p>
    <w:p>
      <w:pPr>
        <w:pStyle w:val="Normal"/>
        <w:numPr>
          <w:ilvl w:val="0"/>
          <w:numId w:val="1"/>
        </w:numPr>
        <w:rPr/>
      </w:pPr>
      <w:r>
        <w:rPr/>
        <w:t>Federal facilities and municipalities can drop the franchised utility’s bundled retail service, establish their own distribution utilities, and purchase electricity from other suppliers like Enron.  But these customers are still dependent on the franchised utility that surrounds them to transmit the electricity they purchase.  The franchised utility’s ability to block transmission by tying up the grid for its native load is a powerful deterrent against dropping the utility’s bundled service.</w:t>
      </w:r>
    </w:p>
    <w:p>
      <w:pPr>
        <w:pStyle w:val="Normal"/>
        <w:rPr>
          <w:b/>
          <w:bCs/>
        </w:rPr>
      </w:pPr>
      <w:r>
        <w:rPr>
          <w:b/>
          <w:bCs/>
        </w:rPr>
      </w:r>
    </w:p>
    <w:p>
      <w:pPr>
        <w:pStyle w:val="Normal"/>
        <w:numPr>
          <w:ilvl w:val="0"/>
          <w:numId w:val="1"/>
        </w:numPr>
        <w:rPr>
          <w:b/>
          <w:bCs/>
        </w:rPr>
      </w:pPr>
      <w:r>
        <w:rPr/>
        <w:t>Many states have economic development programs that provide industrial or large commercial power customers with a choice:  either (a) to remain a bundled retail customer of a franchise utility or (b) to “buy through” that utility and purchase some or all of its power from a competing supplier, such as Enron, and then buy unbundled transmission from the incumbent utility.  Enron and the franchise utility compete head-to-head for these customers, but the utility can offer superior bundled transmission or conversely threaten that the quality of transmissions will be less if Enron is selected.</w:t>
      </w:r>
    </w:p>
    <w:p>
      <w:pPr>
        <w:pStyle w:val="Normal"/>
        <w:rPr>
          <w:b/>
          <w:bCs/>
        </w:rPr>
      </w:pPr>
      <w:r>
        <w:rPr>
          <w:b/>
          <w:bCs/>
        </w:rPr>
      </w:r>
    </w:p>
    <w:p>
      <w:pPr>
        <w:pStyle w:val="Normal"/>
        <w:numPr>
          <w:ilvl w:val="0"/>
          <w:numId w:val="1"/>
        </w:numPr>
        <w:rPr/>
      </w:pPr>
      <w:r>
        <w:rPr/>
        <w:t xml:space="preserve">Industrial customers always have the ability to build their own generators (with the assistance of competitive suppliers), but these customers need back-up service from the vertically integrated utility.  Order No. 888 specifically noted instances where utilities punished these “prodigal customers” by withholding needed transmission.  </w:t>
      </w:r>
      <w:r>
        <w:rPr>
          <w:i/>
          <w:iCs/>
        </w:rPr>
        <w:t>See, e.g.</w:t>
      </w:r>
      <w:r>
        <w:rPr/>
        <w:t xml:space="preserve">, Pet. App. 320a.  </w:t>
      </w:r>
      <w:r>
        <w:rPr>
          <w:b/>
          <w:bCs/>
        </w:rPr>
        <w:t xml:space="preserve">[Is this citation right?  Other citations?  </w:t>
      </w:r>
      <w:r>
        <w:rPr>
          <w:b/>
          <w:bCs/>
          <w:i/>
          <w:iCs/>
        </w:rPr>
        <w:t>Does FERC know what “prodigal” means?</w:t>
      </w:r>
      <w:r>
        <w:rPr>
          <w:b/>
          <w:bCs/>
        </w:rPr>
        <w:t>]</w:t>
      </w:r>
    </w:p>
    <w:p>
      <w:pPr>
        <w:pStyle w:val="Normal"/>
        <w:rPr>
          <w:b/>
          <w:bCs/>
        </w:rPr>
      </w:pPr>
      <w:r>
        <w:rPr>
          <w:b/>
          <w:bCs/>
        </w:rPr>
      </w:r>
    </w:p>
    <w:p>
      <w:pPr>
        <w:pStyle w:val="Normal"/>
        <w:spacing w:lineRule="auto" w:line="480"/>
        <w:rPr/>
      </w:pPr>
      <w:r>
        <w:rPr/>
        <w:tab/>
        <w:t xml:space="preserve">Moreover, other suppliers compete directly with transmission monopolists for the same </w:t>
      </w:r>
      <w:r>
        <w:rPr>
          <w:i/>
          <w:iCs/>
        </w:rPr>
        <w:t>wholesale</w:t>
      </w:r>
      <w:r>
        <w:rPr/>
        <w:t xml:space="preserve"> customers in “bundled” states, and FERC’s failure to extend open access to bundled retail load impedes that competition.  For example, Enron often competes with a vertically integrated utility to sell electricity to other, neighboring utilities, and to do so Enron may need to transmit electricity through the first utility’s bundled-service territory.</w:t>
      </w:r>
      <w:r>
        <w:rPr>
          <w:rStyle w:val="FootnoteCharacters"/>
          <w:rStyle w:val="FootnoteReference"/>
        </w:rPr>
        <w:footnoteReference w:id="7"/>
      </w:r>
      <w:r>
        <w:rPr/>
        <w:t xml:space="preserve">  The exemption from open access for transmissions to serve bundled customers gives that utility an effective chokehold over Enron’s through transmission: the utility can reserve capacity for its native load in a manner that blocks Enron, and can undercut Enron’s prices on the same routes by bringing in the distant energy for its native load (avoiding the transmission charges Enron must pay) and diverting locally generated electricity to the wholesale customer.  Order 888 cites several examples of strategic tying-up of transmission capacity, nominally for bundled transmissions, in order to block access by competing sellers.</w:t>
      </w:r>
    </w:p>
    <w:p>
      <w:pPr>
        <w:pStyle w:val="Normal"/>
        <w:spacing w:lineRule="auto" w:line="480"/>
        <w:rPr/>
      </w:pPr>
      <w:r>
        <w:rPr/>
        <w:tab/>
        <w:t xml:space="preserve">EEI’s suggestion (EEI Br. at 47-48) that the exemption from open access for bundled transmission can somehow be justified as a protection for residential customers that cannot choose their suppliers misses the point.  That a state might </w:t>
      </w:r>
      <w:r>
        <w:rPr>
          <w:i/>
          <w:iCs/>
        </w:rPr>
        <w:t>want</w:t>
      </w:r>
      <w:r>
        <w:rPr/>
        <w:t xml:space="preserve"> to give its residential customers service priority over wholesale purchasers does not mean it has the jurisdiction to do so.  Moreover, the disadvantaged wholesale customers, in fact, often are other utilities with their own residential customers to serve; denying these utilities access to low-priced electricity from competitive suppliers simply shifts the burden from residential end users in one state to end users in another.  In any event, EEI’s justification for distinguishing bundled from unbundled transmission service is not one that FERC ever invoked itself.  </w:t>
      </w:r>
      <w:r>
        <w:rPr>
          <w:i/>
          <w:iCs/>
        </w:rPr>
        <w:t>Cf. SEC v. Chenery Corp.</w:t>
      </w:r>
      <w:r>
        <w:rPr/>
        <w:t>, 332 U.S. 194, 196 (1947).</w:t>
      </w:r>
    </w:p>
    <w:p>
      <w:pPr>
        <w:pStyle w:val="Normal"/>
        <w:tabs>
          <w:tab w:val="left" w:pos="720" w:leader="none"/>
        </w:tabs>
        <w:ind w:hanging="1440" w:start="1440" w:end="0"/>
        <w:rPr>
          <w:sz w:val="22"/>
        </w:rPr>
      </w:pPr>
      <w:r>
        <w:rPr/>
        <w:tab/>
      </w:r>
      <w:r>
        <w:rPr>
          <w:b/>
          <w:bCs/>
        </w:rPr>
        <w:t>B.</w:t>
        <w:tab/>
        <w:t>FERC’s Arguments That Coverage of Transmission for Bundled Service Is Not “Necessary” Are Also Unavailing.</w:t>
      </w:r>
    </w:p>
    <w:p>
      <w:pPr>
        <w:pStyle w:val="Normal"/>
        <w:tabs>
          <w:tab w:val="left" w:pos="720" w:leader="none"/>
        </w:tabs>
        <w:ind w:hanging="1440" w:start="1440" w:end="0"/>
        <w:rPr>
          <w:sz w:val="22"/>
        </w:rPr>
      </w:pPr>
      <w:r>
        <w:rPr>
          <w:sz w:val="22"/>
        </w:rPr>
      </w:r>
    </w:p>
    <w:p>
      <w:pPr>
        <w:pStyle w:val="Normal"/>
        <w:spacing w:lineRule="auto" w:line="480"/>
        <w:rPr/>
      </w:pPr>
      <w:r>
        <w:rPr/>
        <w:tab/>
        <w:t xml:space="preserve">FERC, by contrast, suggests (Br. at 57-58) that its failure to extend open access to bundled transmission was actually a reasoned determination based on the state of the factual record then before it.  Reading the parts of the orders FERC cites demonstrates otherwise.  The </w:t>
      </w:r>
      <w:r>
        <w:rPr>
          <w:i/>
          <w:iCs/>
        </w:rPr>
        <w:t>entirety</w:t>
      </w:r>
      <w:r>
        <w:rPr/>
        <w:t xml:space="preserve"> of Order No. 888’s analysis of the factual record on “necessity” reads as follows:</w:t>
      </w:r>
    </w:p>
    <w:p>
      <w:pPr>
        <w:pStyle w:val="BodyTextIndent"/>
        <w:ind w:start="720" w:end="0"/>
        <w:rPr/>
      </w:pPr>
      <w:r>
        <w:rPr/>
        <w:t>Although the unbundling of retail transmission and generation, as well as wholesale transmission and generation would be helpful in achieving comparability, we do not believe it is necessary.</w:t>
      </w:r>
    </w:p>
    <w:p>
      <w:pPr>
        <w:pStyle w:val="Normal"/>
        <w:spacing w:lineRule="auto" w:line="480"/>
        <w:rPr/>
      </w:pPr>
      <w:r>
        <w:rPr/>
        <w:t>Pet. App. 235a.  FERC’s other citation to its purported analysis of the factual record is simply the rehearing order’s recitation of what the agency said the first time:</w:t>
      </w:r>
    </w:p>
    <w:p>
      <w:pPr>
        <w:pStyle w:val="BodyTextIndent"/>
        <w:ind w:start="720" w:end="0"/>
        <w:rPr/>
      </w:pPr>
      <w:r>
        <w:rPr/>
        <w:t>In the Final Rule, the Commission explained that although the unbundling of retail transmission and generation, as well as wholesale generation, would be helpful in achieving comparability, it did not believe it was necessary.</w:t>
      </w:r>
    </w:p>
    <w:p>
      <w:pPr>
        <w:pStyle w:val="Normal"/>
        <w:spacing w:lineRule="auto" w:line="480"/>
        <w:rPr/>
      </w:pPr>
      <w:r>
        <w:rPr/>
        <w:t xml:space="preserve">Pet App. 453a-454a.  The claim that these passages represent a reasoned judgment that the factual record did not support an extension of open access is a considerable stretch. </w:t>
      </w:r>
    </w:p>
    <w:p>
      <w:pPr>
        <w:pStyle w:val="Normal"/>
        <w:spacing w:lineRule="auto" w:line="480"/>
        <w:rPr/>
      </w:pPr>
      <w:r>
        <w:rPr/>
        <w:tab/>
        <w:t xml:space="preserve">In fact, as demonstrated above and in Enron’s opening brief (Br. at 12-13, 36-38), Order No. 888 contains detailed findings of pervasive undue discrimination by vertically integrated utilities providing bundled service to their native loads, and none of these findings suggests that the prevalence or impact of discrimination turns on how the transmission is invoiced to the retail end user.  On the contrary, Order No. 888 concedes that extending open access to bundled transmission would be “helpful” in stopping the discrimination that FERC had found.  Pet. App. 235a.  FERC’s Notice of Proposed Rulemaking recognized that limiting open access to unbundled transmission would “result in service under two separate arrangements—an explicit wholesale transmission tariff filed at the Commission and an implicit retail transmission tariff governed by a state regulatory body,” presenting the risk that “the quality of transmission service for [predominantly bundled] retail purposes will be superior to the quality of transmission service offered for wholesale purposes.”  Pet. App. 634a.  FERC expressly “s[ought] comment on how this bifurcated approach would affect the public utility’s incentives to provide non-discriminatory open access wholesale transmission service,” </w:t>
      </w:r>
      <w:r>
        <w:rPr>
          <w:i/>
          <w:iCs/>
        </w:rPr>
        <w:t>id.</w:t>
      </w:r>
      <w:r>
        <w:rPr/>
        <w:t xml:space="preserve"> at 635a, and the comments Enron and other parties filed provided ample justification for extending open access to bundled transmission.</w:t>
      </w:r>
      <w:r>
        <w:rPr>
          <w:rStyle w:val="FootnoteCharacters"/>
          <w:rStyle w:val="FootnoteReference"/>
        </w:rPr>
        <w:footnoteReference w:id="8"/>
      </w:r>
    </w:p>
    <w:p>
      <w:pPr>
        <w:pStyle w:val="Normal"/>
        <w:spacing w:lineRule="auto" w:line="480"/>
        <w:rPr/>
      </w:pPr>
      <w:r>
        <w:rPr/>
        <w:tab/>
        <w:t xml:space="preserve">FERC’s final suggestion that Enron has never established the need for a </w:t>
      </w:r>
      <w:r>
        <w:rPr>
          <w:i/>
          <w:iCs/>
        </w:rPr>
        <w:t>federal</w:t>
      </w:r>
      <w:r>
        <w:rPr/>
        <w:t xml:space="preserve"> role with respect to bundled transmission, or demonstrated the practical limitations of state regulation, is equally unavailing.  (FERC Br. at 58.)  Enron raised such arguments throughout the administrative proceeding.</w:t>
      </w:r>
      <w:r>
        <w:rPr>
          <w:rStyle w:val="FootnoteCharacters"/>
          <w:rStyle w:val="FootnoteReference"/>
        </w:rPr>
        <w:footnoteReference w:id="9"/>
      </w:r>
      <w:r>
        <w:rPr/>
        <w:t xml:space="preserve">  It is self-evident—and FERC does not explain how it could be otherwise—that where a transmission line crosses state boundaries, the individual states through which that line passes cannot each adopt a rule giving its own bundled in-state customers priority claims to the line’s capacity.  Current events in the West are demonstrating that the competitive energy supply markets Congress created are regional and national; they are also demonstrating that individual States face powerful pressures in times of shortage to hoard supply for their own in-state uses and to prevent the transfer of electricity across state lines.  As this Court recognized well before any state had implemented retail unbundling, when virtually all transmission was bundled, the “transmission of energy is an activity particularly likely to affect more than one State, and its effect on interstate commerce is often significant enough that uncontrolled regulation by the States can patently interfere with broader national interests.”  </w:t>
      </w:r>
      <w:r>
        <w:rPr>
          <w:i/>
          <w:iCs/>
        </w:rPr>
        <w:t>Arkansas Elec. Coop. Corp. v. Arkansas Pub. Serv. Comm’n</w:t>
      </w:r>
      <w:r>
        <w:rPr/>
        <w:t>, 461 U.S. 375 (1983).  FERC is the only entity capable of adopting consistent regulations and safeguarding the national interest.</w:t>
      </w:r>
      <w:r>
        <w:rPr>
          <w:rStyle w:val="FootnoteCharacters"/>
          <w:rStyle w:val="FootnoteReference"/>
        </w:rPr>
        <w:footnoteReference w:id="10"/>
      </w:r>
    </w:p>
    <w:p>
      <w:pPr>
        <w:pStyle w:val="Normal"/>
        <w:spacing w:lineRule="auto" w:line="480"/>
        <w:rPr/>
      </w:pPr>
      <w:r>
        <w:rPr/>
        <w:tab/>
        <w:t xml:space="preserve">Indicating that the agency does not quite believe its own claim that the individual states can rule in its stead, FERC seeks to reassure the Court that it can, in fact, police discrimination with respect to bundled transmission.  (FERC Br. at 59; </w:t>
      </w:r>
      <w:r>
        <w:rPr>
          <w:i/>
          <w:iCs/>
        </w:rPr>
        <w:t>see also</w:t>
      </w:r>
      <w:r>
        <w:rPr/>
        <w:t xml:space="preserve"> EEI Br. at 48-49.)  FERC points to a later order authorizing the creation of independent regional transmission organizations that would operate the grid in place of the vertically integrated utilities (FERC Br. at 58 n.23); however, the formation of such organizations is entirely voluntary, and one would not expect that the current monopolists—whose “inherent” incentives, FERC found, “make it inevitable that they will act in their own self-interest to the detriment of others by refusing transmission and/or providing inferior transmission to competitors” (Pet. App. 213a-214a)—would willingly give up their strategic control over the transmission grids.  FERC also states that it “continues to believe” it has full authority to prevent transmission monopolists from providing bundled transmission in a manner that disadvantages unbundled services subject to its jurisdiction, but the Eighth Circuit, following FERC’s own reasoning here, held otherwise.  </w:t>
      </w:r>
      <w:r>
        <w:rPr>
          <w:i/>
          <w:iCs/>
        </w:rPr>
        <w:t>See Northern States Power Co. v. FERC</w:t>
      </w:r>
      <w:r>
        <w:rPr/>
        <w:t>, 176 F.3d 1090 (8th Cir. 1999).</w:t>
      </w:r>
      <w:r>
        <w:rPr>
          <w:rStyle w:val="FootnoteCharacters"/>
          <w:rStyle w:val="FootnoteReference"/>
        </w:rPr>
        <w:footnoteReference w:id="11"/>
      </w:r>
      <w:r>
        <w:rPr/>
        <w:t xml:space="preserve">  FERC’s unlawful abdication of its jurisdiction prevents it from playing the role that it itself appears to believe necessary.</w:t>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 xml:space="preserve">As Pennsylvania points out (Br. at 7):  </w:t>
      </w:r>
    </w:p>
    <w:p>
      <w:pPr>
        <w:pStyle w:val="FootnoteText"/>
        <w:spacing w:before="0" w:after="120"/>
        <w:ind w:start="720" w:end="720"/>
        <w:rPr/>
      </w:pPr>
      <w:r>
        <w:rPr/>
        <w:t>New York . . . erroneously conflates State ratemaking powers with rules controlling the operation of the interstate transmission network.  Transmission rates are actually a relatively small component of retail electric rates.  It is clear from New York’s argument (and even more so from the novel theory advanced by California . . . ) that retail rates are not the issue here.  Network control and ‘rules of the road’ are what is being fought over.  Who controls the interstate grid gets to decide a great many things, including wholesale generation market design and which wholesale electricity transactions will flow and which will be cut or reduced.</w:t>
      </w:r>
    </w:p>
  </w:footnote>
  <w:footnote w:id="3">
    <w:p>
      <w:pPr>
        <w:pStyle w:val="FootnoteText"/>
        <w:spacing w:before="0" w:after="120"/>
        <w:rPr/>
      </w:pPr>
      <w:r>
        <w:rPr>
          <w:rStyle w:val="FootnoteCharacters"/>
        </w:rPr>
        <w:footnoteRef/>
      </w:r>
      <w:r>
        <w:rPr/>
        <w:t xml:space="preserve"> </w:t>
      </w:r>
      <w:r>
        <w:rPr/>
        <w:tab/>
      </w:r>
      <w:r>
        <w:rPr>
          <w:i/>
          <w:iCs/>
        </w:rPr>
        <w:t>See also United States v. Public Utilities Comm’n of California</w:t>
      </w:r>
      <w:r>
        <w:rPr/>
        <w:t xml:space="preserve"> 345 U.S. 295, 310-11 (1953) (noting that NGA precedent “would be as applicable here [interpreting FPA § 201(b)] as to § 1(b) of the [NGA]”).  </w:t>
      </w:r>
    </w:p>
  </w:footnote>
  <w:footnote w:id="4">
    <w:p>
      <w:pPr>
        <w:pStyle w:val="FootnoteText"/>
        <w:spacing w:before="0" w:after="120"/>
        <w:rPr/>
      </w:pPr>
      <w:r>
        <w:rPr>
          <w:rStyle w:val="FootnoteCharacters"/>
        </w:rPr>
        <w:footnoteRef/>
      </w:r>
      <w:r>
        <w:rPr/>
        <w:t xml:space="preserve"> </w:t>
      </w:r>
      <w:r>
        <w:rPr/>
        <w:tab/>
        <w:t xml:space="preserve">EEI  also argues that the NGA precedent is inapposite because the natural gas industry was not characterized by vertically integrated entities, as the electric industry is.  This too is false.  Before the complete unbundling of the industry pursuant to FERC Order No. 636, 57 Fed. Reg. 13,267 (Apr. 8, 1992), there had always been significant vertical integration of gas pipelines with both gas production and distribution.  </w:t>
      </w:r>
      <w:r>
        <w:rPr>
          <w:i/>
          <w:iCs/>
        </w:rPr>
        <w:t>See, e.g.</w:t>
      </w:r>
      <w:r>
        <w:rPr/>
        <w:t xml:space="preserve">, </w:t>
      </w:r>
      <w:r>
        <w:rPr>
          <w:i/>
          <w:iCs/>
        </w:rPr>
        <w:t>Maryland Peoples Counsel v. FERC</w:t>
      </w:r>
      <w:r>
        <w:rPr/>
        <w:t xml:space="preserve">, 761 F.2d 768, 775 (D.C. Cir. 1985) (“Most, if not all, major gas pipelines . . . are “backward vertically integrated”—that is, they own significant gas exploration, development and production affiliates”).  And just as in the electric industry, FERC found that the gas pipelines had an incentive to discriminate and, in fact, did discriminate in favor of their own and affiliated gas production. </w:t>
      </w:r>
      <w:r>
        <w:rPr>
          <w:i/>
          <w:iCs/>
        </w:rPr>
        <w:t xml:space="preserve"> See Pipeline Service Obligations and Revisions to Regulations Governing Self-Implementing Transportation; and Regulation of Natural Gas Pipelines after Wellhead Decontrol</w:t>
      </w:r>
      <w:r>
        <w:rPr/>
        <w:t xml:space="preserve">, Order No. 636, [1991-96 Regs. Preambles]  F.E.R.C. Stats. &amp; Regs. ¶ 30,939 at 30,542 (“major purpose of the Commission in adopting Order No. 636 is to design rules to counter th[e] economic incentive to discriminate in favor of a pipeline’s own bundled sales service”), </w:t>
      </w:r>
      <w:r>
        <w:rPr>
          <w:i/>
          <w:iCs/>
        </w:rPr>
        <w:t>aff’d in relevant part sub nom. United Distribution Cos. v. FERC</w:t>
      </w:r>
      <w:r>
        <w:rPr/>
        <w:t>, 88 F.3d 1105, 1125 (D.C. Cir. 1996) (upholding mandatory unbundling to prevent pipelines from providing superior transportation to their own bundled gas sales).</w:t>
      </w:r>
    </w:p>
  </w:footnote>
  <w:footnote w:id="5">
    <w:p>
      <w:pPr>
        <w:pStyle w:val="FootnoteText"/>
        <w:spacing w:before="0" w:after="120"/>
        <w:rPr/>
      </w:pPr>
      <w:r>
        <w:rPr>
          <w:rStyle w:val="FootnoteCharacters"/>
        </w:rPr>
        <w:footnoteRef/>
      </w:r>
      <w:r>
        <w:rPr/>
        <w:t xml:space="preserve"> </w:t>
      </w:r>
      <w:r>
        <w:rPr/>
        <w:tab/>
        <w:t xml:space="preserve">Contrary to New York’s argument (Br. 6), section 206(d), which gives FERC authority to investigate and report the cost of interstate transmission “in cases where [FERC] has no authority to establish a rate governing the sale of [the] energy,” is perfectly consistent with Enron’s position.  Indeed, it shows that Congress understood that, even where there is a bundled retail sale, FERC alone is in a position to examine effectively the terms of interstate transmission.  </w:t>
      </w:r>
    </w:p>
  </w:footnote>
  <w:footnote w:id="6">
    <w:p>
      <w:pPr>
        <w:pStyle w:val="Normal"/>
        <w:autoSpaceDE w:val="false"/>
        <w:rPr/>
      </w:pPr>
      <w:r>
        <w:rPr>
          <w:rStyle w:val="FootnoteCharacters"/>
        </w:rPr>
        <w:footnoteRef/>
      </w:r>
      <w:r>
        <w:rPr/>
        <w:t xml:space="preserve"> </w:t>
      </w:r>
      <w:r>
        <w:rPr/>
        <w:tab/>
        <w:t xml:space="preserve">EEI argues (Br. 41) that applying the OATT to transmissions bundled with retail sales would impose “a huge regulatory burden and uncertainty on the industry.”  But as FERC </w:t>
      </w:r>
      <w:r>
        <w:rPr>
          <w:szCs w:val="20"/>
        </w:rPr>
        <w:t xml:space="preserve">notes (Br. 52, </w:t>
      </w:r>
      <w:r>
        <w:rPr>
          <w:i/>
          <w:iCs/>
          <w:szCs w:val="20"/>
        </w:rPr>
        <w:t>citing FPC v. Conway Corp.</w:t>
      </w:r>
      <w:r>
        <w:rPr>
          <w:szCs w:val="20"/>
        </w:rPr>
        <w:t>, 426 U.S. 271, 280 &amp; nn. 6,7 (1976)), “the resulting accounting issues would be commonplace.”  Utilities providing bundled service regularly need to account separately for federally regulated and state-regulated costs.  And of course the fact that electric service is unbundled in many states (</w:t>
      </w:r>
      <w:r>
        <w:rPr>
          <w:i/>
          <w:iCs/>
          <w:szCs w:val="20"/>
        </w:rPr>
        <w:t>see</w:t>
      </w:r>
      <w:r>
        <w:rPr>
          <w:szCs w:val="20"/>
        </w:rPr>
        <w:t xml:space="preserve"> EEI Br. at 11 n. 6) means that the OATT is already broadly applicable to utilities that sell at retail. </w:t>
      </w:r>
    </w:p>
  </w:footnote>
  <w:footnote w:id="7">
    <w:p>
      <w:pPr>
        <w:pStyle w:val="FootnoteText"/>
        <w:spacing w:before="0" w:after="120"/>
        <w:rPr/>
      </w:pPr>
      <w:r>
        <w:rPr>
          <w:rStyle w:val="FootnoteCharacters"/>
        </w:rPr>
        <w:footnoteRef/>
      </w:r>
      <w:r>
        <w:rPr/>
        <w:t xml:space="preserve"> </w:t>
      </w:r>
      <w:r>
        <w:rPr/>
        <w:tab/>
        <w:t xml:space="preserve">Similarly, most states have phased in their retail choice programs over a period of several years, starting with the largest (and most lucrative) industrial customers.  </w:t>
      </w:r>
      <w:r>
        <w:rPr>
          <w:b/>
          <w:bCs/>
        </w:rPr>
        <w:t>[Cite examples of state statutes.]</w:t>
      </w:r>
      <w:r>
        <w:rPr/>
        <w:t xml:space="preserve">  During the phase-in, there will be intense competition for isolated unbundled customers that are located throughout a service territory where the majority of customers are continuing to receive bundled service. </w:t>
      </w:r>
    </w:p>
  </w:footnote>
  <w:footnote w:id="8">
    <w:p>
      <w:pPr>
        <w:pStyle w:val="FootnoteText"/>
        <w:spacing w:before="0" w:after="120"/>
        <w:rPr/>
      </w:pPr>
      <w:r>
        <w:rPr>
          <w:rStyle w:val="FootnoteCharacters"/>
        </w:rPr>
        <w:footnoteRef/>
      </w:r>
      <w:r>
        <w:rPr/>
        <w:t xml:space="preserve"> </w:t>
      </w:r>
      <w:r>
        <w:rPr/>
        <w:tab/>
      </w:r>
      <w:r>
        <w:rPr>
          <w:b/>
          <w:bCs/>
        </w:rPr>
        <w:t>[Dan: Cites to Enron’s and other parties’ comments at FERC.]</w:t>
      </w:r>
    </w:p>
  </w:footnote>
  <w:footnote w:id="9">
    <w:p>
      <w:pPr>
        <w:pStyle w:val="FootnoteText"/>
        <w:spacing w:before="0" w:after="120"/>
        <w:rPr/>
      </w:pPr>
      <w:r>
        <w:rPr>
          <w:rStyle w:val="FootnoteCharacters"/>
        </w:rPr>
        <w:footnoteRef/>
      </w:r>
      <w:r>
        <w:rPr/>
        <w:t xml:space="preserve"> </w:t>
      </w:r>
      <w:r>
        <w:rPr/>
        <w:tab/>
      </w:r>
      <w:r>
        <w:rPr>
          <w:b/>
          <w:bCs/>
        </w:rPr>
        <w:t>[Dan: Cites to Enron’s comments.]</w:t>
      </w:r>
    </w:p>
  </w:footnote>
  <w:footnote w:id="10">
    <w:p>
      <w:pPr>
        <w:pStyle w:val="FootnoteText"/>
        <w:spacing w:before="0" w:after="120"/>
        <w:rPr/>
      </w:pPr>
      <w:r>
        <w:rPr>
          <w:rStyle w:val="FootnoteCharacters"/>
        </w:rPr>
        <w:footnoteRef/>
      </w:r>
      <w:r>
        <w:rPr/>
        <w:t xml:space="preserve"> </w:t>
      </w:r>
      <w:r>
        <w:rPr/>
        <w:tab/>
        <w:t xml:space="preserve">New York’s lengthy recitation of its state-law analogues to the antidiscrimination provisions of the FPA and case law thereunder (NY Br. 19-23) proves nothing; as New York describes these cases, not a single one involves protection of an out-of-state electric supplier against discriminatory reservations of capacity for in-state customers of in-state utilities.  New York does not explain how it could impose consistent usage rules for the out-of-state portions of multistate transmission lines.  And even taking New York at its word that it stands ready to police discrimination against out-of-state grid users, there is no guarantee other states will do likewise.  Just the opposite: California has filed a brief in this case defending its claimed power to discriminate in favor of in-state users when there is a shortage of transmission capacity.  (Cal. Br. 29.) </w:t>
      </w:r>
    </w:p>
  </w:footnote>
  <w:footnote w:id="11">
    <w:p>
      <w:pPr>
        <w:pStyle w:val="FootnoteText"/>
        <w:spacing w:before="0" w:after="120"/>
        <w:rPr/>
      </w:pPr>
      <w:r>
        <w:rPr>
          <w:rStyle w:val="FootnoteCharacters"/>
        </w:rPr>
        <w:footnoteRef/>
      </w:r>
      <w:r>
        <w:rPr/>
        <w:t xml:space="preserve"> </w:t>
      </w:r>
      <w:r>
        <w:rPr/>
        <w:tab/>
        <w:t>For the same reason, EEI’s suggestion that “customers under the Order No. 888 open access tariff must receive the same degree of firmness as the utility’s native load” rings hollow: this was the very requirement of Order No. 888 that the Eighth Circuit overturned on the basis of FERC’s erroneous conclusion that it lacks jurisdiction over bundled transmissions.  176 F.3d at 1096 (overturning Order No. 888 requirement that firm transmission service to third parties be equally firm as bundled transmission to native load).  Nor does FERC’s limited ability to investigate vertically integrated utilities’ purported reservations of transmission capacity for native load in individual cases many months after the damage to competitors is done in the marketplace (EEI Br. 48-49) substitute for a self-enforcing structural remedy like the OATT.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80"/>
        </w:tabs>
        <w:ind w:start="78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Emphasis">
    <w:name w:val="Emphasis"/>
    <w:basedOn w:val="DefaultParagraphFont"/>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120"/>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2001-06-22T14:45:00Z</dcterms:created>
  <dc:creator>0096</dc:creator>
  <dc:description/>
  <dc:language>en-CA</dc:language>
  <cp:lastModifiedBy>1760</cp:lastModifiedBy>
  <cp:lastPrinted>2001-06-22T15:52:00Z</cp:lastPrinted>
  <dcterms:modified xsi:type="dcterms:W3CDTF">2001-06-22T17:55:00Z</dcterms:modified>
  <cp:revision>53</cp:revision>
  <dc:subject/>
  <dc:title>     REPLY BRIEF OF ENRON POWER MARKETING, INC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Cohen, Louis</vt:lpwstr>
  </property>
  <property fmtid="{D5CDD505-2E9C-101B-9397-08002B2CF9AE}" pid="3" name="ClientName">
    <vt:lpwstr>ENRON POWER MARKETING, INC.</vt:lpwstr>
  </property>
  <property fmtid="{D5CDD505-2E9C-101B-9397-08002B2CF9AE}" pid="4" name="ClientNumber">
    <vt:lpwstr>253210</vt:lpwstr>
  </property>
  <property fmtid="{D5CDD505-2E9C-101B-9397-08002B2CF9AE}" pid="5" name="CreatedBy">
    <vt:lpwstr>0096</vt:lpwstr>
  </property>
  <property fmtid="{D5CDD505-2E9C-101B-9397-08002B2CF9AE}" pid="6" name="CreatedByName">
    <vt:lpwstr>Cohen, Louis</vt:lpwstr>
  </property>
  <property fmtid="{D5CDD505-2E9C-101B-9397-08002B2CF9AE}" pid="7" name="Department">
    <vt:lpwstr/>
  </property>
  <property fmtid="{D5CDD505-2E9C-101B-9397-08002B2CF9AE}" pid="8" name="DeptAbbr">
    <vt:lpwstr/>
  </property>
  <property fmtid="{D5CDD505-2E9C-101B-9397-08002B2CF9AE}" pid="9" name="DocNumber">
    <vt:lpwstr>TZSYZ12PM5O</vt:lpwstr>
  </property>
  <property fmtid="{D5CDD505-2E9C-101B-9397-08002B2CF9AE}" pid="10" name="DocumentClass">
    <vt:r8>1</vt:r8>
  </property>
  <property fmtid="{D5CDD505-2E9C-101B-9397-08002B2CF9AE}" pid="11" name="Final">
    <vt:bool>0</vt:bool>
  </property>
  <property fmtid="{D5CDD505-2E9C-101B-9397-08002B2CF9AE}" pid="12" name="MatterName">
    <vt:lpwstr>NEW YORK V. FERC</vt:lpwstr>
  </property>
  <property fmtid="{D5CDD505-2E9C-101B-9397-08002B2CF9AE}" pid="13" name="MatterNumber">
    <vt:lpwstr>0003</vt:lpwstr>
  </property>
  <property fmtid="{D5CDD505-2E9C-101B-9397-08002B2CF9AE}" pid="14" name="PrintBillClient">
    <vt:lpwstr>999999</vt:lpwstr>
  </property>
  <property fmtid="{D5CDD505-2E9C-101B-9397-08002B2CF9AE}" pid="15" name="PrintBillMatter">
    <vt:lpwstr>9999</vt:lpwstr>
  </property>
  <property fmtid="{D5CDD505-2E9C-101B-9397-08002B2CF9AE}" pid="16" name="UnVerified">
    <vt:bool>0</vt:bool>
  </property>
  <property fmtid="{D5CDD505-2E9C-101B-9397-08002B2CF9AE}" pid="17" name="WCPDMSDataVer">
    <vt:lpwstr>1</vt:lpwstr>
  </property>
  <property fmtid="{D5CDD505-2E9C-101B-9397-08002B2CF9AE}" pid="18" name="WPDocType1">
    <vt:lpwstr/>
  </property>
  <property fmtid="{D5CDD505-2E9C-101B-9397-08002B2CF9AE}" pid="19" name="WPDocType2">
    <vt:lpwstr/>
  </property>
  <property fmtid="{D5CDD505-2E9C-101B-9397-08002B2CF9AE}" pid="20" name="WPJurisCat">
    <vt:lpwstr/>
  </property>
  <property fmtid="{D5CDD505-2E9C-101B-9397-08002B2CF9AE}" pid="21" name="WPJurisdiction">
    <vt:lpwstr/>
  </property>
  <property fmtid="{D5CDD505-2E9C-101B-9397-08002B2CF9AE}" pid="22" name="WPLitigation">
    <vt:bool>0</vt:bool>
  </property>
  <property fmtid="{D5CDD505-2E9C-101B-9397-08002B2CF9AE}" pid="23" name="WPResearch">
    <vt:bool>0</vt:bool>
  </property>
  <property fmtid="{D5CDD505-2E9C-101B-9397-08002B2CF9AE}" pid="24" name="WPSpecialCollection">
    <vt:lpwstr/>
  </property>
  <property fmtid="{D5CDD505-2E9C-101B-9397-08002B2CF9AE}" pid="25" name="WPTransaction">
    <vt:bool>0</vt:bool>
  </property>
  <property fmtid="{D5CDD505-2E9C-101B-9397-08002B2CF9AE}" pid="26" name="WorkProduct">
    <vt:bool>0</vt:bool>
  </property>
</Properties>
</file>