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DISTRIBUTION LIST</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JANINE MIGDEN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ENRON CORP</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COM ED ISSUES/RCR</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After analysis and discussions with Com Ed, other intervenors and internally, below are the issues on which we believe Enron should focus in the proceeding.  At this time, it is very difficult to put forth an estimate.  Therefore, I am recommending a budget of $30,000 and reserving the right to go back to the well.  Also, the outcome of discussions on block bidding could result in a supplemental RCR.</w:t>
      </w:r>
    </w:p>
    <w:p>
      <w:pPr>
        <w:pStyle w:val="Body"/>
        <w:rPr/>
      </w:pPr>
      <w:r>
        <w:rPr/>
      </w:r>
    </w:p>
    <w:p>
      <w:pPr>
        <w:pStyle w:val="Body"/>
        <w:rPr/>
      </w:pPr>
      <w:r>
        <w:rPr/>
        <w:t>Potential Issues</w:t>
      </w:r>
    </w:p>
    <w:p>
      <w:pPr>
        <w:pStyle w:val="Body"/>
        <w:rPr/>
      </w:pPr>
      <w:r>
        <w:rPr/>
      </w:r>
    </w:p>
    <w:p>
      <w:pPr>
        <w:pStyle w:val="Body"/>
        <w:numPr>
          <w:ilvl w:val="0"/>
          <w:numId w:val="2"/>
        </w:numPr>
        <w:rPr/>
      </w:pPr>
      <w:r>
        <w:rPr/>
        <w:t>Return on Equity – Quietly support other intervenors</w:t>
      </w:r>
    </w:p>
    <w:p>
      <w:pPr>
        <w:pStyle w:val="Body"/>
        <w:numPr>
          <w:ilvl w:val="0"/>
          <w:numId w:val="2"/>
        </w:numPr>
        <w:rPr/>
      </w:pPr>
      <w:r>
        <w:rPr/>
        <w:t>Bundled vs. Delivery Services Rates:  Deferred accounting treatment - Enron pursue with funding, possible.</w:t>
      </w:r>
    </w:p>
    <w:p>
      <w:pPr>
        <w:pStyle w:val="Body"/>
        <w:numPr>
          <w:ilvl w:val="0"/>
          <w:numId w:val="2"/>
        </w:numPr>
        <w:rPr/>
      </w:pPr>
      <w:r>
        <w:rPr/>
        <w:t>Rate Base Issues – Allocation of Expenses – Enron support without funding.</w:t>
      </w:r>
    </w:p>
    <w:p>
      <w:pPr>
        <w:pStyle w:val="Body"/>
        <w:numPr>
          <w:ilvl w:val="0"/>
          <w:numId w:val="2"/>
        </w:numPr>
        <w:rPr/>
      </w:pPr>
      <w:r>
        <w:rPr/>
        <w:t>Reduction of SBO Credit – Marginal vs. embedded – Enron support with funding</w:t>
      </w:r>
    </w:p>
    <w:p>
      <w:pPr>
        <w:pStyle w:val="Body"/>
        <w:numPr>
          <w:ilvl w:val="0"/>
          <w:numId w:val="2"/>
        </w:numPr>
        <w:rPr/>
      </w:pPr>
      <w:r>
        <w:rPr/>
        <w:t>“</w:t>
      </w:r>
      <w:r>
        <w:rPr/>
        <w:t>Block Bid” Proposals – Need decision from on high – hold off</w:t>
      </w:r>
    </w:p>
    <w:p>
      <w:pPr>
        <w:pStyle w:val="Body"/>
        <w:numPr>
          <w:ilvl w:val="0"/>
          <w:numId w:val="2"/>
        </w:numPr>
        <w:rPr/>
      </w:pPr>
      <w:r>
        <w:rPr/>
        <w:t>Agency Forms/Letter of Agency – support without funding; if block bidding – support with funding</w:t>
      </w:r>
    </w:p>
    <w:p>
      <w:pPr>
        <w:pStyle w:val="Body"/>
        <w:numPr>
          <w:ilvl w:val="0"/>
          <w:numId w:val="2"/>
        </w:numPr>
        <w:rPr/>
      </w:pPr>
      <w:r>
        <w:rPr/>
        <w:t>West Signature Requirement – support without funding; if block bidding – support with funding</w:t>
      </w:r>
    </w:p>
    <w:p>
      <w:pPr>
        <w:pStyle w:val="Body"/>
        <w:numPr>
          <w:ilvl w:val="0"/>
          <w:numId w:val="2"/>
        </w:numPr>
        <w:rPr/>
      </w:pPr>
      <w:r>
        <w:rPr/>
        <w:t>Year 2000 Expenses – Anomaly – Support without funding – check Effron (Attorney General witness)</w:t>
      </w:r>
    </w:p>
    <w:p>
      <w:pPr>
        <w:pStyle w:val="Body"/>
        <w:numPr>
          <w:ilvl w:val="0"/>
          <w:numId w:val="2"/>
        </w:numPr>
        <w:rPr/>
      </w:pPr>
      <w:r>
        <w:rPr/>
        <w:t>Double Counting of Costs (Costs for T&amp;D granted in previous cases, but not spent on T&amp;D) support City of Chicago in name only, depending on methodology.</w:t>
      </w:r>
    </w:p>
    <w:p>
      <w:pPr>
        <w:pStyle w:val="Body"/>
        <w:numPr>
          <w:ilvl w:val="0"/>
          <w:numId w:val="2"/>
        </w:numPr>
        <w:rPr/>
      </w:pPr>
      <w:r>
        <w:rPr/>
        <w:t>HVDS – Voltage Discounts of 69 kv to 12 kv – support with funding</w:t>
      </w:r>
    </w:p>
    <w:p>
      <w:pPr>
        <w:pStyle w:val="Body"/>
        <w:numPr>
          <w:ilvl w:val="0"/>
          <w:numId w:val="2"/>
        </w:numPr>
        <w:rPr/>
      </w:pPr>
      <w:r>
        <w:rPr/>
        <w:t>Rider 25 - Electric space heat – no position</w:t>
      </w:r>
    </w:p>
    <w:p>
      <w:pPr>
        <w:pStyle w:val="Body"/>
        <w:numPr>
          <w:ilvl w:val="0"/>
          <w:numId w:val="2"/>
        </w:numPr>
        <w:rPr/>
      </w:pPr>
      <w:r>
        <w:rPr/>
        <w:t>Transmission Rate - Matching it with FERC Filing – Enron check out and hold-off</w:t>
      </w:r>
    </w:p>
    <w:p>
      <w:pPr>
        <w:pStyle w:val="Body"/>
        <w:numPr>
          <w:ilvl w:val="0"/>
          <w:numId w:val="2"/>
        </w:numPr>
        <w:rPr/>
      </w:pPr>
      <w:r>
        <w:rPr/>
        <w:t>Government Consolidated Billing – no position</w:t>
      </w:r>
    </w:p>
    <w:p>
      <w:pPr>
        <w:pStyle w:val="Body"/>
        <w:numPr>
          <w:ilvl w:val="0"/>
          <w:numId w:val="2"/>
        </w:numPr>
        <w:rPr/>
      </w:pPr>
      <w:r>
        <w:rPr/>
        <w:t>ISS Rate 10% added – support with funding if Enron position not adopted</w:t>
      </w:r>
    </w:p>
    <w:p>
      <w:pPr>
        <w:pStyle w:val="Body"/>
        <w:rPr/>
      </w:pPr>
      <w:r>
        <w:rPr/>
      </w:r>
    </w:p>
    <w:tbl>
      <w:tblPr>
        <w:tblW w:w="11286" w:type="dxa"/>
        <w:jc w:val="start"/>
        <w:tblInd w:w="72" w:type="dxa"/>
        <w:tblLayout w:type="fixed"/>
        <w:tblCellMar>
          <w:top w:w="0" w:type="dxa"/>
          <w:start w:w="108" w:type="dxa"/>
          <w:bottom w:w="0" w:type="dxa"/>
          <w:end w:w="108" w:type="dxa"/>
        </w:tblCellMar>
      </w:tblPr>
      <w:tblGrid>
        <w:gridCol w:w="2196"/>
        <w:gridCol w:w="2176"/>
        <w:gridCol w:w="2324"/>
        <w:gridCol w:w="2250"/>
        <w:gridCol w:w="2340"/>
      </w:tblGrid>
      <w:tr>
        <w:trPr/>
        <w:tc>
          <w:tcPr>
            <w:tcW w:w="2196" w:type="dxa"/>
            <w:tcBorders>
              <w:top w:val="single" w:sz="4" w:space="0" w:color="000000"/>
              <w:start w:val="single" w:sz="4" w:space="0" w:color="000000"/>
              <w:bottom w:val="single" w:sz="4" w:space="0" w:color="000000"/>
              <w:end w:val="single" w:sz="4" w:space="0" w:color="000000"/>
            </w:tcBorders>
          </w:tcPr>
          <w:p>
            <w:pPr>
              <w:pStyle w:val="Body"/>
              <w:ind w:start="0" w:end="0"/>
              <w:rPr/>
            </w:pPr>
            <w:r>
              <w:rPr/>
              <w:t>Quietly Support Other Intervenors</w:t>
            </w:r>
          </w:p>
        </w:tc>
        <w:tc>
          <w:tcPr>
            <w:tcW w:w="2176" w:type="dxa"/>
            <w:tcBorders>
              <w:top w:val="single" w:sz="4" w:space="0" w:color="000000"/>
              <w:start w:val="single" w:sz="4" w:space="0" w:color="000000"/>
              <w:bottom w:val="single" w:sz="4" w:space="0" w:color="000000"/>
              <w:end w:val="single" w:sz="4" w:space="0" w:color="000000"/>
            </w:tcBorders>
          </w:tcPr>
          <w:p>
            <w:pPr>
              <w:pStyle w:val="Body"/>
              <w:ind w:start="0" w:end="0"/>
              <w:rPr/>
            </w:pPr>
            <w:r>
              <w:rPr/>
              <w:t>Enron Pursue with Funding</w:t>
            </w:r>
          </w:p>
        </w:tc>
        <w:tc>
          <w:tcPr>
            <w:tcW w:w="2324" w:type="dxa"/>
            <w:tcBorders>
              <w:top w:val="single" w:sz="4" w:space="0" w:color="000000"/>
              <w:start w:val="single" w:sz="4" w:space="0" w:color="000000"/>
              <w:bottom w:val="single" w:sz="4" w:space="0" w:color="000000"/>
              <w:end w:val="single" w:sz="4" w:space="0" w:color="000000"/>
            </w:tcBorders>
          </w:tcPr>
          <w:p>
            <w:pPr>
              <w:pStyle w:val="Body"/>
              <w:ind w:start="0" w:end="0"/>
              <w:rPr/>
            </w:pPr>
            <w:r>
              <w:rPr/>
              <w:t>Enron Support without Funding</w:t>
            </w:r>
          </w:p>
        </w:tc>
        <w:tc>
          <w:tcPr>
            <w:tcW w:w="2250" w:type="dxa"/>
            <w:tcBorders>
              <w:top w:val="single" w:sz="4" w:space="0" w:color="000000"/>
              <w:start w:val="single" w:sz="4" w:space="0" w:color="000000"/>
              <w:bottom w:val="single" w:sz="4" w:space="0" w:color="000000"/>
              <w:end w:val="single" w:sz="4" w:space="0" w:color="000000"/>
            </w:tcBorders>
          </w:tcPr>
          <w:p>
            <w:pPr>
              <w:pStyle w:val="Body"/>
              <w:ind w:start="0" w:end="0"/>
              <w:rPr/>
            </w:pPr>
            <w:r>
              <w:rPr/>
              <w:t>Need Decision</w:t>
            </w:r>
          </w:p>
        </w:tc>
        <w:tc>
          <w:tcPr>
            <w:tcW w:w="2340" w:type="dxa"/>
            <w:tcBorders>
              <w:top w:val="single" w:sz="4" w:space="0" w:color="000000"/>
              <w:start w:val="single" w:sz="4" w:space="0" w:color="000000"/>
              <w:bottom w:val="single" w:sz="4" w:space="0" w:color="000000"/>
              <w:end w:val="single" w:sz="4" w:space="0" w:color="000000"/>
            </w:tcBorders>
          </w:tcPr>
          <w:p>
            <w:pPr>
              <w:pStyle w:val="Body"/>
              <w:ind w:start="0" w:end="0"/>
              <w:rPr/>
            </w:pPr>
            <w:r>
              <w:rPr/>
              <w:t>No Position</w:t>
            </w:r>
          </w:p>
          <w:p>
            <w:pPr>
              <w:pStyle w:val="Body"/>
              <w:ind w:start="0" w:end="0"/>
              <w:rPr/>
            </w:pPr>
            <w:r>
              <w:rPr/>
            </w:r>
          </w:p>
          <w:p>
            <w:pPr>
              <w:pStyle w:val="Body"/>
              <w:ind w:start="0" w:end="0"/>
              <w:rPr/>
            </w:pPr>
            <w:r>
              <w:rPr/>
            </w:r>
          </w:p>
        </w:tc>
      </w:tr>
      <w:tr>
        <w:trPr/>
        <w:tc>
          <w:tcPr>
            <w:tcW w:w="2196" w:type="dxa"/>
            <w:tcBorders>
              <w:top w:val="single" w:sz="4" w:space="0" w:color="000000"/>
              <w:start w:val="single" w:sz="4" w:space="0" w:color="000000"/>
              <w:bottom w:val="single" w:sz="4" w:space="0" w:color="000000"/>
              <w:end w:val="single" w:sz="4" w:space="0" w:color="000000"/>
            </w:tcBorders>
          </w:tcPr>
          <w:p>
            <w:pPr>
              <w:pStyle w:val="Body"/>
              <w:ind w:start="0" w:end="0"/>
              <w:rPr/>
            </w:pPr>
            <w:r>
              <w:rPr/>
              <w:t>Rate of Return</w:t>
            </w:r>
          </w:p>
        </w:tc>
        <w:tc>
          <w:tcPr>
            <w:tcW w:w="2176" w:type="dxa"/>
            <w:tcBorders>
              <w:top w:val="single" w:sz="4" w:space="0" w:color="000000"/>
              <w:start w:val="single" w:sz="4" w:space="0" w:color="000000"/>
              <w:bottom w:val="single" w:sz="4" w:space="0" w:color="000000"/>
              <w:end w:val="single" w:sz="4" w:space="0" w:color="000000"/>
            </w:tcBorders>
          </w:tcPr>
          <w:p>
            <w:pPr>
              <w:pStyle w:val="Body"/>
              <w:ind w:start="0" w:end="0"/>
              <w:rPr/>
            </w:pPr>
            <w:r>
              <w:rPr/>
              <w:t>Deferred Accounting Treatment</w:t>
            </w:r>
          </w:p>
          <w:p>
            <w:pPr>
              <w:pStyle w:val="Body"/>
              <w:ind w:start="0" w:end="0"/>
              <w:rPr/>
            </w:pPr>
            <w:r>
              <w:rPr/>
              <w:t>Embedded v. avoided cost (SBO)</w:t>
            </w:r>
          </w:p>
          <w:p>
            <w:pPr>
              <w:pStyle w:val="Body"/>
              <w:ind w:start="0" w:end="0"/>
              <w:rPr/>
            </w:pPr>
            <w:r>
              <w:rPr/>
              <w:t>HVDS</w:t>
            </w:r>
          </w:p>
          <w:p>
            <w:pPr>
              <w:pStyle w:val="Body"/>
              <w:ind w:start="0" w:end="0"/>
              <w:rPr/>
            </w:pPr>
            <w:r>
              <w:rPr/>
              <w:t>ISS Rate</w:t>
            </w:r>
          </w:p>
        </w:tc>
        <w:tc>
          <w:tcPr>
            <w:tcW w:w="2324" w:type="dxa"/>
            <w:tcBorders>
              <w:top w:val="single" w:sz="4" w:space="0" w:color="000000"/>
              <w:start w:val="single" w:sz="4" w:space="0" w:color="000000"/>
              <w:bottom w:val="single" w:sz="4" w:space="0" w:color="000000"/>
              <w:end w:val="single" w:sz="4" w:space="0" w:color="000000"/>
            </w:tcBorders>
          </w:tcPr>
          <w:p>
            <w:pPr>
              <w:pStyle w:val="Body"/>
              <w:ind w:start="0" w:end="0"/>
              <w:rPr/>
            </w:pPr>
            <w:r>
              <w:rPr/>
              <w:t>Functional Allocation</w:t>
            </w:r>
          </w:p>
          <w:p>
            <w:pPr>
              <w:pStyle w:val="Body"/>
              <w:ind w:start="0" w:end="0"/>
              <w:rPr/>
            </w:pPr>
            <w:r>
              <w:rPr/>
              <w:t>Agency Forms</w:t>
            </w:r>
          </w:p>
          <w:p>
            <w:pPr>
              <w:pStyle w:val="Body"/>
              <w:ind w:start="0" w:end="0"/>
              <w:rPr/>
            </w:pPr>
            <w:r>
              <w:rPr/>
              <w:t>Wet Signature</w:t>
            </w:r>
          </w:p>
          <w:p>
            <w:pPr>
              <w:pStyle w:val="Body"/>
              <w:ind w:start="0" w:end="0"/>
              <w:rPr/>
            </w:pPr>
            <w:r>
              <w:rPr/>
              <w:t>Year 2000 Expense Anomaly</w:t>
            </w:r>
          </w:p>
          <w:p>
            <w:pPr>
              <w:pStyle w:val="Body"/>
              <w:ind w:start="0" w:end="0"/>
              <w:rPr/>
            </w:pPr>
            <w:r>
              <w:rPr/>
              <w:t>Double Counting</w:t>
            </w:r>
          </w:p>
        </w:tc>
        <w:tc>
          <w:tcPr>
            <w:tcW w:w="2250" w:type="dxa"/>
            <w:tcBorders>
              <w:top w:val="single" w:sz="4" w:space="0" w:color="000000"/>
              <w:start w:val="single" w:sz="4" w:space="0" w:color="000000"/>
              <w:bottom w:val="single" w:sz="4" w:space="0" w:color="000000"/>
              <w:end w:val="single" w:sz="4" w:space="0" w:color="000000"/>
            </w:tcBorders>
          </w:tcPr>
          <w:p>
            <w:pPr>
              <w:pStyle w:val="Body"/>
              <w:ind w:start="0" w:end="0"/>
              <w:rPr/>
            </w:pPr>
            <w:r>
              <w:rPr/>
              <w:t>Block Aggregation Transmission Rate</w:t>
            </w:r>
          </w:p>
        </w:tc>
        <w:tc>
          <w:tcPr>
            <w:tcW w:w="2340" w:type="dxa"/>
            <w:tcBorders>
              <w:top w:val="single" w:sz="4" w:space="0" w:color="000000"/>
              <w:start w:val="single" w:sz="4" w:space="0" w:color="000000"/>
              <w:bottom w:val="single" w:sz="4" w:space="0" w:color="000000"/>
              <w:end w:val="single" w:sz="4" w:space="0" w:color="000000"/>
            </w:tcBorders>
          </w:tcPr>
          <w:p>
            <w:pPr>
              <w:pStyle w:val="Body"/>
              <w:ind w:start="0" w:end="0"/>
              <w:rPr/>
            </w:pPr>
            <w:r>
              <w:rPr/>
              <w:t>Rider 25</w:t>
            </w:r>
          </w:p>
          <w:p>
            <w:pPr>
              <w:pStyle w:val="Body"/>
              <w:ind w:start="0" w:end="0"/>
              <w:rPr/>
            </w:pPr>
            <w:r>
              <w:rPr/>
              <w:t>Government Consolidated Billing</w:t>
            </w:r>
          </w:p>
        </w:tc>
      </w:tr>
    </w:tbl>
    <w:p>
      <w:pPr>
        <w:pStyle w:val="Body"/>
        <w:rPr/>
      </w:pPr>
      <w:r>
        <w:rPr/>
      </w:r>
    </w:p>
    <w:p>
      <w:pPr>
        <w:pStyle w:val="Body"/>
        <w:rPr>
          <w:u w:val="single"/>
        </w:rPr>
      </w:pPr>
      <w:r>
        <w:rPr>
          <w:u w:val="single"/>
        </w:rPr>
        <w:t>DISTRIBUTION LIST</w:t>
      </w:r>
    </w:p>
    <w:p>
      <w:pPr>
        <w:pStyle w:val="Body"/>
        <w:ind w:start="720" w:end="0"/>
        <w:rPr/>
      </w:pPr>
      <w:r>
        <w:rPr/>
        <w:t>Harry Kingerski</w:t>
      </w:r>
    </w:p>
    <w:p>
      <w:pPr>
        <w:pStyle w:val="Body"/>
        <w:ind w:start="720" w:end="0"/>
        <w:rPr/>
      </w:pPr>
      <w:r>
        <w:rPr/>
        <w:t>Roy Boston</w:t>
      </w:r>
    </w:p>
    <w:p>
      <w:pPr>
        <w:pStyle w:val="Body"/>
        <w:ind w:start="720" w:end="0"/>
        <w:rPr/>
      </w:pPr>
      <w:r>
        <w:rPr/>
        <w:t>Marc Ulrich</w:t>
      </w:r>
    </w:p>
    <w:p>
      <w:pPr>
        <w:pStyle w:val="Body"/>
        <w:ind w:start="720" w:end="0"/>
        <w:rPr/>
      </w:pPr>
      <w:r>
        <w:rPr/>
        <w:t>Rick Shapiro</w:t>
      </w:r>
    </w:p>
    <w:p>
      <w:pPr>
        <w:pStyle w:val="Body"/>
        <w:ind w:start="720" w:end="0"/>
        <w:rPr/>
      </w:pPr>
      <w:r>
        <w:rPr/>
        <w:t>Jim Steffes</w:t>
      </w:r>
    </w:p>
    <w:p>
      <w:pPr>
        <w:pStyle w:val="Body"/>
        <w:ind w:start="720" w:end="0"/>
        <w:rPr/>
      </w:pPr>
      <w:r>
        <w:rPr/>
        <w:t>Sue Nord</w:t>
      </w:r>
    </w:p>
    <w:p>
      <w:pPr>
        <w:pStyle w:val="Body"/>
        <w:ind w:start="720" w:end="0"/>
        <w:rPr/>
      </w:pPr>
      <w:r>
        <w:rPr/>
        <w:t>Lisa Yoho</w:t>
      </w:r>
    </w:p>
    <w:p>
      <w:pPr>
        <w:pStyle w:val="Body"/>
        <w:ind w:start="720" w:end="0"/>
        <w:rPr/>
      </w:pPr>
      <w:r>
        <w:rPr/>
        <w:t>Ginger Dernehl</w:t>
      </w:r>
    </w:p>
    <w:p>
      <w:pPr>
        <w:pStyle w:val="Body"/>
        <w:ind w:start="720" w:end="0"/>
        <w:rPr/>
      </w:pPr>
      <w:r>
        <w:rPr/>
        <w:t>Sue Landwehr</w:t>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17"/>
        </w:tabs>
        <w:ind w:start="717" w:hanging="645"/>
      </w:pPr>
      <w:r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2001-06-20T15:19:00Z</dcterms:created>
  <dc:creator>lknight</dc:creator>
  <dc:description/>
  <dc:language>en-CA</dc:language>
  <cp:lastModifiedBy>lknight</cp:lastModifiedBy>
  <cp:lastPrinted>2001-06-20T13:16:00Z</cp:lastPrinted>
  <dcterms:modified xsi:type="dcterms:W3CDTF">2001-06-20T16:05:00Z</dcterms:modified>
  <cp:revision>3</cp:revision>
  <dc:subject/>
  <dc:title>Better, Faster, Simpler Memo </dc:title>
</cp:coreProperties>
</file>