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sz w:val="24"/>
        </w:rPr>
      </w:pPr>
      <w:r>
        <w:rPr>
          <w:sz w:val="24"/>
        </w:rPr>
        <w:t>BEFORE THE FEDERAL ENERGY REGULATORY COMMISSION</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1"/>
        <w:tabs>
          <w:tab w:val="clear" w:pos="720"/>
          <w:tab w:val="left" w:pos="3960" w:leader="none"/>
        </w:tabs>
        <w:ind w:hanging="0" w:start="0"/>
        <w:rPr/>
      </w:pPr>
      <w:r>
        <w:rPr/>
        <w:t>Columbia Gas Transmission Corp.</w:t>
        <w:tab/>
        <w:t>)</w:t>
        <w:tab/>
        <w:tab/>
        <w:t>Docket No. RP00-327-000</w:t>
      </w:r>
    </w:p>
    <w:p>
      <w:pPr>
        <w:pStyle w:val="Normal"/>
        <w:jc w:val="both"/>
        <w:rPr>
          <w:sz w:val="24"/>
        </w:rPr>
      </w:pPr>
      <w:r>
        <w:rPr>
          <w:sz w:val="24"/>
        </w:rPr>
      </w:r>
    </w:p>
    <w:p>
      <w:pPr>
        <w:pStyle w:val="Normal"/>
        <w:jc w:val="both"/>
        <w:rPr>
          <w:sz w:val="24"/>
        </w:rPr>
      </w:pPr>
      <w:r>
        <w:rPr>
          <w:sz w:val="24"/>
        </w:rPr>
      </w:r>
    </w:p>
    <w:p>
      <w:pPr>
        <w:pStyle w:val="Heading2"/>
        <w:ind w:hanging="0" w:start="0"/>
        <w:rPr/>
      </w:pPr>
      <w:r>
        <w:rPr/>
        <w:t xml:space="preserve">MOTION FOR LEAVE TO INTERVENE </w:t>
      </w:r>
    </w:p>
    <w:p>
      <w:pPr>
        <w:pStyle w:val="Heading2"/>
        <w:ind w:hanging="0" w:start="0"/>
        <w:rPr/>
      </w:pPr>
      <w:r>
        <w:rPr/>
        <w:t xml:space="preserve">AND </w:t>
      </w:r>
      <w:r>
        <w:rPr>
          <w:caps/>
        </w:rPr>
        <w:t xml:space="preserve">Comments of Enron North America </w:t>
      </w:r>
    </w:p>
    <w:p>
      <w:pPr>
        <w:pStyle w:val="Heading2"/>
        <w:ind w:hanging="0" w:start="0"/>
        <w:rPr>
          <w:caps/>
        </w:rPr>
      </w:pPr>
      <w:r>
        <w:rPr>
          <w:caps/>
        </w:rPr>
        <w:t>On Compliance Filing</w:t>
      </w:r>
    </w:p>
    <w:p>
      <w:pPr>
        <w:pStyle w:val="Normal"/>
        <w:jc w:val="center"/>
        <w:rPr>
          <w:caps/>
          <w:sz w:val="24"/>
        </w:rPr>
      </w:pPr>
      <w:r>
        <w:rPr>
          <w:caps/>
          <w:sz w:val="24"/>
        </w:rPr>
      </w:r>
    </w:p>
    <w:p>
      <w:pPr>
        <w:pStyle w:val="Normal"/>
        <w:jc w:val="center"/>
        <w:rPr>
          <w:sz w:val="24"/>
        </w:rPr>
      </w:pPr>
      <w:r>
        <w:rPr>
          <w:sz w:val="24"/>
        </w:rPr>
      </w:r>
    </w:p>
    <w:p>
      <w:pPr>
        <w:pStyle w:val="BodyText"/>
        <w:tabs>
          <w:tab w:val="clear" w:pos="720"/>
          <w:tab w:val="left" w:pos="1440" w:leader="none"/>
        </w:tabs>
        <w:rPr/>
      </w:pPr>
      <w:r>
        <w:rPr/>
        <w:tab/>
        <w:t>In Order No. 637</w:t>
      </w:r>
      <w:r>
        <w:rPr>
          <w:rStyle w:val="FootnoteCharacters"/>
          <w:rStyle w:val="FootnoteReference"/>
        </w:rPr>
        <w:footnoteReference w:id="2"/>
      </w:r>
      <w:r>
        <w:rPr/>
        <w:t>, the Federal Energy Regulatory Commission (“Commission”) issued regulations intended to foster the competitiveness and efficiency of the interstate natural gas pipeline grid.  That order required jurisdictional pipelines to make compliance filings that effectuated the changes adopted in Order No. 637.  Enron North America (”ENA”) hereby files its motion for leave to intervene and comments on the compliance filing of Columbia Gas Transmission Corp. in the above captioned-docket.</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t>I.</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r>
    </w:p>
    <w:p>
      <w:pPr>
        <w:pStyle w:val="Heading3"/>
        <w:ind w:hanging="0" w:start="0"/>
        <w:rPr/>
      </w:pPr>
      <w:r>
        <w:rPr/>
        <w:t>INTERVENTION</w:t>
      </w:r>
    </w:p>
    <w:p>
      <w:pPr>
        <w:pStyle w:val="BodyText"/>
        <w:tabs>
          <w:tab w:val="clear" w:pos="720"/>
          <w:tab w:val="left" w:pos="1440" w:leader="none"/>
          <w:tab w:val="left" w:pos="3600" w:leader="none"/>
          <w:tab w:val="left" w:pos="4320" w:leader="none"/>
          <w:tab w:val="left" w:pos="5040" w:leader="none"/>
          <w:tab w:val="left" w:pos="5856" w:leader="none"/>
        </w:tabs>
        <w:rPr/>
      </w:pPr>
      <w:r>
        <w:rPr/>
        <w:tab/>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The ENA companies purchase and sell over 12.7 BBtue per day under a mix of spot, intermediate and long-term contracts with both fixed and indexed pricing structures.</w:t>
      </w:r>
    </w:p>
    <w:p>
      <w:pPr>
        <w:pStyle w:val="BodyText"/>
        <w:tabs>
          <w:tab w:val="clear" w:pos="720"/>
          <w:tab w:val="left" w:pos="1440" w:leader="none"/>
        </w:tabs>
        <w:rPr/>
      </w:pPr>
      <w:r>
        <w:rPr/>
        <w:tab/>
        <w:t>As a shipper and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BodyText"/>
        <w:tabs>
          <w:tab w:val="clear" w:pos="720"/>
          <w:tab w:val="left" w:pos="1440" w:leader="none"/>
        </w:tabs>
        <w:jc w:val="center"/>
        <w:rPr>
          <w:b/>
        </w:rPr>
      </w:pPr>
      <w:r>
        <w:rPr>
          <w:b/>
        </w:rPr>
        <w:t>II.</w:t>
      </w:r>
    </w:p>
    <w:p>
      <w:pPr>
        <w:pStyle w:val="BodyText"/>
        <w:tabs>
          <w:tab w:val="clear" w:pos="720"/>
          <w:tab w:val="left" w:pos="1440" w:leader="none"/>
        </w:tabs>
        <w:jc w:val="center"/>
        <w:rPr>
          <w:b/>
        </w:rPr>
      </w:pPr>
      <w:r>
        <w:rPr>
          <w:b/>
        </w:rPr>
        <w:t>COMMENTS</w:t>
      </w:r>
    </w:p>
    <w:p>
      <w:pPr>
        <w:pStyle w:val="BodyText"/>
        <w:numPr>
          <w:ilvl w:val="0"/>
          <w:numId w:val="2"/>
        </w:numPr>
        <w:rPr/>
      </w:pPr>
      <w:r>
        <w:rPr/>
        <w:t>Segmentation</w:t>
      </w:r>
    </w:p>
    <w:p>
      <w:pPr>
        <w:pStyle w:val="BodyText"/>
        <w:tabs>
          <w:tab w:val="clear" w:pos="720"/>
          <w:tab w:val="left" w:pos="1440" w:leader="none"/>
        </w:tabs>
        <w:rPr/>
      </w:pPr>
      <w:r>
        <w:rPr/>
        <w:tab/>
        <w:t>In Order No. 637, the Commission required pipelines to permit firm shippers to make use of their capacity by segmenting that capacity into separate parts for their own use of for the purpose of releasing that capacity to replacement shippers to the extent such segmentation is operationally feasible.  Columbia and others sought rehearing of this requirement.  Columbia argued that segmentation may not be appropriate for reasons other than operational ones.  The Commission refused to eliminate the “operationally feasible” requirement from the rule, stating that the “goal in permitting shippers to segment capacity is to enable firm shippers to use the capacity for which they have contracted as flexibly as possible without infringing on the legitimate rights of other shippers.”  (Order No. 637-A, p. 114.)</w:t>
      </w:r>
    </w:p>
    <w:p>
      <w:pPr>
        <w:pStyle w:val="BodyText"/>
        <w:tabs>
          <w:tab w:val="clear" w:pos="720"/>
          <w:tab w:val="left" w:pos="1440" w:leader="none"/>
        </w:tabs>
        <w:rPr/>
      </w:pPr>
      <w:r>
        <w:rPr/>
        <w:tab/>
        <w:t>Columbia declined to revise its tariff to allow segmentation. Columbia asserts that segmentation is neither appropriate nor feasible on its system because of its complex, web-like characteristics, its postage-stamp rate, its reliance on storage and upstream capacity on other pipelines, and its flexible pooling service.  Columbia cites to orders the Commission issued following Order No. 636</w:t>
      </w:r>
      <w:r>
        <w:rPr>
          <w:rStyle w:val="FootnoteCharacters"/>
          <w:rStyle w:val="FootnoteReference"/>
        </w:rPr>
        <w:footnoteReference w:id="3"/>
      </w:r>
      <w:r>
        <w:rPr/>
        <w:t>, in which the Commission did not require segmentation on certain systems with grid-type configurations and postage-stamp rates.  Columbia also claims that “with a few limited exceptions, segmentation on Columbia’s reticulated pipeline system is not operationally feasible.”  (Columbia filing at p. 25.)</w:t>
      </w:r>
      <w:r>
        <w:rPr>
          <w:rStyle w:val="FootnoteCharacters"/>
          <w:rStyle w:val="FootnoteReference"/>
        </w:rPr>
        <w:footnoteReference w:id="4"/>
      </w:r>
      <w:r>
        <w:rPr/>
        <w:t xml:space="preserve">    </w:t>
      </w:r>
    </w:p>
    <w:p>
      <w:pPr>
        <w:pStyle w:val="BodyText"/>
        <w:tabs>
          <w:tab w:val="clear" w:pos="720"/>
          <w:tab w:val="left" w:pos="1440" w:leader="none"/>
        </w:tabs>
        <w:rPr/>
      </w:pPr>
      <w:r>
        <w:rPr/>
        <w:tab/>
        <w:t>Columbia describes in some detail the problems with segmentation on various portions of its system, and ENA has no reason to question that segmentation would complicate the operation of the Columbia facilities.  ENA does, however, question Columbia’s reliance on pre-Order No. 637 decisions on the segmentation requirement contained in that Order.  In those earlier decisions the Commission did not mandate segmentation, but the Commission altered that policy in Order No. 637.</w:t>
      </w:r>
    </w:p>
    <w:p>
      <w:pPr>
        <w:pStyle w:val="BodyText"/>
        <w:tabs>
          <w:tab w:val="clear" w:pos="720"/>
          <w:tab w:val="left" w:pos="1440" w:leader="none"/>
        </w:tabs>
        <w:rPr/>
      </w:pPr>
      <w:r>
        <w:rPr/>
        <w:tab/>
        <w:t>But the real issue is whether Columbia’s tariff allows shippers maximum flexibility to use their capacity without hurting the rights of other shippers.  Segmentation rights allow a shipper to take a contract path, for example, point A to point D (with points B and C located within the path), and to deliver a portion of the contract quantity from point A to point B and the remainder from point C to point D.  While Columbia claims that it allows maximum flexibility through its pooling and storage services, we cannot tell if this allows a shipper to dispatch its contract rights in discrete segments.  ENA submits that a technical conference would be a good starting point to discuss the needs of shippers and the operational requirements of the Columbia system.  It may be that segmentation is appropriate in some areas of the system and not others, that it is feasible with some modifications, or that it is not necessary because the inherent flexibility of Columbia’s tariffs give shippers the tools they need to meet market demand.  In any event, these issues are best explored in the question and answer environment of a technical conference.</w:t>
      </w:r>
    </w:p>
    <w:p>
      <w:pPr>
        <w:pStyle w:val="BodyText"/>
        <w:numPr>
          <w:ilvl w:val="0"/>
          <w:numId w:val="2"/>
        </w:numPr>
        <w:rPr/>
      </w:pPr>
      <w:r>
        <w:rPr/>
        <w:t>Firm Aggregation Service</w:t>
      </w:r>
    </w:p>
    <w:p>
      <w:pPr>
        <w:pStyle w:val="BodyText"/>
        <w:tabs>
          <w:tab w:val="clear" w:pos="720"/>
          <w:tab w:val="left" w:pos="1440" w:leader="none"/>
        </w:tabs>
        <w:rPr/>
      </w:pPr>
      <w:r>
        <w:rPr/>
        <w:tab/>
        <w:t xml:space="preserve">Columbia currently offers an </w:t>
      </w:r>
      <w:r>
        <w:rPr>
          <w:i/>
        </w:rPr>
        <w:t>interruptible</w:t>
      </w:r>
      <w:r>
        <w:rPr/>
        <w:t xml:space="preserve"> pooling service under Rate Schedule AS which allows shippers to aggregate gas supplies from multiple receipt points within nine Aggregation Areas.  Pool to pool transfers are permitted.  Columbia has now proposed to offer a </w:t>
      </w:r>
      <w:r>
        <w:rPr>
          <w:i/>
        </w:rPr>
        <w:t>firm</w:t>
      </w:r>
      <w:r>
        <w:rPr/>
        <w:t xml:space="preserve"> service, under new Rate Schedule AFT, which provides transportation on a firm basis from any receipt point on its system where firm capacity is available to one of the nine Aggregation Points.  A shipper can then move the gas from an Aggregation Point to another AS pool, to an Interruptible Paper Pool or directly to market.  Columbia notes that it made a proposal similar to this in Docket No. RP95-408.  Parties opposed that filing on the ground that charging shippers for the aggregation service would result in double collection of revenue by Columbia (through charges for the pooling service and then charges for transportation service).  Columbia asserts in the instant filing that since the AFT service is optional, the concerns over double recovery are misplaced.  (Columbia filing at p. 9.)  ENA is not convinced of the validity of Columbia’s argument.</w:t>
      </w:r>
    </w:p>
    <w:p>
      <w:pPr>
        <w:pStyle w:val="BodyText"/>
        <w:tabs>
          <w:tab w:val="clear" w:pos="720"/>
          <w:tab w:val="left" w:pos="1440" w:leader="none"/>
        </w:tabs>
        <w:rPr/>
      </w:pPr>
      <w:r>
        <w:rPr/>
        <w:tab/>
        <w:t xml:space="preserve">Elsewhere in Columbia’s filing, it notes that it has adopted a postage-stamp rate as a result of the settlement of an earlier rate case and that that rate is in effect until at least April 1, 2002.  (Columbia filing at p. 24.)  As Columbia explains, “[u]nder a postage stamp rate design, shippers do not pay for distance of haul.  Rather, each shipper pays the same rate regardless of whether the shippers are shipping gas one mile or 1,000 miles….  [T]he shipper is paying for the right to deliver gas to the pipeline at a particular receipt point and to take gas from the pipeline at a particular delivery point.”  (Columbia filing at pp. 25-26.)  Accordingly, if a shipper pays the FTS charge, it has the right to deliver into and take gas off the system. </w:t>
      </w:r>
    </w:p>
    <w:p>
      <w:pPr>
        <w:pStyle w:val="BodyText"/>
        <w:tabs>
          <w:tab w:val="clear" w:pos="720"/>
          <w:tab w:val="left" w:pos="1440" w:leader="none"/>
        </w:tabs>
        <w:rPr/>
      </w:pPr>
      <w:r>
        <w:rPr/>
        <w:tab/>
        <w:t xml:space="preserve">Columbia proposes the new AFT rate to be the same as for FTS service (without retained gas), and if the shipper using the AFT service also utilizes FTS service to effectuate delivery (for example to move the gas from a pool to market), the shipper is obviously paying the firm transportation rate twice, on a system with one postage-stamp delivery charge for all transportation.  </w:t>
      </w:r>
    </w:p>
    <w:p>
      <w:pPr>
        <w:pStyle w:val="BodyText"/>
        <w:tabs>
          <w:tab w:val="clear" w:pos="720"/>
          <w:tab w:val="left" w:pos="1440" w:leader="none"/>
        </w:tabs>
        <w:rPr/>
      </w:pPr>
      <w:r>
        <w:rPr/>
        <w:tab/>
        <w:t>ENA believes that the new AFT service does present double-recovery issues and these issues should be examined further by the Commission, either in a technical conference or hearing.</w:t>
      </w:r>
    </w:p>
    <w:p>
      <w:pPr>
        <w:pStyle w:val="BodyText"/>
        <w:numPr>
          <w:ilvl w:val="0"/>
          <w:numId w:val="2"/>
        </w:numPr>
        <w:rPr/>
      </w:pPr>
      <w:r>
        <w:rPr/>
        <w:t>Balancing Fee</w:t>
      </w:r>
    </w:p>
    <w:p>
      <w:pPr>
        <w:pStyle w:val="BodyText"/>
        <w:tabs>
          <w:tab w:val="clear" w:pos="720"/>
          <w:tab w:val="left" w:pos="1440" w:leader="none"/>
        </w:tabs>
        <w:rPr/>
      </w:pPr>
      <w:r>
        <w:rPr/>
        <w:tab/>
        <w:t xml:space="preserve">Columbia proposes to revise its balancing fee structure to impose a fee of $0.11 on any difference between a shipper’s actual cumulative receipts (less retainage) and actual cumulative deliveries in excess of 3% of actual cumulative deliveries during a billing month.  Columbia asserts that this fee is “designed to ensure that shippers bear their fair share of cost responsibility for demands being placed on the system.”  (Columbia filing at p. 10).  </w:t>
      </w:r>
    </w:p>
    <w:p>
      <w:pPr>
        <w:pStyle w:val="BodyText"/>
        <w:tabs>
          <w:tab w:val="clear" w:pos="720"/>
          <w:tab w:val="left" w:pos="1440" w:leader="none"/>
        </w:tabs>
        <w:rPr/>
      </w:pPr>
      <w:r>
        <w:rPr/>
        <w:tab/>
        <w:t>This revision drastically reduces the tolerances that are currently in place for Columbia’s shippers (10% monthly).  Columbia has not demonstrated sufficient justification for such a drastic decrease in the tolerance applicable to this fee.  Most of the imbalance examples in Columbia’s Exhibit 4 were in the 7 to 9% range.  Even then, Columbia did not demonstrate that the imbalances resulted in operational difficulties.  In fact, Columbia indicates that the fee would apply to only fifteen percent (15%) of the gas delivered on its system (Columbia filing at footnote 15).</w:t>
      </w:r>
    </w:p>
    <w:p>
      <w:pPr>
        <w:pStyle w:val="BodyText"/>
        <w:tabs>
          <w:tab w:val="left" w:pos="720" w:leader="none"/>
          <w:tab w:val="left" w:pos="1440" w:leader="none"/>
        </w:tabs>
        <w:rPr/>
      </w:pPr>
      <w:r>
        <w:rPr/>
        <w:t>4.</w:t>
        <w:tab/>
        <w:t>Imbalance Status</w:t>
      </w:r>
    </w:p>
    <w:p>
      <w:pPr>
        <w:pStyle w:val="BodyText"/>
        <w:tabs>
          <w:tab w:val="clear" w:pos="720"/>
          <w:tab w:val="left" w:pos="1440" w:leader="none"/>
        </w:tabs>
        <w:rPr/>
      </w:pPr>
      <w:r>
        <w:rPr/>
        <w:tab/>
        <w:t>To implement the new regulation at 18 CFR §284.12(c)(2)(v), wherein the pipeline is required to provide shippers on a timely basis with as much information as possible about its imbalance and overrun status, Columbia will place on its internet EBB beginning and cumulative imbalances by contract.  Columbia notes that this information will reflect estimated quantities, depending on the time the information is requested.  ENA asserts that Columbia should be required to indicate on its EBB whether information is estimated or based on real measurements, and also the derivation of that information (EGM, charts, etc.) so that shippers can determine appropriate action to take, particularly to avoid the new imbalance charges Columbia has proposed in this proceeding.</w:t>
      </w:r>
    </w:p>
    <w:p>
      <w:pPr>
        <w:pStyle w:val="BodyText"/>
        <w:tabs>
          <w:tab w:val="left" w:pos="720" w:leader="none"/>
        </w:tabs>
        <w:rPr/>
      </w:pPr>
      <w:r>
        <w:rPr/>
        <w:t>5.</w:t>
        <w:tab/>
        <w:t>Cumulative Imbalance Penalty</w:t>
      </w:r>
    </w:p>
    <w:p>
      <w:pPr>
        <w:pStyle w:val="BodyText"/>
        <w:tabs>
          <w:tab w:val="clear" w:pos="720"/>
          <w:tab w:val="left" w:pos="1440" w:leader="none"/>
        </w:tabs>
        <w:jc w:val="start"/>
        <w:rPr/>
      </w:pPr>
      <w:r>
        <w:rPr/>
        <w:tab/>
        <w:t>Columbia is proposing a $25/dekatherm penalty on cumulative imbalance quantities in excess of a 10% tolerance at the end of a month.  While Columbia states at Page 18 of its filing that the penalty will be charged “during any month when Columbia experiences a Critical Day”, Section 19.4 of the General Terms and Conditions has not been revised to restrict the penalty to Critical Days.  A penalty of $25/dekatherm on any cumulative imbalance quantity during non-critical periods is excessive, especially in light of the Imbalance Fee discussed earlier.  If Columbia does not revise its tariff to restrict the penalty to Critical Days, the Commission should reject the penalty.</w:t>
      </w:r>
    </w:p>
    <w:p>
      <w:pPr>
        <w:pStyle w:val="BodyText"/>
        <w:keepNext w:val="true"/>
        <w:tabs>
          <w:tab w:val="clear" w:pos="720"/>
          <w:tab w:val="left" w:pos="1440" w:leader="none"/>
        </w:tabs>
        <w:jc w:val="center"/>
        <w:rPr/>
      </w:pPr>
      <w:r>
        <w:rPr/>
        <w:t xml:space="preserve">  </w:t>
      </w:r>
      <w:r>
        <w:rPr>
          <w:b/>
          <w:caps/>
        </w:rPr>
        <w:t>III.</w:t>
      </w:r>
    </w:p>
    <w:p>
      <w:pPr>
        <w:pStyle w:val="BodyText"/>
        <w:keepNext w:val="true"/>
        <w:tabs>
          <w:tab w:val="clear" w:pos="720"/>
          <w:tab w:val="left" w:pos="1269" w:leader="none"/>
          <w:tab w:val="left" w:pos="1440" w:leader="none"/>
        </w:tabs>
        <w:jc w:val="center"/>
        <w:rPr>
          <w:b/>
          <w:caps/>
        </w:rPr>
      </w:pPr>
      <w:r>
        <w:rPr>
          <w:b/>
          <w:caps/>
        </w:rPr>
        <w:t>Conclusion</w:t>
      </w:r>
    </w:p>
    <w:p>
      <w:pPr>
        <w:pStyle w:val="BodyText"/>
        <w:keepNext w:val="true"/>
        <w:tabs>
          <w:tab w:val="clear" w:pos="720"/>
          <w:tab w:val="left" w:pos="1440" w:leader="none"/>
        </w:tabs>
        <w:rPr/>
      </w:pPr>
      <w:r>
        <w:rPr>
          <w:caps/>
        </w:rPr>
        <w:tab/>
        <w:t xml:space="preserve">WHEREFORE, </w:t>
      </w:r>
      <w:r>
        <w:rPr/>
        <w:t>in light of the foregoing, ENA respectfully requests that the Commission grant it leave to intervene in this proceeding, make the appropriate changes in Columbia’s filing as discussed above, and call for a technical conference to address the operational issues raised by Columbia’s filing and noted in these comments.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u w:val="single"/>
        </w:rPr>
      </w:pPr>
      <w:r>
        <w:rPr>
          <w:sz w:val="24"/>
        </w:rPr>
        <w:t>Dated:  July 17,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r>
        <w:br w:type="page"/>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sz w:val="24"/>
        </w:rPr>
        <w:tab/>
        <w:t>Dated this 17</w:t>
      </w:r>
      <w:r>
        <w:rPr>
          <w:sz w:val="24"/>
          <w:vertAlign w:val="superscript"/>
        </w:rPr>
        <w:t>th</w:t>
      </w:r>
      <w:r>
        <w:rPr>
          <w:sz w:val="24"/>
        </w:rPr>
        <w:t xml:space="preserve"> day of July,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BodyText"/>
        <w:jc w:val="center"/>
        <w:rPr/>
      </w:pPr>
      <w:r>
        <w:rPr/>
        <w:tab/>
        <w:tab/>
        <w:tab/>
        <w:tab/>
        <w:t>Leslie J. Lawner</w:t>
      </w:r>
    </w:p>
    <w:sectPr>
      <w:headerReference w:type="default" r:id="rId2"/>
      <w:headerReference w:type="first" r:id="rId3"/>
      <w:footnotePr>
        <w:numFmt w:val="decimal"/>
      </w:footnotePr>
      <w:type w:val="nextPage"/>
      <w:pgSz w:w="12240" w:h="15840"/>
      <w:pgMar w:left="1800" w:right="1800" w:gutter="720" w:header="720" w:top="1440" w:footer="0" w:bottom="9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Regulation of Short-Term Natural Gas Transportation Services and Regulation of Interstate Natural Gas Transportation Services</w:t>
      </w:r>
      <w:r>
        <w:rPr/>
        <w:t xml:space="preserve">, 63 Fed Reg. 10156 (Feb. 25, 2000), III F.E.R.C. Stats. &amp; Regs. ¶ 31,091 (2000) (Order No. 637), </w:t>
      </w:r>
      <w:r>
        <w:rPr>
          <w:i/>
        </w:rPr>
        <w:t>order on reh’g</w:t>
      </w:r>
      <w:r>
        <w:rPr/>
        <w:t>, 91 F.E.R.C. ¶ 61,169 (2000) (Order No. 637-A).</w:t>
      </w:r>
    </w:p>
  </w:footnote>
  <w:footnote w:id="3">
    <w:p>
      <w:pPr>
        <w:pStyle w:val="PlainText"/>
        <w:rPr/>
      </w:pPr>
      <w:r>
        <w:rPr>
          <w:rStyle w:val="FootnoteCharacters"/>
        </w:rPr>
        <w:footnoteRef/>
      </w:r>
      <w:r>
        <w:rPr/>
        <w:t xml:space="preserve"> </w:t>
      </w:r>
      <w:r>
        <w:rPr>
          <w:rFonts w:cs="Times New Roman" w:ascii="Times New Roman" w:hAnsi="Times New Roman"/>
          <w:i/>
        </w:rPr>
        <w:t>Pipeline Service Obligations and Revisions to Regulations Governing Self-Implementing Transportation Under Part 284 of the Commission's Regulations</w:t>
      </w:r>
      <w:r>
        <w:rPr>
          <w:rFonts w:cs="Times New Roman" w:ascii="Times New Roman" w:hAnsi="Times New Roman"/>
        </w:rPr>
        <w:t>, Order No. 636, 57 FR 13267 (Apr. 16, 1992), FERC Stats. &amp; Regs. Regulations Preambles [Jan. 1991-June 1996] ¶ 30,939 (Apr. 8, 1992).</w:t>
      </w:r>
    </w:p>
  </w:footnote>
  <w:footnote w:id="4">
    <w:p>
      <w:pPr>
        <w:pStyle w:val="FootnoteText"/>
        <w:jc w:val="both"/>
        <w:rPr/>
      </w:pPr>
      <w:r>
        <w:rPr>
          <w:rStyle w:val="FootnoteCharacters"/>
        </w:rPr>
        <w:footnoteRef/>
      </w:r>
      <w:r>
        <w:rPr/>
        <w:t xml:space="preserve"> </w:t>
      </w:r>
      <w:r>
        <w:rPr/>
        <w:t>Columbia also raises legal arguments under the Natural Gas Act challenging the legality of the segmentation requirement in Order No. 637, which are more appropriately left to the rulemaking docket and which ENA will not address here.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195.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fullPage"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1440" w:leader="none"/>
        <w:tab w:val="left" w:pos="3600" w:leader="none"/>
        <w:tab w:val="left" w:pos="4320" w:leader="none"/>
        <w:tab w:val="left" w:pos="5040" w:leader="none"/>
        <w:tab w:val="left" w:pos="5856" w:leader="none"/>
      </w:tabs>
      <w:spacing w:lineRule="auto" w:line="480"/>
      <w:jc w:val="center"/>
      <w:outlineLvl w:val="2"/>
    </w:pPr>
    <w:rPr>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PlainText">
    <w:name w:val="Plain Text"/>
    <w:basedOn w:val="Normal"/>
    <w:qFormat/>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2000-07-14T13:09:00Z</dcterms:created>
  <dc:creator>leslie joyce lawner</dc:creator>
  <dc:description/>
  <dc:language>en-CA</dc:language>
  <cp:lastModifiedBy>bcantre</cp:lastModifiedBy>
  <cp:lastPrinted>2000-07-14T15:52:00Z</cp:lastPrinted>
  <dcterms:modified xsi:type="dcterms:W3CDTF">2000-07-14T18:22:00Z</dcterms:modified>
  <cp:revision>10</cp:revision>
  <dc:subject/>
  <dc:title>UNITED STATES OF AMERICA</dc:title>
</cp:coreProperties>
</file>