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April 11,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Colonial Pipeline Company</w:t>
      </w:r>
    </w:p>
    <w:p>
      <w:pPr>
        <w:pStyle w:val="Normal"/>
        <w:rPr>
          <w:sz w:val="22"/>
        </w:rPr>
      </w:pPr>
      <w:r>
        <w:rPr>
          <w:sz w:val="22"/>
        </w:rPr>
        <w:t>945 E. Paces Ferry Road</w:t>
      </w:r>
    </w:p>
    <w:p>
      <w:pPr>
        <w:pStyle w:val="Normal"/>
        <w:rPr>
          <w:sz w:val="22"/>
        </w:rPr>
      </w:pPr>
      <w:r>
        <w:rPr>
          <w:sz w:val="22"/>
        </w:rPr>
        <w:t>Atlanta, Georgia 30326</w:t>
      </w:r>
    </w:p>
    <w:p>
      <w:pPr>
        <w:pStyle w:val="Normal"/>
        <w:rPr>
          <w:sz w:val="22"/>
        </w:rPr>
      </w:pPr>
      <w:r>
        <w:rPr>
          <w:sz w:val="22"/>
        </w:rPr>
        <w:t>Attn.: ____________________</w:t>
      </w:r>
    </w:p>
    <w:p>
      <w:pPr>
        <w:pStyle w:val="Normal"/>
        <w:rPr>
          <w:sz w:val="22"/>
        </w:rPr>
      </w:pPr>
      <w:r>
        <w:rPr>
          <w:sz w:val="22"/>
        </w:rPr>
      </w:r>
    </w:p>
    <w:p>
      <w:pPr>
        <w:pStyle w:val="Normal"/>
        <w:ind w:hanging="720" w:start="720" w:end="0"/>
        <w:rPr>
          <w:sz w:val="22"/>
        </w:rPr>
      </w:pPr>
      <w:r>
        <w:rPr>
          <w:sz w:val="22"/>
        </w:rPr>
        <w:t>Re: Confidentiality Agreement between Enron North America Corp. ("ENA") and Colonial Pipeline Company (“Colonial”)</w:t>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jc w:val="both"/>
        <w:rPr>
          <w:sz w:val="22"/>
        </w:rPr>
      </w:pPr>
      <w:r>
        <w:rPr>
          <w:sz w:val="22"/>
        </w:rPr>
        <w:tab/>
        <w:t>In connection with discussions regarding Enron Compression Services Company's (a subsidiary of ENA) possible provision of risk management, energy advisory and facility outsourcing services to Colonial (the "Proposed Transaction"), Colonial and ECS are prepared to furnish one another with information which is confidential, proprietary or generally not available to the public ("Confidential Information"). Colonial and ENA are sometimes referred to individually as a “Party” and collectively as the “Parties.”  As a condition to furnishing Confidential Information, Colonial and ENA each agree to the following:</w:t>
      </w:r>
    </w:p>
    <w:p>
      <w:pPr>
        <w:pStyle w:val="Normal"/>
        <w:jc w:val="both"/>
        <w:rPr>
          <w:sz w:val="22"/>
        </w:rPr>
      </w:pPr>
      <w:r>
        <w:rPr>
          <w:sz w:val="22"/>
        </w:rPr>
      </w:r>
    </w:p>
    <w:p>
      <w:pPr>
        <w:pStyle w:val="BodyText2"/>
        <w:tabs>
          <w:tab w:val="clear" w:pos="360"/>
        </w:tabs>
        <w:spacing w:before="0" w:after="120"/>
        <w:ind w:hanging="360" w:start="360" w:end="0"/>
        <w:rPr>
          <w:sz w:val="22"/>
        </w:rPr>
      </w:pPr>
      <w:r>
        <w:rPr>
          <w:sz w:val="22"/>
        </w:rPr>
        <w:t>1.</w:t>
        <w:tab/>
        <w:t xml:space="preserve">The Parties agree that under the terms and conditions of that certain Confidentiality Agreement between ENA and Colonial dated March 10, 2000 (the "Confidentiality Agreement"), ENA and its Representatives shall also include ECS.  </w:t>
      </w:r>
    </w:p>
    <w:p>
      <w:pPr>
        <w:pStyle w:val="Heading3"/>
        <w:keepNext w:val="false"/>
        <w:numPr>
          <w:ilvl w:val="0"/>
          <w:numId w:val="2"/>
        </w:numPr>
        <w:tabs>
          <w:tab w:val="clear" w:pos="2880"/>
          <w:tab w:val="clear" w:pos="3330"/>
          <w:tab w:val="left" w:pos="360" w:leader="none"/>
        </w:tabs>
        <w:rPr>
          <w:b w:val="false"/>
          <w:sz w:val="22"/>
          <w:u w:val="none"/>
        </w:rPr>
      </w:pPr>
      <w:r>
        <w:rPr>
          <w:b w:val="false"/>
          <w:sz w:val="22"/>
          <w:u w:val="none"/>
        </w:rPr>
        <w:t xml:space="preserve">Notwithstanding anything to the contrary in the Confidentiality Agreement, Colonial agrees that ECS may provide Confidential Information, as such term is defined under the Confidentiality Agreement, to Flowserve Corporation ("Flowserve"), subject to Flowserve's execution of a confidentiality agreement with ECS substantially in the form attached hereto as Exhibit "A".    </w:t>
      </w:r>
    </w:p>
    <w:p>
      <w:pPr>
        <w:pStyle w:val="Normal"/>
        <w:rPr>
          <w:b/>
          <w:sz w:val="22"/>
          <w:u w:val="none"/>
        </w:rPr>
      </w:pPr>
      <w:r>
        <w:rPr>
          <w:b/>
          <w:sz w:val="22"/>
          <w:u w:val="none"/>
        </w:rPr>
      </w:r>
    </w:p>
    <w:p>
      <w:pPr>
        <w:pStyle w:val="Heading3"/>
        <w:keepNext w:val="false"/>
        <w:tabs>
          <w:tab w:val="clear" w:pos="2880"/>
          <w:tab w:val="clear" w:pos="3330"/>
        </w:tabs>
        <w:ind w:hanging="360" w:start="360" w:end="0"/>
        <w:rPr>
          <w:b w:val="false"/>
          <w:sz w:val="22"/>
          <w:u w:val="none"/>
        </w:rPr>
      </w:pPr>
      <w:r>
        <w:rPr>
          <w:b w:val="false"/>
          <w:sz w:val="22"/>
          <w:u w:val="none"/>
        </w:rPr>
        <w:t>3.</w:t>
        <w:tab/>
        <w:t>This agreement shall be binding upon and for the benefit of ECS and Colonial and their respective Representatives (as defined in the Confidentiality Agreement), successors, and permitted assigns.  Neither ENA nor Colonial may assign its rights or obligations hereunder without the prior written consent of the other Party.</w:t>
      </w:r>
    </w:p>
    <w:p>
      <w:pPr>
        <w:pStyle w:val="Heading3"/>
        <w:keepNext w:val="false"/>
        <w:tabs>
          <w:tab w:val="clear" w:pos="2880"/>
          <w:tab w:val="clear" w:pos="3330"/>
        </w:tabs>
        <w:ind w:hanging="270" w:start="270" w:end="0"/>
        <w:rPr>
          <w:b w:val="false"/>
          <w:sz w:val="22"/>
          <w:u w:val="none"/>
        </w:rPr>
      </w:pPr>
      <w:r>
        <w:rPr>
          <w:b w:val="false"/>
          <w:sz w:val="22"/>
          <w:u w:val="none"/>
        </w:rPr>
      </w:r>
    </w:p>
    <w:p>
      <w:pPr>
        <w:pStyle w:val="Normal"/>
        <w:ind w:hanging="360" w:start="360" w:end="0"/>
        <w:jc w:val="both"/>
        <w:rPr>
          <w:sz w:val="24"/>
        </w:rPr>
      </w:pPr>
      <w:r>
        <w:rPr>
          <w:sz w:val="22"/>
        </w:rPr>
        <w:t>4.</w:t>
      </w:r>
      <w:r>
        <w:rPr>
          <w:b/>
          <w:sz w:val="22"/>
        </w:rPr>
        <w:tab/>
      </w:r>
      <w:r>
        <w:rPr>
          <w:sz w:val="22"/>
        </w:rPr>
        <w:t>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sz w:val="22"/>
          <w:u w:val="single"/>
        </w:rPr>
        <w:t>AAA</w:t>
      </w:r>
      <w:r>
        <w:rPr>
          <w:sz w:val="22"/>
        </w:rPr>
        <w:t>") and all such proceedings shall be subject to the Federal Arbitration Act.  A single arbitrator shall be selected under the expedited rules of the AAA.</w:t>
      </w:r>
    </w:p>
    <w:p>
      <w:pPr>
        <w:pStyle w:val="Heading3"/>
        <w:keepNext w:val="false"/>
        <w:tabs>
          <w:tab w:val="clear" w:pos="2880"/>
          <w:tab w:val="clear" w:pos="3330"/>
        </w:tabs>
        <w:ind w:hanging="360" w:start="36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5.</w:t>
        <w:tab/>
        <w:t>This agreement shall terminate on the date three years from the effective date of this agreement.</w:t>
      </w:r>
    </w:p>
    <w:p>
      <w:pPr>
        <w:pStyle w:val="Justified"/>
        <w:rPr>
          <w:b/>
          <w:sz w:val="22"/>
          <w:u w:val="none"/>
        </w:rPr>
      </w:pPr>
      <w:r>
        <w:rPr>
          <w:b/>
          <w:sz w:val="22"/>
          <w:u w:val="none"/>
        </w:rPr>
      </w:r>
    </w:p>
    <w:p>
      <w:pPr>
        <w:pStyle w:val="Justified"/>
        <w:ind w:hanging="360" w:start="360" w:end="0"/>
        <w:rPr/>
      </w:pPr>
      <w:r>
        <w:rPr/>
        <w:tab/>
        <w:t>IN WITNESS WHEREOF, the Parties hereto have executed this agreement in duplicate originals to be effective as April ____, 2000.</w:t>
      </w:r>
    </w:p>
    <w:p>
      <w:pPr>
        <w:pStyle w:val="Footer"/>
        <w:tabs>
          <w:tab w:val="clear" w:pos="4320"/>
          <w:tab w:val="clear" w:pos="8640"/>
        </w:tabs>
        <w:spacing w:before="0" w:after="120"/>
        <w:rPr>
          <w:sz w:val="22"/>
        </w:rPr>
      </w:pPr>
      <w:r>
        <w:rPr>
          <w:sz w:val="22"/>
        </w:rPr>
        <w:tab/>
      </w:r>
    </w:p>
    <w:p>
      <w:pPr>
        <w:pStyle w:val="Normal"/>
        <w:spacing w:before="0" w:after="120"/>
        <w:ind w:start="4320" w:end="0"/>
        <w:rPr>
          <w:sz w:val="22"/>
        </w:rPr>
      </w:pPr>
      <w:r>
        <w:rPr>
          <w:sz w:val="22"/>
        </w:rPr>
        <w:t>Very truly yours,</w:t>
      </w:r>
    </w:p>
    <w:p>
      <w:pPr>
        <w:pStyle w:val="Normal"/>
        <w:ind w:start="4320" w:end="0"/>
        <w:rPr>
          <w:b/>
          <w:sz w:val="22"/>
        </w:rPr>
      </w:pPr>
      <w:r>
        <w:rPr>
          <w:b/>
          <w:sz w:val="22"/>
        </w:rPr>
        <w:t>ENRON COMPRESSION SERVICES COMPANY</w:t>
      </w:r>
    </w:p>
    <w:p>
      <w:pPr>
        <w:pStyle w:val="Normal"/>
        <w:ind w:start="4320" w:end="0"/>
        <w:rPr>
          <w:b/>
          <w:sz w:val="22"/>
        </w:rPr>
      </w:pPr>
      <w:r>
        <w:rPr>
          <w:b/>
          <w:sz w:val="22"/>
        </w:rPr>
      </w:r>
    </w:p>
    <w:p>
      <w:pPr>
        <w:pStyle w:val="Normal"/>
        <w:spacing w:before="0" w:after="120"/>
        <w:ind w:start="4320" w:end="0"/>
        <w:rPr>
          <w:sz w:val="22"/>
        </w:rPr>
      </w:pPr>
      <w:r>
        <w:rPr>
          <w:sz w:val="22"/>
        </w:rPr>
        <w:t>By:</w:t>
      </w:r>
      <w:r>
        <w:rPr>
          <w:sz w:val="22"/>
          <w:u w:val="single"/>
        </w:rPr>
        <w:tab/>
        <w:tab/>
        <w:tab/>
        <w:tab/>
        <w:tab/>
      </w:r>
    </w:p>
    <w:p>
      <w:pPr>
        <w:pStyle w:val="Normal"/>
        <w:spacing w:before="0" w:after="120"/>
        <w:ind w:start="4320" w:end="0"/>
        <w:rPr/>
      </w:pPr>
      <w:r>
        <w:rPr>
          <w:sz w:val="22"/>
        </w:rPr>
        <w:t>Name:</w:t>
      </w:r>
      <w:r>
        <w:rPr>
          <w:sz w:val="22"/>
          <w:u w:val="single"/>
        </w:rPr>
        <w:tab/>
        <w:tab/>
        <w:tab/>
        <w:tab/>
        <w:tab/>
      </w:r>
    </w:p>
    <w:p>
      <w:pPr>
        <w:pStyle w:val="Normal"/>
        <w:ind w:start="4320" w:end="0"/>
        <w:rPr/>
      </w:pPr>
      <w:r>
        <w:rPr>
          <w:sz w:val="22"/>
        </w:rPr>
        <w:t>Title:</w:t>
      </w:r>
      <w:r>
        <w:rPr>
          <w:sz w:val="22"/>
          <w:u w:val="single"/>
        </w:rPr>
        <w:tab/>
        <w:tab/>
        <w:tab/>
        <w:tab/>
        <w:tab/>
      </w:r>
    </w:p>
    <w:p>
      <w:pPr>
        <w:pStyle w:val="Normal"/>
        <w:spacing w:before="0" w:after="120"/>
        <w:rPr>
          <w:sz w:val="22"/>
          <w:u w:val="single"/>
        </w:rPr>
      </w:pPr>
      <w:r>
        <w:rPr>
          <w:sz w:val="22"/>
          <w:u w:val="single"/>
        </w:rPr>
      </w:r>
    </w:p>
    <w:p>
      <w:pPr>
        <w:pStyle w:val="Normal"/>
        <w:spacing w:before="0" w:after="120"/>
        <w:rPr>
          <w:sz w:val="22"/>
        </w:rPr>
      </w:pPr>
      <w:r>
        <w:rPr>
          <w:sz w:val="22"/>
        </w:rPr>
      </w:r>
    </w:p>
    <w:p>
      <w:pPr>
        <w:pStyle w:val="Normal"/>
        <w:spacing w:before="0" w:after="120"/>
        <w:rPr>
          <w:sz w:val="22"/>
        </w:rPr>
      </w:pPr>
      <w:r>
        <w:rPr>
          <w:sz w:val="22"/>
        </w:rPr>
        <w:t>Agreed and accepted this ___ day of April, 2000.</w:t>
      </w:r>
    </w:p>
    <w:p>
      <w:pPr>
        <w:pStyle w:val="Normal"/>
        <w:rPr>
          <w:b/>
          <w:sz w:val="22"/>
        </w:rPr>
      </w:pPr>
      <w:r>
        <w:rPr>
          <w:b/>
          <w:sz w:val="22"/>
        </w:rPr>
        <w:t>COLONIAL PIPELINE COMPANY</w:t>
      </w:r>
    </w:p>
    <w:p>
      <w:pPr>
        <w:pStyle w:val="Normal"/>
        <w:rPr>
          <w:b/>
          <w:sz w:val="22"/>
        </w:rPr>
      </w:pPr>
      <w:r>
        <w:rPr>
          <w:b/>
          <w:sz w:val="22"/>
        </w:rPr>
      </w:r>
    </w:p>
    <w:p>
      <w:pPr>
        <w:pStyle w:val="Normal"/>
        <w:rPr>
          <w:sz w:val="22"/>
        </w:rPr>
      </w:pPr>
      <w:r>
        <w:rPr>
          <w:sz w:val="22"/>
        </w:rPr>
      </w:r>
    </w:p>
    <w:p>
      <w:pPr>
        <w:pStyle w:val="Normal"/>
        <w:spacing w:before="0" w:after="120"/>
        <w:rPr>
          <w:sz w:val="22"/>
        </w:rPr>
      </w:pPr>
      <w:r>
        <w:rPr>
          <w:sz w:val="22"/>
        </w:rPr>
        <w:t>By:</w:t>
      </w:r>
      <w:r>
        <w:rPr>
          <w:sz w:val="22"/>
          <w:u w:val="single"/>
        </w:rPr>
        <w:tab/>
        <w:tab/>
        <w:tab/>
        <w:tab/>
        <w:tab/>
      </w:r>
    </w:p>
    <w:p>
      <w:pPr>
        <w:pStyle w:val="Normal"/>
        <w:spacing w:before="0" w:after="120"/>
        <w:rPr>
          <w:sz w:val="22"/>
        </w:rPr>
      </w:pPr>
      <w:r>
        <w:rPr>
          <w:sz w:val="22"/>
        </w:rPr>
        <w:t>Name:</w:t>
      </w:r>
      <w:r>
        <w:rPr>
          <w:sz w:val="22"/>
          <w:u w:val="single"/>
        </w:rPr>
        <w:tab/>
        <w:tab/>
        <w:tab/>
        <w:tab/>
        <w:tab/>
      </w:r>
    </w:p>
    <w:p>
      <w:pPr>
        <w:pStyle w:val="Normal"/>
        <w:rPr>
          <w:sz w:val="22"/>
        </w:rPr>
      </w:pPr>
      <w:r>
        <w:rPr>
          <w:sz w:val="22"/>
        </w:rPr>
        <w:t>Title:</w:t>
      </w:r>
      <w:r>
        <w:rPr>
          <w:sz w:val="22"/>
          <w:u w:val="single"/>
        </w:rPr>
        <w:tab/>
        <w:tab/>
        <w:tab/>
        <w:tab/>
        <w:tab/>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rPr/>
      </w:pPr>
      <w:r>
        <w:rPr/>
      </w:r>
    </w:p>
    <w:p>
      <w:pPr>
        <w:pStyle w:val="Normal"/>
        <w:jc w:val="center"/>
        <w:rPr/>
      </w:pPr>
      <w:r>
        <w:rPr/>
      </w:r>
    </w:p>
    <w:p>
      <w:pPr>
        <w:pStyle w:val="Normal"/>
        <w:jc w:val="center"/>
        <w:rPr>
          <w:b/>
          <w:sz w:val="22"/>
        </w:rPr>
      </w:pPr>
      <w:r>
        <w:rPr>
          <w:b/>
          <w:sz w:val="22"/>
        </w:rPr>
        <w:t>EXHIBIT A</w:t>
      </w:r>
    </w:p>
    <w:p>
      <w:pPr>
        <w:pStyle w:val="Normal"/>
        <w:jc w:val="center"/>
        <w:rPr>
          <w:b/>
          <w:sz w:val="22"/>
        </w:rPr>
      </w:pPr>
      <w:r>
        <w:rPr>
          <w:b/>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Flowserve Corporation</w:t>
      </w:r>
    </w:p>
    <w:p>
      <w:pPr>
        <w:pStyle w:val="Normal"/>
        <w:rPr>
          <w:sz w:val="22"/>
        </w:rPr>
      </w:pPr>
      <w:r>
        <w:rPr>
          <w:sz w:val="22"/>
        </w:rPr>
        <w:t>___________________</w:t>
      </w:r>
    </w:p>
    <w:p>
      <w:pPr>
        <w:pStyle w:val="Normal"/>
        <w:rPr>
          <w:sz w:val="22"/>
        </w:rPr>
      </w:pPr>
      <w:r>
        <w:rPr>
          <w:sz w:val="22"/>
        </w:rPr>
        <w:t>___________________</w:t>
      </w:r>
    </w:p>
    <w:p>
      <w:pPr>
        <w:pStyle w:val="Normal"/>
        <w:rPr>
          <w:sz w:val="22"/>
        </w:rPr>
      </w:pPr>
      <w:r>
        <w:rPr>
          <w:sz w:val="22"/>
        </w:rPr>
        <w:t>Attn.: ______________</w:t>
      </w:r>
    </w:p>
    <w:p>
      <w:pPr>
        <w:pStyle w:val="Normal"/>
        <w:rPr>
          <w:sz w:val="22"/>
        </w:rPr>
      </w:pPr>
      <w:r>
        <w:rPr>
          <w:sz w:val="22"/>
        </w:rPr>
      </w:r>
    </w:p>
    <w:p>
      <w:pPr>
        <w:pStyle w:val="Normal"/>
        <w:ind w:hanging="360" w:start="360" w:end="0"/>
        <w:rPr>
          <w:sz w:val="22"/>
        </w:rPr>
      </w:pPr>
      <w:r>
        <w:rPr>
          <w:sz w:val="22"/>
        </w:rPr>
        <w:t>Re: Confidentiality Agreement between Enron Compression Services Company ("ECS") and Flowserve Corporation (“Flowserve”)</w:t>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jc w:val="both"/>
        <w:rPr>
          <w:sz w:val="22"/>
        </w:rPr>
      </w:pPr>
      <w:r>
        <w:rPr>
          <w:sz w:val="22"/>
        </w:rPr>
        <w:tab/>
        <w:t>In connection with discussions regarding ECS’ possible provision electric driven pumping services to Colonial Pipeline Company potentially utilizing Flowserve equipment (the "Proposed Transaction"), ECS is prepared to furnish Flowserve with information which is confidential, proprietary or generally not available to the public ("Confidential Information"). Flowserve and ECS are sometimes referred to individually as a “Party” and collectively as the “Parties.”  As a condition to furnishing Confidential Information, Flowserve and ECS each agree to the following:</w:t>
      </w:r>
    </w:p>
    <w:p>
      <w:pPr>
        <w:pStyle w:val="Normal"/>
        <w:jc w:val="both"/>
        <w:rPr>
          <w:sz w:val="22"/>
        </w:rPr>
      </w:pPr>
      <w:r>
        <w:rPr>
          <w:sz w:val="22"/>
        </w:rPr>
      </w:r>
    </w:p>
    <w:p>
      <w:pPr>
        <w:pStyle w:val="BodyText2"/>
        <w:tabs>
          <w:tab w:val="clear" w:pos="360"/>
        </w:tabs>
        <w:spacing w:before="0" w:after="120"/>
        <w:ind w:hanging="360" w:start="360" w:end="0"/>
        <w:rPr>
          <w:b/>
          <w:sz w:val="22"/>
        </w:rPr>
      </w:pPr>
      <w:r>
        <w:rPr>
          <w:sz w:val="22"/>
        </w:rPr>
        <w:t>1.</w:t>
        <w:tab/>
        <w:t>Flowserve shall not disclose ECS' Confidential Information without the other ECS' prior written consent; provided, however, Flowserve may disclose: (a) ECS' Confidential Information to the Flowserve’s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ECS' Confidential Information that: (i) becomes generally available to the public; (ii) is already known to Flowserve at the time of disclosure by ECS; (iii) is acquired from a third party not known to Flowserve to be prohibited from making disclosure; or (iv) is required to be disclosed to comply with any applicable law, order, regulation or ruling.</w:t>
      </w:r>
    </w:p>
    <w:p>
      <w:pPr>
        <w:pStyle w:val="Heading3"/>
        <w:keepNext w:val="false"/>
        <w:numPr>
          <w:ilvl w:val="0"/>
          <w:numId w:val="2"/>
        </w:numPr>
        <w:tabs>
          <w:tab w:val="clear" w:pos="2880"/>
          <w:tab w:val="clear" w:pos="3330"/>
          <w:tab w:val="left" w:pos="360" w:leader="none"/>
        </w:tabs>
        <w:rPr>
          <w:b w:val="false"/>
          <w:sz w:val="22"/>
          <w:u w:val="none"/>
        </w:rPr>
      </w:pPr>
      <w:r>
        <w:rPr>
          <w:b w:val="false"/>
          <w:sz w:val="22"/>
          <w:u w:val="none"/>
        </w:rPr>
        <w:t>Flowserve shall not use ECS' Confidential Information other than for the purpose of evaluating, negotiating and consummating the Proposed Transaction.  Upon ECS' request, Flowserve shall return all written Confidential Information of ECS, except for that portion of such Confidential Information that may be found in analyses, compilations, studies or other documents prepared by, or for, Flowserve, and Flowserve and its Representatives shall not retain any copies of such written Confidential Information.  The portion of written Confidential Information that may be found in analyses, compilations, studies or other documents prepared by, or for, Flowserve, any oral Confidential Information furnished by ECS and any written Confidential Information furnished by ECS not so requested or returned, will be held by Flowserve and kept subject to the terms of this agreement, or destroyed.</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3.</w:t>
        <w:tab/>
        <w:t>Notwithstanding anything contained in this agreement, Confidential Information may be disclosed to any governmental, judicial or regulatory authority requiring such Confidential Information, provided that: (a) Flowserve shall promptly inform ECS of the substance of any inquiries received by Flowserve from any governmental, judicial or regulatory authority in connection with attempts to gain access to Confidential Information concerning the Proposed Transaction; (b) prior to such disclosure, ECS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Flowserve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Flowserve is obligated to disclose any documents containing Confidential Information, then Flowserve shall first obtain from ECS a “Public Disclosure Copy” in which the Confidential Information has been redacted at ECS' discretion to the extent that such redaction is permitted by the applicable court or tribunal requiring disclosure, as the case may be.</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4.</w:t>
        <w:tab/>
        <w:t>Although ECS has endeavored to include materials which ECS believes to be reliable and relevant for Flowserve's evaluation, ECS makes no representation or warranty as to the accuracy or completeness of any such provided information.  Furthermore, neither ECS nor its Representatives shall have any liability to Flowserve or its Representatives resulting from the use of any such information by Flowserve or its Representatives.</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5.</w:t>
        <w:tab/>
        <w:t>Flowserve shall be liable for any breach of this agreement by such Party or any of its Representatives.  Any action for damages shall not be a sufficient remedy for any breach hereof and therefore, ECS shall be entitled to specific performance or other equitable relief.  Such remedy shall not be deemed to be the exclusive remedy available to ECS, but shall be in addition to all other available remedies.  Neither failure nor delay by ECS in exercising any of its rights, powers or privileges herein shall operate as a waiver nor shall any single or partial exercise preclude any other or further exercise of any right, power or privilege.</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6.</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The Parties agree that no joint venture, partnership, or other fiduciary relationship shall be deemed to exist or arise with respect to the Proposed Transaction.</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7.</w:t>
        <w:tab/>
        <w:t>This agreement shall be binding upon and for the benefit of ECS and Flowserve and their respective Representatives, successors, and permitted assigns.  Neither ECS nor Flowserve may assign its rights or obligations hereunder without the prior written consent of the other Party.</w:t>
      </w:r>
    </w:p>
    <w:p>
      <w:pPr>
        <w:pStyle w:val="Heading3"/>
        <w:keepNext w:val="false"/>
        <w:tabs>
          <w:tab w:val="clear" w:pos="2880"/>
          <w:tab w:val="clear" w:pos="3330"/>
        </w:tabs>
        <w:ind w:hanging="270" w:start="270" w:end="0"/>
        <w:rPr>
          <w:b w:val="false"/>
          <w:sz w:val="22"/>
          <w:u w:val="none"/>
        </w:rPr>
      </w:pPr>
      <w:r>
        <w:rPr>
          <w:b w:val="false"/>
          <w:sz w:val="22"/>
          <w:u w:val="none"/>
        </w:rPr>
      </w:r>
    </w:p>
    <w:p>
      <w:pPr>
        <w:pStyle w:val="Normal"/>
        <w:ind w:hanging="360" w:start="360" w:end="0"/>
        <w:jc w:val="both"/>
        <w:rPr>
          <w:sz w:val="24"/>
        </w:rPr>
      </w:pPr>
      <w:r>
        <w:rPr>
          <w:sz w:val="22"/>
        </w:rPr>
        <w:t>8.</w:t>
      </w:r>
      <w:r>
        <w:rPr>
          <w:b/>
          <w:sz w:val="22"/>
        </w:rPr>
        <w:tab/>
      </w:r>
      <w:r>
        <w:rPr>
          <w:sz w:val="22"/>
        </w:rPr>
        <w:t>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sz w:val="22"/>
          <w:u w:val="single"/>
        </w:rPr>
        <w:t>AAA</w:t>
      </w:r>
      <w:r>
        <w:rPr>
          <w:sz w:val="22"/>
        </w:rPr>
        <w:t>") and all such proceedings shall be subject to the Federal Arbitration Act.  A single arbitrator shall be selected under the expedited rules of the AAA.</w:t>
      </w:r>
    </w:p>
    <w:p>
      <w:pPr>
        <w:pStyle w:val="Heading3"/>
        <w:keepNext w:val="false"/>
        <w:tabs>
          <w:tab w:val="clear" w:pos="2880"/>
          <w:tab w:val="clear" w:pos="3330"/>
        </w:tabs>
        <w:ind w:hanging="0" w:start="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9.</w:t>
        <w:tab/>
        <w:t>This agreement shall terminate on the date three years from the effective date of this agreement.</w:t>
      </w:r>
    </w:p>
    <w:p>
      <w:pPr>
        <w:pStyle w:val="Justified"/>
        <w:rPr>
          <w:b/>
          <w:sz w:val="22"/>
          <w:u w:val="none"/>
        </w:rPr>
      </w:pPr>
      <w:r>
        <w:rPr>
          <w:b/>
          <w:sz w:val="22"/>
          <w:u w:val="none"/>
        </w:rPr>
      </w:r>
    </w:p>
    <w:p>
      <w:pPr>
        <w:pStyle w:val="Justified"/>
        <w:ind w:hanging="360" w:start="360" w:end="0"/>
        <w:rPr/>
      </w:pPr>
      <w:r>
        <w:rPr/>
        <w:tab/>
        <w:t>IN WITNESS WHEREOF, the Parties hereto have executed this agreement in duplicate originals to be effective as April ___, 2000.</w:t>
      </w:r>
    </w:p>
    <w:p>
      <w:pPr>
        <w:pStyle w:val="Footer"/>
        <w:tabs>
          <w:tab w:val="clear" w:pos="4320"/>
          <w:tab w:val="clear" w:pos="8640"/>
        </w:tabs>
        <w:spacing w:before="0" w:after="120"/>
        <w:rPr>
          <w:sz w:val="22"/>
        </w:rPr>
      </w:pPr>
      <w:r>
        <w:rPr>
          <w:sz w:val="22"/>
        </w:rPr>
        <w:tab/>
      </w:r>
    </w:p>
    <w:p>
      <w:pPr>
        <w:pStyle w:val="Normal"/>
        <w:spacing w:before="0" w:after="120"/>
        <w:ind w:start="4320" w:end="0"/>
        <w:rPr>
          <w:sz w:val="22"/>
        </w:rPr>
      </w:pPr>
      <w:r>
        <w:rPr>
          <w:sz w:val="22"/>
        </w:rPr>
        <w:t>Very truly yours,</w:t>
      </w:r>
    </w:p>
    <w:p>
      <w:pPr>
        <w:pStyle w:val="Normal"/>
        <w:ind w:start="4320" w:end="0"/>
        <w:rPr>
          <w:b/>
          <w:sz w:val="22"/>
        </w:rPr>
      </w:pPr>
      <w:r>
        <w:rPr>
          <w:b/>
          <w:sz w:val="22"/>
        </w:rPr>
        <w:t>ENRON COMPRESSION SERVICES COMPANY</w:t>
      </w:r>
    </w:p>
    <w:p>
      <w:pPr>
        <w:pStyle w:val="Normal"/>
        <w:ind w:start="4320" w:end="0"/>
        <w:rPr>
          <w:b/>
          <w:sz w:val="22"/>
        </w:rPr>
      </w:pPr>
      <w:r>
        <w:rPr>
          <w:b/>
          <w:sz w:val="22"/>
        </w:rPr>
      </w:r>
    </w:p>
    <w:p>
      <w:pPr>
        <w:pStyle w:val="Normal"/>
        <w:spacing w:before="0" w:after="120"/>
        <w:ind w:start="4320" w:end="0"/>
        <w:rPr>
          <w:sz w:val="22"/>
        </w:rPr>
      </w:pPr>
      <w:r>
        <w:rPr>
          <w:sz w:val="22"/>
        </w:rPr>
        <w:t>By:</w:t>
      </w:r>
      <w:r>
        <w:rPr>
          <w:sz w:val="22"/>
          <w:u w:val="single"/>
        </w:rPr>
        <w:tab/>
        <w:tab/>
        <w:tab/>
        <w:tab/>
        <w:tab/>
      </w:r>
    </w:p>
    <w:p>
      <w:pPr>
        <w:pStyle w:val="Normal"/>
        <w:spacing w:before="0" w:after="120"/>
        <w:ind w:start="4320" w:end="0"/>
        <w:rPr/>
      </w:pPr>
      <w:r>
        <w:rPr>
          <w:sz w:val="22"/>
        </w:rPr>
        <w:t>Name:</w:t>
      </w:r>
      <w:r>
        <w:rPr>
          <w:sz w:val="22"/>
          <w:u w:val="single"/>
        </w:rPr>
        <w:tab/>
        <w:tab/>
        <w:tab/>
        <w:tab/>
        <w:tab/>
      </w:r>
    </w:p>
    <w:p>
      <w:pPr>
        <w:pStyle w:val="Normal"/>
        <w:ind w:start="4320" w:end="0"/>
        <w:rPr/>
      </w:pPr>
      <w:r>
        <w:rPr>
          <w:sz w:val="22"/>
        </w:rPr>
        <w:t>Title:</w:t>
      </w:r>
      <w:r>
        <w:rPr>
          <w:sz w:val="22"/>
          <w:u w:val="single"/>
        </w:rPr>
        <w:tab/>
        <w:tab/>
        <w:tab/>
        <w:tab/>
        <w:tab/>
      </w:r>
    </w:p>
    <w:p>
      <w:pPr>
        <w:pStyle w:val="Normal"/>
        <w:spacing w:before="0" w:after="120"/>
        <w:rPr>
          <w:sz w:val="22"/>
          <w:u w:val="single"/>
        </w:rPr>
      </w:pPr>
      <w:r>
        <w:rPr>
          <w:sz w:val="22"/>
          <w:u w:val="single"/>
        </w:rPr>
      </w:r>
    </w:p>
    <w:p>
      <w:pPr>
        <w:pStyle w:val="Normal"/>
        <w:spacing w:before="0" w:after="120"/>
        <w:rPr>
          <w:sz w:val="22"/>
        </w:rPr>
      </w:pPr>
      <w:r>
        <w:rPr>
          <w:sz w:val="22"/>
        </w:rPr>
      </w:r>
    </w:p>
    <w:p>
      <w:pPr>
        <w:pStyle w:val="Normal"/>
        <w:spacing w:before="0" w:after="120"/>
        <w:rPr>
          <w:sz w:val="22"/>
        </w:rPr>
      </w:pPr>
      <w:r>
        <w:rPr>
          <w:sz w:val="22"/>
        </w:rPr>
        <w:t>Agreed and accepted this ___ day of April, 2000.</w:t>
      </w:r>
    </w:p>
    <w:p>
      <w:pPr>
        <w:pStyle w:val="Normal"/>
        <w:rPr>
          <w:b/>
          <w:sz w:val="22"/>
        </w:rPr>
      </w:pPr>
      <w:r>
        <w:rPr>
          <w:b/>
          <w:sz w:val="22"/>
        </w:rPr>
        <w:t>FLOWSERVE CORPORATION</w:t>
      </w:r>
    </w:p>
    <w:p>
      <w:pPr>
        <w:pStyle w:val="Normal"/>
        <w:rPr>
          <w:b/>
          <w:sz w:val="22"/>
        </w:rPr>
      </w:pPr>
      <w:r>
        <w:rPr>
          <w:b/>
          <w:sz w:val="22"/>
        </w:rPr>
      </w:r>
    </w:p>
    <w:p>
      <w:pPr>
        <w:pStyle w:val="Normal"/>
        <w:rPr>
          <w:sz w:val="22"/>
        </w:rPr>
      </w:pPr>
      <w:r>
        <w:rPr>
          <w:sz w:val="22"/>
        </w:rPr>
      </w:r>
    </w:p>
    <w:p>
      <w:pPr>
        <w:pStyle w:val="Normal"/>
        <w:spacing w:before="0" w:after="120"/>
        <w:rPr>
          <w:sz w:val="22"/>
        </w:rPr>
      </w:pPr>
      <w:r>
        <w:rPr>
          <w:sz w:val="22"/>
        </w:rPr>
        <w:t>By:</w:t>
      </w:r>
      <w:r>
        <w:rPr>
          <w:sz w:val="22"/>
          <w:u w:val="single"/>
        </w:rPr>
        <w:tab/>
        <w:tab/>
        <w:tab/>
        <w:tab/>
        <w:tab/>
      </w:r>
    </w:p>
    <w:p>
      <w:pPr>
        <w:pStyle w:val="Normal"/>
        <w:spacing w:before="0" w:after="120"/>
        <w:rPr>
          <w:sz w:val="22"/>
        </w:rPr>
      </w:pPr>
      <w:r>
        <w:rPr>
          <w:sz w:val="22"/>
        </w:rPr>
        <w:t>Name:</w:t>
      </w:r>
      <w:r>
        <w:rPr>
          <w:sz w:val="22"/>
          <w:u w:val="single"/>
        </w:rPr>
        <w:tab/>
        <w:tab/>
        <w:tab/>
        <w:tab/>
        <w:tab/>
      </w:r>
    </w:p>
    <w:p>
      <w:pPr>
        <w:pStyle w:val="Normal"/>
        <w:rPr>
          <w:sz w:val="22"/>
        </w:rPr>
      </w:pPr>
      <w:r>
        <w:rPr>
          <w:sz w:val="22"/>
        </w:rPr>
        <w:t>Title:</w:t>
      </w:r>
      <w:r>
        <w:rPr>
          <w:sz w:val="22"/>
          <w:u w:val="single"/>
        </w:rPr>
        <w:tab/>
        <w:tab/>
        <w:tab/>
        <w:tab/>
        <w:tab/>
      </w:r>
    </w:p>
    <w:p>
      <w:pPr>
        <w:pStyle w:val="Normal"/>
        <w:rPr>
          <w:sz w:val="22"/>
        </w:rPr>
      </w:pPr>
      <w:r>
        <w:rPr>
          <w:sz w:val="22"/>
        </w:rPr>
      </w:r>
    </w:p>
    <w:p>
      <w:pPr>
        <w:pStyle w:val="Normal"/>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p>
    <w:pPr>
      <w:pStyle w:val="Footer"/>
      <w:jc w:val="center"/>
      <w:rPr/>
    </w:pPr>
    <w:r>
      <w:rPr/>
    </w:r>
  </w:p>
  <w:p>
    <w:pPr>
      <w:pStyle w:val="Footer"/>
      <w:rPr>
        <w:sz w:val="14"/>
      </w:rPr>
    </w:pPr>
    <w:r>
      <w:rPr>
        <w:sz w:val="14"/>
      </w:rPr>
      <w:fldChar w:fldCharType="begin"/>
    </w:r>
    <w:r>
      <w:rPr>
        <w:sz w:val="14"/>
      </w:rPr>
      <w:instrText xml:space="preserve"> FILENAME </w:instrText>
    </w:r>
    <w:r>
      <w:rPr>
        <w:sz w:val="14"/>
      </w:rPr>
      <w:fldChar w:fldCharType="separate"/>
    </w:r>
    <w:r>
      <w:rPr>
        <w:sz w:val="14"/>
      </w:rPr>
      <w:t>ColonialCA__ECS_.doc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p>
    <w:pPr>
      <w:pStyle w:val="Footer"/>
      <w:jc w:val="center"/>
      <w:rPr/>
    </w:pPr>
    <w:r>
      <w:rPr/>
    </w:r>
  </w:p>
  <w:p>
    <w:pPr>
      <w:pStyle w:val="Footer"/>
      <w:rPr>
        <w:sz w:val="14"/>
      </w:rPr>
    </w:pPr>
    <w:r>
      <w:rPr>
        <w:sz w:val="14"/>
      </w:rPr>
      <w:fldChar w:fldCharType="begin"/>
    </w:r>
    <w:r>
      <w:rPr>
        <w:sz w:val="14"/>
      </w:rPr>
      <w:instrText xml:space="preserve"> FILENAME </w:instrText>
    </w:r>
    <w:r>
      <w:rPr>
        <w:sz w:val="14"/>
      </w:rPr>
      <w:fldChar w:fldCharType="separate"/>
    </w:r>
    <w:r>
      <w:rPr>
        <w:sz w:val="14"/>
      </w:rPr>
      <w:t>ColonialCA__ECS_.doc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Colonial Pipeline Company</w:t>
    </w:r>
  </w:p>
  <w:p>
    <w:pPr>
      <w:pStyle w:val="Header"/>
      <w:rPr/>
    </w:pPr>
    <w:r>
      <w:rPr/>
      <w:t xml:space="preserve">Page </w:t>
    </w: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Colonial Pipeline Company</w:t>
    </w:r>
  </w:p>
  <w:p>
    <w:pPr>
      <w:pStyle w:val="Header"/>
      <w:rPr/>
    </w:pPr>
    <w:r>
      <w:rPr/>
      <w:t xml:space="preserve">Page </w:t>
    </w: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widowControl w:val="false"/>
      <w:numPr>
        <w:ilvl w:val="2"/>
        <w:numId w:val="1"/>
      </w:numPr>
      <w:tabs>
        <w:tab w:val="clear" w:pos="720"/>
        <w:tab w:val="left" w:pos="2880" w:leader="none"/>
        <w:tab w:val="left" w:pos="3330" w:leader="none"/>
      </w:tabs>
      <w:jc w:val="both"/>
      <w:outlineLvl w:val="2"/>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2">
    <w:name w:val="Body Text 2"/>
    <w:basedOn w:val="Normal"/>
    <w:qFormat/>
    <w:pPr>
      <w:widowControl w:val="false"/>
      <w:tabs>
        <w:tab w:val="clear" w:pos="720"/>
        <w:tab w:val="left" w:pos="360" w:leader="none"/>
      </w:tabs>
      <w:jc w:val="both"/>
    </w:pPr>
    <w:rPr/>
  </w:style>
  <w:style w:type="paragraph" w:styleId="Justified">
    <w:name w:val="Justified"/>
    <w:basedOn w:val="Normal"/>
    <w:next w:val="Heading2"/>
    <w:qFormat/>
    <w:pPr>
      <w:spacing w:before="0" w:after="120"/>
      <w:jc w:val="both"/>
    </w:pPr>
    <w:rPr>
      <w:sz w:val="22"/>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2000-04-10T13:26:00Z</dcterms:created>
  <dc:creator>rcarter</dc:creator>
  <dc:description/>
  <dc:language>en-CA</dc:language>
  <cp:lastModifiedBy>gnemec</cp:lastModifiedBy>
  <cp:lastPrinted>2000-04-10T11:10:00Z</cp:lastPrinted>
  <dcterms:modified xsi:type="dcterms:W3CDTF">2000-04-10T15:58:00Z</dcterms:modified>
  <cp:revision>12</cp:revision>
  <dc:subject/>
  <dc:title>March 10, 2000</dc:title>
</cp:coreProperties>
</file>