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rPr>
      </w:pPr>
      <w:r>
        <w:rPr>
          <w:rFonts w:cs="Arial" w:ascii="Arial" w:hAnsi="Arial"/>
        </w:rPr>
      </w:r>
    </w:p>
    <w:p>
      <w:pPr>
        <w:pStyle w:val="Normal"/>
        <w:jc w:val="center"/>
        <w:rPr/>
      </w:pPr>
      <w:r>
        <w:rPr>
          <w:rFonts w:cs="Arial" w:ascii="Arial" w:hAnsi="Arial"/>
          <w:b/>
          <w:sz w:val="24"/>
        </w:rPr>
        <w:t xml:space="preserve">Enron comments to the draft Morgan Stanley </w:t>
      </w:r>
      <w:r>
        <w:rPr>
          <w:rFonts w:cs="Arial" w:ascii="Arial" w:hAnsi="Arial"/>
          <w:b/>
          <w:sz w:val="24"/>
          <w:u w:val="single"/>
        </w:rPr>
        <w:t>EEI  Collateral Annex</w:t>
      </w:r>
      <w:r>
        <w:rPr>
          <w:rFonts w:cs="Arial" w:ascii="Arial" w:hAnsi="Arial"/>
          <w:b/>
          <w:sz w:val="24"/>
        </w:rPr>
        <w:t xml:space="preserve"> </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u w:val="single"/>
        </w:rPr>
      </w:pPr>
      <w:r>
        <w:rPr>
          <w:rFonts w:cs="Arial" w:ascii="Arial" w:hAnsi="Arial"/>
          <w:u w:val="single"/>
        </w:rPr>
      </w:r>
    </w:p>
    <w:p>
      <w:pPr>
        <w:pStyle w:val="Heading1"/>
        <w:ind w:hanging="0" w:start="0"/>
        <w:jc w:val="both"/>
        <w:rPr>
          <w:b/>
        </w:rPr>
      </w:pPr>
      <w:r>
        <w:rPr>
          <w:b/>
        </w:rPr>
        <w:t>General Comments</w:t>
      </w:r>
    </w:p>
    <w:p>
      <w:pPr>
        <w:pStyle w:val="Normal"/>
        <w:jc w:val="both"/>
        <w:rPr>
          <w:rFonts w:ascii="Arial" w:hAnsi="Arial" w:cs="Arial"/>
          <w:b/>
        </w:rPr>
      </w:pPr>
      <w:r>
        <w:rPr>
          <w:rFonts w:cs="Arial" w:ascii="Arial" w:hAnsi="Arial"/>
          <w:b/>
        </w:rPr>
      </w:r>
    </w:p>
    <w:p>
      <w:pPr>
        <w:pStyle w:val="Normal"/>
        <w:numPr>
          <w:ilvl w:val="0"/>
          <w:numId w:val="4"/>
        </w:numPr>
        <w:jc w:val="both"/>
        <w:rPr>
          <w:rFonts w:ascii="Arial" w:hAnsi="Arial" w:cs="Arial"/>
        </w:rPr>
      </w:pPr>
      <w:r>
        <w:rPr>
          <w:rFonts w:cs="Arial" w:ascii="Arial" w:hAnsi="Arial"/>
        </w:rPr>
        <w:t>The Annex needs to be more user-friendly. Just like the EEI Master, it needs to have a cover sheet where the key terms are listed and boilerplate that does not change. It is possibly too dense for the average reader to be able to pick up the document and discern any changes therein. We must consider our audience.</w:t>
      </w:r>
    </w:p>
    <w:p>
      <w:pPr>
        <w:pStyle w:val="Normal"/>
        <w:numPr>
          <w:ilvl w:val="0"/>
          <w:numId w:val="4"/>
        </w:numPr>
        <w:jc w:val="both"/>
        <w:rPr>
          <w:rFonts w:ascii="Arial" w:hAnsi="Arial" w:cs="Arial"/>
        </w:rPr>
      </w:pPr>
      <w:r>
        <w:rPr>
          <w:rFonts w:cs="Arial" w:ascii="Arial" w:hAnsi="Arial"/>
        </w:rPr>
        <w:t>It needs to be clear how the Annex will fit together with the EEI Master Agreement. Some concepts covered in the Annex are already in the EEI (ie. Security Interest, Collateral Threshold). Which will trump? Also, the Annex does not seem to “fit” with the EEI Master. It reads more like a stand-alone document. For example, it uses different terminology for the concepts already contained in the EEI.</w:t>
      </w:r>
    </w:p>
    <w:p>
      <w:pPr>
        <w:pStyle w:val="Normal"/>
        <w:numPr>
          <w:ilvl w:val="0"/>
          <w:numId w:val="4"/>
        </w:numPr>
        <w:jc w:val="both"/>
        <w:rPr>
          <w:rFonts w:ascii="Arial" w:hAnsi="Arial" w:cs="Arial"/>
        </w:rPr>
      </w:pPr>
      <w:r>
        <w:rPr>
          <w:rFonts w:cs="Arial" w:ascii="Arial" w:hAnsi="Arial"/>
        </w:rPr>
        <w:t xml:space="preserve">The Annex needs to contain additional specific Events of Default which would in effect be added to the existing ones in the EEI. These would be: </w:t>
      </w:r>
    </w:p>
    <w:p>
      <w:pPr>
        <w:pStyle w:val="Normal"/>
        <w:numPr>
          <w:ilvl w:val="0"/>
          <w:numId w:val="7"/>
        </w:numPr>
        <w:ind w:hanging="0" w:start="360" w:end="0"/>
        <w:jc w:val="both"/>
        <w:rPr>
          <w:rFonts w:ascii="Arial" w:hAnsi="Arial" w:cs="Arial"/>
        </w:rPr>
      </w:pPr>
      <w:r>
        <w:rPr>
          <w:rFonts w:cs="Arial" w:ascii="Arial" w:hAnsi="Arial"/>
        </w:rPr>
        <w:t>if a Party fails to transfer collateral when required</w:t>
      </w:r>
    </w:p>
    <w:p>
      <w:pPr>
        <w:pStyle w:val="Normal"/>
        <w:numPr>
          <w:ilvl w:val="0"/>
          <w:numId w:val="7"/>
        </w:numPr>
        <w:ind w:hanging="0" w:start="360" w:end="0"/>
        <w:jc w:val="both"/>
        <w:rPr>
          <w:rFonts w:ascii="Arial" w:hAnsi="Arial" w:cs="Arial"/>
        </w:rPr>
      </w:pPr>
      <w:r>
        <w:rPr>
          <w:rFonts w:cs="Arial" w:ascii="Arial" w:hAnsi="Arial"/>
        </w:rPr>
        <w:t>if a Party fails to comply with any other agreement/obligation under the Annex.</w:t>
      </w:r>
    </w:p>
    <w:p>
      <w:pPr>
        <w:pStyle w:val="Normal"/>
        <w:numPr>
          <w:ilvl w:val="0"/>
          <w:numId w:val="4"/>
        </w:numPr>
        <w:jc w:val="both"/>
        <w:rPr>
          <w:rFonts w:ascii="Arial" w:hAnsi="Arial" w:cs="Arial"/>
        </w:rPr>
      </w:pPr>
      <w:r>
        <w:rPr>
          <w:rFonts w:cs="Arial" w:ascii="Arial" w:hAnsi="Arial"/>
        </w:rPr>
        <w:t>There needs to be an Expenses section. In the ISDA CSA, it is made clear that both Parties bear their own costs and expenses.</w:t>
      </w:r>
    </w:p>
    <w:p>
      <w:pPr>
        <w:pStyle w:val="Normal"/>
        <w:numPr>
          <w:ilvl w:val="0"/>
          <w:numId w:val="4"/>
        </w:numPr>
        <w:jc w:val="both"/>
        <w:rPr>
          <w:rFonts w:ascii="Arial" w:hAnsi="Arial" w:cs="Arial"/>
        </w:rPr>
      </w:pPr>
      <w:r>
        <w:rPr>
          <w:rFonts w:cs="Arial" w:ascii="Arial" w:hAnsi="Arial"/>
        </w:rPr>
        <w:t xml:space="preserve">Demands/Notices: We should consider including a specific section on this. </w:t>
      </w:r>
    </w:p>
    <w:p>
      <w:pPr>
        <w:pStyle w:val="Normal"/>
        <w:jc w:val="both"/>
        <w:rPr>
          <w:rFonts w:ascii="Arial" w:hAnsi="Arial" w:cs="Arial"/>
        </w:rPr>
      </w:pPr>
      <w:r>
        <w:rPr>
          <w:rFonts w:cs="Arial" w:ascii="Arial" w:hAnsi="Arial"/>
        </w:rPr>
      </w:r>
    </w:p>
    <w:p>
      <w:pPr>
        <w:pStyle w:val="Heading1"/>
        <w:ind w:hanging="0" w:start="0"/>
        <w:jc w:val="both"/>
        <w:rPr>
          <w:b/>
        </w:rPr>
      </w:pPr>
      <w:r>
        <w:rPr>
          <w:b/>
        </w:rPr>
        <w:t>Specific Comments</w:t>
      </w:r>
    </w:p>
    <w:p>
      <w:pPr>
        <w:pStyle w:val="Normal"/>
        <w:jc w:val="both"/>
        <w:rPr>
          <w:rFonts w:ascii="Arial" w:hAnsi="Arial" w:cs="Arial"/>
          <w:b/>
        </w:rPr>
      </w:pPr>
      <w:r>
        <w:rPr>
          <w:rFonts w:cs="Arial" w:ascii="Arial" w:hAnsi="Arial"/>
          <w:b/>
        </w:rPr>
      </w:r>
    </w:p>
    <w:p>
      <w:pPr>
        <w:pStyle w:val="Heading2"/>
        <w:ind w:hanging="0" w:start="0"/>
        <w:rPr/>
      </w:pPr>
      <w:r>
        <w:rPr/>
        <w:t>Section 1. Definitions</w:t>
      </w:r>
    </w:p>
    <w:p>
      <w:pPr>
        <w:pStyle w:val="Normal"/>
        <w:jc w:val="both"/>
        <w:rPr>
          <w:rFonts w:ascii="Arial" w:hAnsi="Arial" w:cs="Arial"/>
        </w:rPr>
      </w:pPr>
      <w:r>
        <w:rPr>
          <w:rFonts w:cs="Arial" w:ascii="Arial" w:hAnsi="Arial"/>
        </w:rPr>
      </w:r>
    </w:p>
    <w:p>
      <w:pPr>
        <w:pStyle w:val="Normal"/>
        <w:jc w:val="both"/>
        <w:rPr/>
      </w:pPr>
      <w:r>
        <w:rPr>
          <w:rFonts w:cs="Arial" w:ascii="Arial" w:hAnsi="Arial"/>
        </w:rPr>
        <w:t>“</w:t>
      </w:r>
      <w:r>
        <w:rPr>
          <w:rFonts w:cs="Arial" w:ascii="Arial" w:hAnsi="Arial"/>
        </w:rPr>
        <w:t xml:space="preserve">Business Day” – Why limit this just to a day when commercial banks in </w:t>
      </w:r>
      <w:r>
        <w:rPr>
          <w:rFonts w:cs="Arial" w:ascii="Arial" w:hAnsi="Arial"/>
          <w:u w:val="single"/>
        </w:rPr>
        <w:t>NYC</w:t>
      </w:r>
      <w:r>
        <w:rPr>
          <w:rFonts w:cs="Arial" w:ascii="Arial" w:hAnsi="Arial"/>
        </w:rPr>
        <w:t xml:space="preserve"> are open? What if the 2 parties are located and do their banking outside of NYC?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Collateral”- In order to maintain consistency between the EEI and the proposed Annex, should this not be termed “Performance Assurance”? Also, if other collateral could be added (such as Treasuries), what about adding in the concept of “valuation percentage”?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Collateral Threshold”- We need to include that the Threshold for a Party will drop to “0” upon the occurrence and continuance of a Downgrade Event with respect to that Party.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Independent Amount”- This concept is missing from the draft.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Letter of Credit” – We would rather have a separate definition for this rather than lump it in with the definition of “Collateral”. In addition, we would want to remove the subjective element present in the current definition and provide that the issuer of an LC would be considered acceptable if it is a major US commercial or foreign bank with a US branch office with a Credit Rating of at least A-/A3.  We would also want to amend the time frame for the remaining life left on a LC from 15 days to 20 Business Days. Lastly, let’s consider whether we should attach to the Annex an exhibit of an acceptable LC and more specific LC provisions.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Mark-To-Market Value”: This definition presents several issues. One is the uncertainty as to what “out-of-the-money” amount means. It would be preferable instead to bring in the concept of Termination Payment from the EEI and let that serve as the measure to which a party is “exposed”. It is key to be able to include receivables.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Minimum Transfer Amount”- This definition needs to be revised by moving the language relating to an Event of Default bringing the number to “0” to the end of the definition of Collateral Threshold.  It makes no sense for the MTA to go to “0” if an Event of Default occurs.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MTM Calculation Date”- Who is the “Counterparty” referred to herein?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Notification Time” – In the ISDA CSA, we specify that this is 10 a.m. NY time (MS has proposed 5 p.m. NY time).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Pledgor/Pledgee” – I am not sure these definitions work given our concern with the definition of  “Mark-to-Market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Reference Market-Maker”- The second sentence should be moved to the Dispute Resolution section. It does not fit here.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Valuation Agent”: In order to avoid a battle each time an EEI is negotiated, it would be sensible to provide (like the ISDA CSA does) that the Pledgee shall act as the Valuation Agent.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Valuation Time”- This concept is missing from the draft.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2. Security Interest</w:t>
      </w:r>
      <w:r>
        <w:rPr>
          <w:rFonts w:cs="Arial" w:ascii="Arial" w:hAnsi="Arial"/>
        </w:rPr>
        <w:t xml:space="preserve">: This language essentially repeats the language contained in Article 8.3 of the EEI.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3. Calculations and Determinations</w:t>
      </w:r>
      <w:r>
        <w:rPr>
          <w:rFonts w:cs="Arial" w:ascii="Arial" w:hAnsi="Arial"/>
        </w:rPr>
        <w:t xml:space="preserve">: We would want to add that the Valuation should be made as of a standardized time/time zone.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4. Delivery of Collateral</w:t>
      </w:r>
      <w:r>
        <w:rPr>
          <w:rFonts w:cs="Arial" w:ascii="Arial" w:hAnsi="Arial"/>
        </w:rPr>
        <w:t xml:space="preserve">: Need to clarify the language and spell out (a) what happens if the Pledgor receives notice </w:t>
      </w:r>
      <w:r>
        <w:rPr>
          <w:rFonts w:cs="Arial" w:ascii="Arial" w:hAnsi="Arial"/>
          <w:u w:val="single"/>
        </w:rPr>
        <w:t>by</w:t>
      </w:r>
      <w:r>
        <w:rPr>
          <w:rFonts w:cs="Arial" w:ascii="Arial" w:hAnsi="Arial"/>
        </w:rPr>
        <w:t xml:space="preserve"> the Notification Time and (b) what happens if the Pledgor receives notice </w:t>
      </w:r>
      <w:r>
        <w:rPr>
          <w:rFonts w:cs="Arial" w:ascii="Arial" w:hAnsi="Arial"/>
          <w:u w:val="single"/>
        </w:rPr>
        <w:t>after</w:t>
      </w:r>
      <w:r>
        <w:rPr>
          <w:rFonts w:cs="Arial" w:ascii="Arial" w:hAnsi="Arial"/>
        </w:rPr>
        <w:t xml:space="preserve"> the Notification Time.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5.</w:t>
      </w:r>
      <w:r>
        <w:rPr>
          <w:rFonts w:cs="Arial" w:ascii="Arial" w:hAnsi="Arial"/>
        </w:rPr>
        <w:t xml:space="preserve"> </w:t>
      </w:r>
      <w:r>
        <w:rPr>
          <w:rFonts w:cs="Arial" w:ascii="Arial" w:hAnsi="Arial"/>
          <w:u w:val="single"/>
        </w:rPr>
        <w:t>Return of Additional Collateral</w:t>
      </w:r>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 xml:space="preserve">The second sentence in 5 (a) needs to be merged with the first so that it is made clear that it is the </w:t>
      </w:r>
      <w:r>
        <w:rPr>
          <w:rFonts w:cs="Arial" w:ascii="Arial" w:hAnsi="Arial"/>
          <w:u w:val="single"/>
        </w:rPr>
        <w:t>Return Amount</w:t>
      </w:r>
      <w:r>
        <w:rPr>
          <w:rFonts w:cs="Arial" w:ascii="Arial" w:hAnsi="Arial"/>
        </w:rPr>
        <w:t xml:space="preserve"> that is “rounded down” to the next integral multiple of the Rounding Amount.</w:t>
      </w:r>
    </w:p>
    <w:p>
      <w:pPr>
        <w:pStyle w:val="Normal"/>
        <w:numPr>
          <w:ilvl w:val="0"/>
          <w:numId w:val="6"/>
        </w:numPr>
        <w:jc w:val="both"/>
        <w:rPr>
          <w:rFonts w:ascii="Arial" w:hAnsi="Arial" w:cs="Arial"/>
        </w:rPr>
      </w:pPr>
      <w:r>
        <w:rPr>
          <w:rFonts w:cs="Arial" w:ascii="Arial" w:hAnsi="Arial"/>
        </w:rPr>
        <w:t xml:space="preserve">Also in 5(a), why treat the return of Cash Collateral differently than the return of other collateral?  </w:t>
      </w:r>
    </w:p>
    <w:p>
      <w:pPr>
        <w:pStyle w:val="Normal"/>
        <w:numPr>
          <w:ilvl w:val="0"/>
          <w:numId w:val="6"/>
        </w:numPr>
        <w:jc w:val="both"/>
        <w:rPr>
          <w:rFonts w:ascii="Arial" w:hAnsi="Arial" w:cs="Arial"/>
        </w:rPr>
      </w:pPr>
      <w:r>
        <w:rPr>
          <w:rFonts w:cs="Arial" w:ascii="Arial" w:hAnsi="Arial"/>
        </w:rPr>
        <w:t>In 5(b), we need to include a time frame for the Pledgee to return the collateral once it has received the substitute collateral.</w:t>
      </w:r>
    </w:p>
    <w:p>
      <w:pPr>
        <w:pStyle w:val="Normal"/>
        <w:numPr>
          <w:ilvl w:val="0"/>
          <w:numId w:val="6"/>
        </w:numPr>
        <w:jc w:val="both"/>
        <w:rPr>
          <w:rFonts w:ascii="Arial" w:hAnsi="Arial" w:cs="Arial"/>
        </w:rPr>
      </w:pPr>
      <w:r>
        <w:rPr>
          <w:rFonts w:cs="Arial" w:ascii="Arial" w:hAnsi="Arial"/>
        </w:rPr>
        <w:t>In 5(c), the last sentence regarding the Pledgor providing the Pledgee with a receipt is a new concept.   We need to consider if this is feasible/reasonable.</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6.</w:t>
      </w:r>
      <w:r>
        <w:rPr>
          <w:rFonts w:cs="Arial" w:ascii="Arial" w:hAnsi="Arial"/>
        </w:rPr>
        <w:t xml:space="preserve"> </w:t>
      </w:r>
      <w:r>
        <w:rPr>
          <w:rFonts w:cs="Arial" w:ascii="Arial" w:hAnsi="Arial"/>
          <w:u w:val="single"/>
        </w:rPr>
        <w:t>Administration of Collateral</w:t>
      </w:r>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2"/>
        </w:numPr>
        <w:ind w:hanging="0" w:start="360" w:end="0"/>
        <w:jc w:val="both"/>
        <w:rPr>
          <w:rFonts w:ascii="Arial" w:hAnsi="Arial" w:cs="Arial"/>
        </w:rPr>
      </w:pPr>
      <w:r>
        <w:rPr>
          <w:rFonts w:cs="Arial" w:ascii="Arial" w:hAnsi="Arial"/>
        </w:rPr>
        <w:t xml:space="preserve">Paragraph 6(a) provides that the Pledgor is not entitled to receive any interest or dividends with respect to the Cash Collateral. I was not aware that Cash Collateral paid “dividends”. </w:t>
      </w:r>
    </w:p>
    <w:p>
      <w:pPr>
        <w:pStyle w:val="Normal"/>
        <w:numPr>
          <w:ilvl w:val="0"/>
          <w:numId w:val="2"/>
        </w:numPr>
        <w:ind w:hanging="0" w:start="360" w:end="0"/>
        <w:jc w:val="both"/>
        <w:rPr>
          <w:rFonts w:ascii="Arial" w:hAnsi="Arial" w:cs="Arial"/>
        </w:rPr>
      </w:pPr>
      <w:r>
        <w:rPr>
          <w:rFonts w:cs="Arial" w:ascii="Arial" w:hAnsi="Arial"/>
        </w:rPr>
        <w:t>Also with regard to Paragraph 6(a), we need to insert a proviso at the beginning of the sentence to the effect of “so long as the Pledgee is not a Defaulting Party and no Early Termination Date has occurred with respect to the Pledgee, Pledgee would have the right to use the collateral...”.</w:t>
      </w:r>
    </w:p>
    <w:p>
      <w:pPr>
        <w:pStyle w:val="Normal"/>
        <w:numPr>
          <w:ilvl w:val="0"/>
          <w:numId w:val="2"/>
        </w:numPr>
        <w:ind w:hanging="0" w:start="360" w:end="0"/>
        <w:jc w:val="both"/>
        <w:rPr>
          <w:rFonts w:ascii="Arial" w:hAnsi="Arial" w:cs="Arial"/>
        </w:rPr>
      </w:pPr>
      <w:r>
        <w:rPr>
          <w:rFonts w:cs="Arial" w:ascii="Arial" w:hAnsi="Arial"/>
        </w:rPr>
        <w:t>With respect to Paragraph 6(b), we need to clarify in more detail the standard of reasonable care and well as the role/qualifications of a Custodian.</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7.</w:t>
      </w:r>
      <w:r>
        <w:rPr>
          <w:rFonts w:cs="Arial" w:ascii="Arial" w:hAnsi="Arial"/>
        </w:rPr>
        <w:t xml:space="preserve"> </w:t>
      </w:r>
      <w:r>
        <w:rPr>
          <w:rFonts w:cs="Arial" w:ascii="Arial" w:hAnsi="Arial"/>
          <w:u w:val="single"/>
        </w:rPr>
        <w:t>Exercise of Rights Against Collateral</w:t>
      </w:r>
      <w:r>
        <w:rPr>
          <w:rFonts w:cs="Arial" w:ascii="Arial" w:hAnsi="Arial"/>
        </w:rPr>
        <w:t>: A major chunk is missing from this section, namely what are the Pledgor’s rights and remedies should an Event of Default/Potential Event of Default occur with respect to the Pledgee? Basically 7(a) needs to be replicated for the Pledgor.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8.</w:t>
      </w:r>
      <w:r>
        <w:rPr>
          <w:rFonts w:cs="Arial" w:ascii="Arial" w:hAnsi="Arial"/>
        </w:rPr>
        <w:t xml:space="preserve"> </w:t>
      </w:r>
      <w:r>
        <w:rPr>
          <w:rFonts w:cs="Arial" w:ascii="Arial" w:hAnsi="Arial"/>
          <w:u w:val="single"/>
        </w:rPr>
        <w:t>Disputes</w:t>
      </w:r>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The whole procedure regarding the involvement of the Reference Market-Makers needs to be closely looked at.</w:t>
      </w:r>
    </w:p>
    <w:p>
      <w:pPr>
        <w:pStyle w:val="Normal"/>
        <w:numPr>
          <w:ilvl w:val="0"/>
          <w:numId w:val="5"/>
        </w:numPr>
        <w:jc w:val="both"/>
        <w:rPr>
          <w:rFonts w:ascii="Arial" w:hAnsi="Arial" w:cs="Arial"/>
        </w:rPr>
      </w:pPr>
      <w:r>
        <w:rPr>
          <w:rFonts w:cs="Arial" w:ascii="Arial" w:hAnsi="Arial"/>
        </w:rPr>
        <w:t>The time period for the parties to resolve disputes is extremely short (1 Business Day). Our ISDA CSA provides for 3 Business Days following the day on which the disputed notice was given.</w:t>
      </w:r>
    </w:p>
    <w:p>
      <w:pPr>
        <w:pStyle w:val="Normal"/>
        <w:numPr>
          <w:ilvl w:val="0"/>
          <w:numId w:val="5"/>
        </w:numPr>
        <w:jc w:val="both"/>
        <w:rPr>
          <w:rFonts w:ascii="Arial" w:hAnsi="Arial" w:cs="Arial"/>
        </w:rPr>
      </w:pPr>
      <w:r>
        <w:rPr>
          <w:rFonts w:cs="Arial" w:ascii="Arial" w:hAnsi="Arial"/>
        </w:rPr>
        <w:t xml:space="preserve">I am not sure what “Option C” is trying to accomplish.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9. Covenants</w:t>
      </w:r>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Paragraph (c) is unusual in that it provides that on “each day that the Collateral is held”, the Pledgor makes certain representations and warranties. Normally, these are made only as of the date the Collateral is transferred.</w:t>
      </w:r>
    </w:p>
    <w:p>
      <w:pPr>
        <w:pStyle w:val="Normal"/>
        <w:numPr>
          <w:ilvl w:val="0"/>
          <w:numId w:val="3"/>
        </w:numPr>
        <w:jc w:val="both"/>
        <w:rPr>
          <w:rFonts w:ascii="Arial" w:hAnsi="Arial" w:cs="Arial"/>
        </w:rPr>
      </w:pPr>
      <w:r>
        <w:rPr>
          <w:rFonts w:cs="Arial" w:ascii="Arial" w:hAnsi="Arial"/>
        </w:rPr>
        <w:t xml:space="preserve">Why have 9(c)(iii) if you have 9(c)(ii)? </w:t>
      </w:r>
    </w:p>
    <w:p>
      <w:pPr>
        <w:pStyle w:val="Normal"/>
        <w:numPr>
          <w:ilvl w:val="0"/>
          <w:numId w:val="3"/>
        </w:numPr>
        <w:jc w:val="both"/>
        <w:rPr>
          <w:rFonts w:ascii="Arial" w:hAnsi="Arial" w:cs="Arial"/>
        </w:rPr>
      </w:pPr>
      <w:r>
        <w:rPr>
          <w:rFonts w:cs="Arial" w:ascii="Arial" w:hAnsi="Arial"/>
        </w:rPr>
        <w:t>Paragraph 9(e) probably goes further than we would want – especially the last sentence.</w:t>
      </w:r>
    </w:p>
    <w:p>
      <w:pPr>
        <w:pStyle w:val="Normal"/>
        <w:numPr>
          <w:ilvl w:val="0"/>
          <w:numId w:val="3"/>
        </w:numPr>
        <w:jc w:val="both"/>
        <w:rPr>
          <w:rFonts w:ascii="Arial" w:hAnsi="Arial" w:cs="Arial"/>
        </w:rPr>
      </w:pPr>
      <w:r>
        <w:rPr>
          <w:rFonts w:cs="Arial" w:ascii="Arial" w:hAnsi="Arial"/>
        </w:rPr>
        <w:t xml:space="preserve">Paragraph 9(j) is not needed if this is only meant to be an “annex” to the EEI Master Agreement. If it were removed, then the Governing Law and Jurisdiction would be as specified in the EEI Master.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These are the bulk of Enron’s comments but we may make additional comments at the proposed meeting.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Shari Stack:  (713) 853-9477</w:t>
      </w:r>
    </w:p>
    <w:p>
      <w:pPr>
        <w:pStyle w:val="Normal"/>
        <w:jc w:val="both"/>
        <w:rPr>
          <w:rFonts w:ascii="Arial" w:hAnsi="Arial" w:cs="Arial"/>
        </w:rPr>
      </w:pPr>
      <w:r>
        <w:rPr>
          <w:rFonts w:cs="Arial" w:ascii="Arial" w:hAnsi="Arial"/>
        </w:rPr>
        <w:t xml:space="preserve">Legal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Tracy Ngo:   (503) 464-8755 </w:t>
      </w:r>
    </w:p>
    <w:p>
      <w:pPr>
        <w:pStyle w:val="Normal"/>
        <w:jc w:val="both"/>
        <w:rPr>
          <w:rFonts w:ascii="Arial" w:hAnsi="Arial" w:cs="Arial"/>
        </w:rPr>
      </w:pPr>
      <w:r>
        <w:rPr>
          <w:rFonts w:cs="Arial" w:ascii="Arial" w:hAnsi="Arial"/>
        </w:rPr>
        <w:t>Credit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lowerLetter"/>
      <w:lvlText w:val="%1)"/>
      <w:lvlJc w:val="start"/>
      <w:pPr>
        <w:tabs>
          <w:tab w:val="num" w:pos="810"/>
        </w:tabs>
        <w:ind w:start="810" w:hanging="360"/>
      </w:pPr>
      <w:rPr/>
    </w:lvl>
  </w:abstractNum>
  <w:abstractNum w:abstractNumId="7">
    <w:lvl w:ilvl="0">
      <w:start w:val="1"/>
      <w:numFmt w:val="lowerLetter"/>
      <w:lvlText w:val="(%1)"/>
      <w:lvlJc w:val="start"/>
      <w:pPr>
        <w:tabs>
          <w:tab w:val="num" w:pos="72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jc w:val="both"/>
      <w:outlineLvl w:val="1"/>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2001-01-19T20:00:00Z</dcterms:created>
  <dc:creator>sstack</dc:creator>
  <dc:description/>
  <dc:language>en-CA</dc:language>
  <cp:lastModifiedBy>sstack</cp:lastModifiedBy>
  <cp:lastPrinted>2000-12-13T18:35:00Z</cp:lastPrinted>
  <dcterms:modified xsi:type="dcterms:W3CDTF">2001-01-19T20:13:00Z</dcterms:modified>
  <cp:revision>3</cp:revision>
  <dc:subject/>
  <dc:title>Enron comments to the draft Morgan Stanley Collateral Annex</dc:title>
</cp:coreProperties>
</file>