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"/>
        <w:gridCol w:w="1666"/>
        <w:gridCol w:w="1418"/>
        <w:gridCol w:w="1609"/>
        <w:gridCol w:w="1586"/>
        <w:gridCol w:w="2181"/>
      </w:tblGrid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Agreement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Collateral Agreement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Permitted Collateral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Rehypothecation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of America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eff. 2/28/92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Annex A - Collateral and Exposure Provisions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Cash; Book Entry T-Bills (31 CFR 350.1(b); Book Entry Treasury Securities (31 CFR 306.115(d)); L/C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No; Par. VII(b) Cash Equivalent Securities must be held in custody at FRB; Par. VII(d) gives exposed party a security interest until rights exercised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of Montreal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eff. 11/15/96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CSA dated 2/4/98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T-Bills (98%); L/C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Yes; Par. 6(c) applies</w:t>
            </w:r>
          </w:p>
          <w:p>
            <w:pPr>
              <w:pStyle w:val="Normal"/>
              <w:rPr/>
            </w:pPr>
            <w:r>
              <w:rPr/>
              <w:t>NOTE:  Need amendment to permit posting of cash (BOM request)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Citibank, N.A.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eff. 11/17/92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Annex A - Collateral and Exposure Provisions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Cash; T-Bills; L/C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Yes; Par. VII(b) Use of Collateral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Aron &amp; Company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eff. 8/14/94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CSA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Cash; T-Bills (99.5%); L/C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Yes: Par. 6(c) Use of Posted Collateral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 Capital Group Inc.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Energy Price Swap Agreement eff. 6/16/92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Annex A – Collateral and Exposure Provisions added 10/19/95 (Third Amendment)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Cash; T-Bills; L/C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Yes; Par. 6(b) Use of Collateral</w:t>
            </w:r>
          </w:p>
        </w:tc>
      </w:tr>
    </w:tbl>
    <w:p>
      <w:pPr>
        <w:pStyle w:val="Normal"/>
        <w:rPr/>
      </w:pPr>
      <w:r>
        <w:rPr/>
        <w:fldChar w:fldCharType="begin"/>
      </w:r>
      <w:r>
        <w:rPr/>
        <w:instrText xml:space="preserve"> FILENAME \p </w:instrText>
      </w:r>
      <w:r>
        <w:rPr/>
        <w:fldChar w:fldCharType="separate"/>
      </w:r>
      <w:r>
        <w:rPr/>
        <w:t>/mnt/main-storage/datasets/enron-docs/doc/CollateralRehypothecation.doc</w:t>
      </w:r>
      <w:r>
        <w:rPr/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2000-12-04T16:21:00Z</dcterms:created>
  <dc:creator>sshackl</dc:creator>
  <dc:description/>
  <dc:language>en-CA</dc:language>
  <cp:lastModifiedBy>sshackl</cp:lastModifiedBy>
  <dcterms:modified xsi:type="dcterms:W3CDTF">2000-12-04T21:11:00Z</dcterms:modified>
  <cp:revision>14</cp:revision>
  <dc:subject/>
  <dc:title>Counterparty</dc:title>
</cp:coreProperties>
</file>