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August 16, 1999</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Coleman Oil &amp; Gas, Inc.</w:t>
      </w:r>
    </w:p>
    <w:p>
      <w:pPr>
        <w:pStyle w:val="Normal"/>
        <w:rPr>
          <w:sz w:val="22"/>
        </w:rPr>
      </w:pPr>
      <w:r>
        <w:rPr>
          <w:sz w:val="22"/>
        </w:rPr>
        <w:t>1610 Wynkoop Street, Suite 550</w:t>
      </w:r>
    </w:p>
    <w:p>
      <w:pPr>
        <w:pStyle w:val="Normal"/>
        <w:rPr>
          <w:sz w:val="22"/>
        </w:rPr>
      </w:pPr>
      <w:r>
        <w:rPr>
          <w:sz w:val="22"/>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Pending the preparation and execution of definitive agreements, this letter will confirm our understanding regarding the proposed arrangements pursuant to which Coleman Oil &amp; Gas (“Coleman”) and Enron Capital &amp; Trade Resources Corp., Enron Midstream Services, L.L.C. or their designees ("</w:t>
      </w:r>
      <w:r>
        <w:rPr>
          <w:sz w:val="22"/>
          <w:u w:val="single"/>
        </w:rPr>
        <w:t>Enron</w:t>
      </w:r>
      <w:r>
        <w:rPr>
          <w:sz w:val="22"/>
        </w:rPr>
        <w:t>") would enter into a gas purchase and field services agreement for coal bed methane gas reserves located 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The Transactions shall be generally undertaken in accordance with this letter and the Purchase and Field Services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Coleman and ECT shall endeavor to incorporate the terms and conditions expressed in this letter and the Proposal 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15, 1999 (the “</w:t>
      </w:r>
      <w:r>
        <w:rPr>
          <w:sz w:val="22"/>
          <w:u w:val="single"/>
        </w:rPr>
        <w:t>Closing Date</w:t>
      </w:r>
      <w:r>
        <w:rPr>
          <w:sz w:val="22"/>
        </w:rPr>
        <w:t>").  In the event that Coleman and ECT are unable to execute the Definitive Agreements with respect to a Transaction by the Closing Date, this letter shall be deemed terminated, and neither Coleman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pPr>
      <w:r>
        <w:rPr>
          <w:sz w:val="22"/>
        </w:rPr>
        <w:t>3.</w:t>
        <w:tab/>
      </w:r>
      <w:r>
        <w:rPr>
          <w:b/>
          <w:sz w:val="22"/>
          <w:u w:val="single"/>
        </w:rPr>
        <w:t>Confidentiality</w:t>
      </w:r>
      <w:r>
        <w:rPr>
          <w:sz w:val="22"/>
        </w:rPr>
        <w:t>.  The existence of this letter, the Proposal and their contents are intended to be kept confidential by Coleman and Coleman is not to discuss or disclose the same to any third party, except (i) with the express prior written consent of Enron or (ii) as may be required or appropriate in response to any summons, subpoena or discovery order or to comply with any applicable law, order, regulation or ruling; provided, that Coleman, if required to make any disclosure of this letter, the Proposal or their contents pursuant to this clause, shall take all reasonable steps to prevent further disclosure of such information, to the extent permitted by law.</w:t>
      </w:r>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Coleman hereby agrees to negotiate solely and exclusively with Enron regarding the Transaction and the subject matter of the Proposal from the date hereof through the Closing Date.</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August ___,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r>
    </w:p>
    <w:p>
      <w:pPr>
        <w:pStyle w:val="Normal"/>
        <w:keepNext w:val="true"/>
        <w:keepLines/>
        <w:tabs>
          <w:tab w:val="clear" w:pos="720"/>
          <w:tab w:val="right" w:pos="9360" w:leader="none"/>
        </w:tabs>
        <w:ind w:start="4320" w:end="0"/>
        <w:jc w:val="both"/>
        <w:rPr>
          <w:b/>
          <w:sz w:val="22"/>
        </w:rPr>
      </w:pPr>
      <w:r>
        <w:rPr>
          <w:b/>
          <w:sz w:val="22"/>
        </w:rPr>
        <w:t>ENRON MIDSTREAM SERVICES, L.L.C.</w:t>
      </w:r>
    </w:p>
    <w:p>
      <w:pPr>
        <w:pStyle w:val="Normal"/>
        <w:keepNext w:val="true"/>
        <w:keepLines/>
        <w:tabs>
          <w:tab w:val="clear" w:pos="720"/>
          <w:tab w:val="right" w:pos="9360" w:leader="none"/>
        </w:tabs>
        <w:ind w:start="5040" w:end="0"/>
        <w:jc w:val="both"/>
        <w:rPr>
          <w:b/>
          <w:sz w:val="22"/>
        </w:rPr>
      </w:pPr>
      <w:r>
        <w:rPr>
          <w:b/>
          <w:sz w:val="22"/>
        </w:rPr>
        <w:t>By Enron Capital &amp; Trade Resources Corp. its Managing Member</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COLEMAN OIL &amp; GAS, INC.</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Coleman Oil &amp; Gas, Inc.</w:t>
    </w:r>
  </w:p>
  <w:p>
    <w:pPr>
      <w:pStyle w:val="Header"/>
      <w:rPr>
        <w:sz w:val="22"/>
      </w:rPr>
    </w:pPr>
    <w:r>
      <w:rPr>
        <w:sz w:val="22"/>
      </w:rPr>
      <w:t>August 16,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1999-08-16T19:07:00Z</dcterms:created>
  <dc:creator>Daniel J. Hyvl</dc:creator>
  <dc:description/>
  <dc:language>en-CA</dc:language>
  <cp:lastModifiedBy>gnemec</cp:lastModifiedBy>
  <cp:lastPrinted>1999-07-02T08:52:00Z</cp:lastPrinted>
  <dcterms:modified xsi:type="dcterms:W3CDTF">1999-08-16T19:55:00Z</dcterms:modified>
  <cp:revision>7</cp:revision>
  <dc:subject/>
  <dc:title>November 10, 1997</dc:title>
</cp:coreProperties>
</file>