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Coleman Oil &amp; Gas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Coleman Oil &amp; Gas, Inc. (“</w:t>
      </w:r>
      <w:r>
        <w:rPr>
          <w:u w:val="single"/>
        </w:rPr>
        <w:t>Coleman</w:t>
      </w:r>
      <w:r>
        <w:rPr/>
        <w:t>”) dated February 1, 2000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Coleman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/mnt/main-storage/datasets/enron-docs/doc/Coleman_Renegotiation-a730a933144c8f318aed0ab6927b3b9a2f6254c2dce652f4e6bf62f30c4da4f6.doc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2001-09-19T14:05:00Z</dcterms:created>
  <dc:creator>jrozycki</dc:creator>
  <dc:description/>
  <dc:language>en-CA</dc:language>
  <cp:lastModifiedBy>jrozycki</cp:lastModifiedBy>
  <cp:lastPrinted>2001-09-19T11:35:00Z</cp:lastPrinted>
  <dcterms:modified xsi:type="dcterms:W3CDTF">2001-09-19T14:05:00Z</dcterms:modified>
  <cp:revision>2</cp:revision>
  <dc:subject/>
  <dc:title>[date]</dc:title>
</cp:coreProperties>
</file>