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3744"/>
        <w:gridCol w:w="1232"/>
        <w:gridCol w:w="307"/>
        <w:gridCol w:w="514"/>
        <w:gridCol w:w="2087"/>
      </w:tblGrid>
      <w:tr>
        <w:trPr>
          <w:trHeight w:val="320" w:hRule="atLeas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3744" w:type="dxa"/>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3744" w:type="dxa"/>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Nancy Bagot</w:t>
            </w:r>
          </w:p>
        </w:tc>
        <w:tc>
          <w:tcPr>
            <w:tcW w:w="1539" w:type="dxa"/>
            <w:gridSpan w:val="2"/>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641"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3744" w:type="dxa"/>
            <w:tcBorders/>
          </w:tcPr>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Columbia Gas Auction</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Technical Conference, RP00-347</w:t>
            </w:r>
          </w:p>
        </w:tc>
        <w:tc>
          <w:tcPr>
            <w:tcW w:w="1232" w:type="dxa"/>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September 15, 2000</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Normal"/>
        <w:spacing w:lineRule="atLeast" w:line="240"/>
        <w:rPr>
          <w:rFonts w:ascii="Helv;Arial" w:hAnsi="Helv;Arial" w:eastAsia="Helv;Arial" w:cs="Helv;Arial"/>
          <w:color w:val="000000"/>
          <w:sz w:val="22"/>
          <w:szCs w:val="22"/>
        </w:rPr>
      </w:pPr>
      <w:r>
        <w:rPr>
          <w:rFonts w:eastAsia="Helv;Arial" w:cs="Helv;Arial" w:ascii="Helv;Arial" w:hAnsi="Helv;Arial"/>
          <w:color w:val="000000"/>
          <w:sz w:val="22"/>
          <w:szCs w:val="22"/>
        </w:rPr>
      </w:r>
    </w:p>
    <w:p>
      <w:pPr>
        <w:pStyle w:val="Normal"/>
        <w:spacing w:lineRule="atLeast" w:line="240"/>
        <w:rPr>
          <w:rFonts w:ascii="Tms Rmn;Times New Roman" w:hAnsi="Tms Rmn;Times New Roman" w:eastAsia="Tms Rmn;Times New Roman" w:cs="Tms Rmn;Times New Roman"/>
          <w:color w:val="000000"/>
          <w:sz w:val="24"/>
          <w:szCs w:val="24"/>
        </w:rPr>
      </w:pPr>
      <w:r>
        <w:rPr>
          <w:rFonts w:eastAsia="Tms Rmn;Times New Roman" w:cs="Tms Rmn;Times New Roman" w:ascii="Tms Rmn;Times New Roman" w:hAnsi="Tms Rmn;Times New Roman"/>
          <w:color w:val="000000"/>
          <w:sz w:val="24"/>
          <w:szCs w:val="24"/>
        </w:rPr>
        <w:t>On September 14, FERC held a technical conference on Columbia Gas Transmission’s proposed interactive auction for both short and long-term primary firm capacity.  Columbia is proposing to post short term capacity packages for one hour before interactive bidding begins, and for five days for long term capacity.  Bids are evaluated and any that match Columbia’s terms are awarded on a pro rata basis.  Capacity packages not awarded during that time then go to an interactive auction that runs from 9:15 a.m. through 4:00 p.m. (eastern time).</w:t>
      </w:r>
    </w:p>
    <w:p>
      <w:pPr>
        <w:pStyle w:val="Normal"/>
        <w:spacing w:lineRule="atLeast" w:line="240"/>
        <w:rPr>
          <w:rFonts w:ascii="Tms Rmn;Times New Roman" w:hAnsi="Tms Rmn;Times New Roman" w:eastAsia="Tms Rmn;Times New Roman" w:cs="Tms Rmn;Times New Roman"/>
          <w:color w:val="000000"/>
          <w:sz w:val="24"/>
          <w:szCs w:val="24"/>
        </w:rPr>
      </w:pPr>
      <w:r>
        <w:rPr>
          <w:rFonts w:eastAsia="Tms Rmn;Times New Roman" w:cs="Tms Rmn;Times New Roman" w:ascii="Tms Rmn;Times New Roman" w:hAnsi="Tms Rmn;Times New Roman"/>
          <w:color w:val="000000"/>
          <w:sz w:val="24"/>
          <w:szCs w:val="24"/>
        </w:rPr>
      </w:r>
    </w:p>
    <w:p>
      <w:pPr>
        <w:pStyle w:val="Normal"/>
        <w:spacing w:lineRule="atLeast" w:line="240"/>
        <w:rPr>
          <w:rFonts w:ascii="Tms Rmn;Times New Roman" w:hAnsi="Tms Rmn;Times New Roman" w:eastAsia="Tms Rmn;Times New Roman" w:cs="Tms Rmn;Times New Roman"/>
          <w:color w:val="000000"/>
          <w:sz w:val="24"/>
          <w:szCs w:val="24"/>
        </w:rPr>
      </w:pPr>
      <w:r>
        <w:rPr>
          <w:rFonts w:eastAsia="Tms Rmn;Times New Roman" w:cs="Tms Rmn;Times New Roman" w:ascii="Tms Rmn;Times New Roman" w:hAnsi="Tms Rmn;Times New Roman"/>
          <w:color w:val="000000"/>
          <w:sz w:val="24"/>
          <w:szCs w:val="24"/>
        </w:rPr>
        <w:t xml:space="preserve">At the conference, customers and FERC staff aired concerns about Columbia’s proposal.  Though the bidding is blind, staff is uneasy about affiliate interaction with Columbia "off the board."  There were also questions about offering both short and long-term capacity in the same forum, which might introduce the volatility of short term bidding to the long term market.  Both FERC staff and customers had concerns about "forcing" small customers into a sophisticated online trading environment with attendant monitoring needs.   </w:t>
      </w:r>
    </w:p>
    <w:p>
      <w:pPr>
        <w:pStyle w:val="Normal"/>
        <w:spacing w:lineRule="atLeast" w:line="240"/>
        <w:rPr>
          <w:rFonts w:ascii="Tms Rmn;Times New Roman" w:hAnsi="Tms Rmn;Times New Roman" w:eastAsia="Tms Rmn;Times New Roman" w:cs="Tms Rmn;Times New Roman"/>
          <w:color w:val="000000"/>
          <w:sz w:val="24"/>
          <w:szCs w:val="24"/>
        </w:rPr>
      </w:pPr>
      <w:r>
        <w:rPr>
          <w:rFonts w:eastAsia="Tms Rmn;Times New Roman" w:cs="Tms Rmn;Times New Roman" w:ascii="Tms Rmn;Times New Roman" w:hAnsi="Tms Rmn;Times New Roman"/>
          <w:color w:val="000000"/>
          <w:sz w:val="24"/>
          <w:szCs w:val="24"/>
        </w:rPr>
      </w:r>
    </w:p>
    <w:p>
      <w:pPr>
        <w:pStyle w:val="Normal"/>
        <w:spacing w:lineRule="atLeast" w:line="240"/>
        <w:rPr>
          <w:rFonts w:ascii="Tms Rmn;Times New Roman" w:hAnsi="Tms Rmn;Times New Roman" w:eastAsia="Tms Rmn;Times New Roman" w:cs="Tms Rmn;Times New Roman"/>
          <w:color w:val="000000"/>
          <w:sz w:val="24"/>
          <w:szCs w:val="24"/>
        </w:rPr>
      </w:pPr>
      <w:r>
        <w:rPr>
          <w:rFonts w:eastAsia="Tms Rmn;Times New Roman" w:cs="Tms Rmn;Times New Roman" w:ascii="Tms Rmn;Times New Roman" w:hAnsi="Tms Rmn;Times New Roman"/>
          <w:color w:val="000000"/>
          <w:sz w:val="24"/>
          <w:szCs w:val="24"/>
        </w:rPr>
        <w:t>Customers, primarily LDCs, raised issues of possible gaming of the auction by Columbia, affiliates and marketers.  There was also strong opposition to shortened ROFR periods and unfair competition to customers’ capacity release from the real-time primary firm auction.  To address staff and customer concerns, Columbia will file a modified auction proposal by October 6 and a follow-up technical conference will be held on October 17 to discuss those modifications.</w:t>
      </w:r>
    </w:p>
    <w:p>
      <w:pPr>
        <w:pStyle w:val="Normal"/>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 w:name="Helv">
    <w:altName w:val="Arial"/>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ColGasAuc.doc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Header"/>
      <w:rPr>
        <w:rStyle w:val="PageNumber"/>
      </w:rPr>
    </w:pPr>
    <w:r>
      <w:rPr/>
    </w:r>
  </w:p>
  <w:p>
    <w:pPr>
      <w:pStyle w:val="Header"/>
      <w:rPr>
        <w:rStyle w:val="PageNumb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2000-09-15T15:15:00Z</dcterms:created>
  <dc:creator>Jan Butler</dc:creator>
  <dc:description/>
  <dc:language>en-CA</dc:language>
  <cp:lastModifiedBy>Janet Butler</cp:lastModifiedBy>
  <cp:lastPrinted>2000-08-24T15:46:00Z</cp:lastPrinted>
  <dcterms:modified xsi:type="dcterms:W3CDTF">2000-09-15T15:15:00Z</dcterms:modified>
  <cp:revision>2</cp:revision>
  <dc:subject/>
  <dc:title>DRAFT</dc:title>
</cp:coreProperties>
</file>