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8"/>
        </w:rPr>
      </w:pPr>
      <w:r>
        <w:rPr>
          <w:sz w:val="48"/>
        </w:rPr>
        <w:t>GPG SAP Coding Block</w:t>
      </w:r>
    </w:p>
    <w:p>
      <w:pPr>
        <w:pStyle w:val="Normal"/>
        <w:rPr>
          <w:sz w:val="48"/>
        </w:rPr>
      </w:pPr>
      <w:r>
        <w:rPr>
          <w:sz w:val="48"/>
        </w:rPr>
      </w:r>
    </w:p>
    <w:p>
      <w:pPr>
        <w:pStyle w:val="Normal"/>
        <w:jc w:val="center"/>
        <w:rPr/>
      </w:pPr>
      <w:r>
        <w:rPr/>
        <w:t>(This information applies to GPG only.  It is primarily an aid in coding invoices.)</w:t>
      </w:r>
    </w:p>
    <w:p>
      <w:pPr>
        <w:pStyle w:val="Normal"/>
        <w:jc w:val="center"/>
        <w:rPr/>
      </w:pPr>
      <w:r>
        <w:rPr/>
        <w:t>Last updated 6/22/2000</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476"/>
        <w:gridCol w:w="1476"/>
        <w:gridCol w:w="1476"/>
        <w:gridCol w:w="1476"/>
        <w:gridCol w:w="1584"/>
        <w:gridCol w:w="1368"/>
      </w:tblGrid>
      <w:tr>
        <w:trPr>
          <w:tblHeader w:val="true"/>
        </w:trPr>
        <w:tc>
          <w:tcPr>
            <w:tcW w:w="1476"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Amount</w:t>
            </w:r>
          </w:p>
          <w:p>
            <w:pPr>
              <w:pStyle w:val="Normal"/>
              <w:jc w:val="center"/>
              <w:rPr>
                <w:sz w:val="28"/>
              </w:rPr>
            </w:pPr>
            <w:r>
              <w:rPr>
                <w:sz w:val="28"/>
              </w:rPr>
              <w:t>R</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GL Co. Number</w:t>
            </w:r>
          </w:p>
          <w:p>
            <w:pPr>
              <w:pStyle w:val="Normal"/>
              <w:jc w:val="center"/>
              <w:rPr>
                <w:sz w:val="28"/>
              </w:rPr>
            </w:pPr>
            <w:r>
              <w:rPr>
                <w:sz w:val="28"/>
              </w:rPr>
              <w:t>R</w:t>
            </w:r>
          </w:p>
          <w:p>
            <w:pPr>
              <w:pStyle w:val="Normal"/>
              <w:jc w:val="center"/>
              <w:rPr>
                <w:sz w:val="28"/>
              </w:rPr>
            </w:pPr>
            <w:r>
              <w:rPr>
                <w:sz w:val="28"/>
              </w:rPr>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Tax Code</w:t>
            </w:r>
          </w:p>
          <w:p>
            <w:pPr>
              <w:pStyle w:val="Normal"/>
              <w:jc w:val="center"/>
              <w:rPr>
                <w:sz w:val="28"/>
              </w:rPr>
            </w:pPr>
            <w:r>
              <w:rPr>
                <w:sz w:val="28"/>
              </w:rPr>
              <w:t>(invoices)</w:t>
            </w:r>
          </w:p>
          <w:p>
            <w:pPr>
              <w:pStyle w:val="Normal"/>
              <w:jc w:val="center"/>
              <w:rPr>
                <w:sz w:val="28"/>
              </w:rPr>
            </w:pPr>
            <w:r>
              <w:rPr>
                <w:sz w:val="28"/>
              </w:rPr>
              <w:t>I</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City/state or outside city</w:t>
            </w:r>
          </w:p>
          <w:p>
            <w:pPr>
              <w:pStyle w:val="Normal"/>
              <w:jc w:val="center"/>
              <w:rPr>
                <w:sz w:val="28"/>
              </w:rPr>
            </w:pPr>
            <w:r>
              <w:rPr>
                <w:sz w:val="28"/>
              </w:rPr>
              <w:t>I</w:t>
            </w:r>
          </w:p>
        </w:tc>
        <w:tc>
          <w:tcPr>
            <w:tcW w:w="1584"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Zip Code Where Consumed</w:t>
            </w:r>
          </w:p>
          <w:p>
            <w:pPr>
              <w:pStyle w:val="Normal"/>
              <w:jc w:val="center"/>
              <w:rPr>
                <w:sz w:val="28"/>
              </w:rPr>
            </w:pPr>
            <w:r>
              <w:rPr>
                <w:sz w:val="28"/>
              </w:rPr>
              <w:t>I</w:t>
            </w:r>
          </w:p>
        </w:tc>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Trading Partner</w:t>
            </w:r>
          </w:p>
          <w:p>
            <w:pPr>
              <w:pStyle w:val="Normal"/>
              <w:jc w:val="center"/>
              <w:rPr>
                <w:sz w:val="28"/>
              </w:rPr>
            </w:pPr>
            <w:r>
              <w:rPr>
                <w:sz w:val="28"/>
              </w:rPr>
              <w:t>I</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rPr>
            </w:pPr>
            <w:r>
              <w:rPr>
                <w:sz w:val="28"/>
              </w:rPr>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GL Account Number</w:t>
            </w:r>
          </w:p>
          <w:p>
            <w:pPr>
              <w:pStyle w:val="Normal"/>
              <w:jc w:val="center"/>
              <w:rPr>
                <w:sz w:val="28"/>
              </w:rPr>
            </w:pPr>
            <w:r>
              <w:rPr>
                <w:sz w:val="28"/>
              </w:rPr>
              <w:t>R</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Cost Center</w:t>
            </w:r>
          </w:p>
          <w:p>
            <w:pPr>
              <w:pStyle w:val="Normal"/>
              <w:jc w:val="center"/>
              <w:rPr>
                <w:sz w:val="28"/>
              </w:rPr>
            </w:pPr>
            <w:r>
              <w:rPr>
                <w:sz w:val="28"/>
              </w:rPr>
              <w:t>C</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Order</w:t>
            </w:r>
          </w:p>
          <w:p>
            <w:pPr>
              <w:pStyle w:val="Normal"/>
              <w:jc w:val="center"/>
              <w:rPr>
                <w:sz w:val="28"/>
              </w:rPr>
            </w:pPr>
            <w:r>
              <w:rPr>
                <w:sz w:val="28"/>
              </w:rPr>
              <w:t>C</w:t>
            </w:r>
          </w:p>
        </w:tc>
        <w:tc>
          <w:tcPr>
            <w:tcW w:w="1584"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WBS Element</w:t>
            </w:r>
          </w:p>
          <w:p>
            <w:pPr>
              <w:pStyle w:val="Normal"/>
              <w:jc w:val="center"/>
              <w:rPr>
                <w:sz w:val="28"/>
              </w:rPr>
            </w:pPr>
            <w:r>
              <w:rPr>
                <w:sz w:val="28"/>
              </w:rPr>
              <w:t>C</w:t>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rPr>
            </w:pPr>
            <w:r>
              <w:rPr>
                <w:sz w:val="28"/>
              </w:rPr>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rPr>
            </w:pPr>
            <w:r>
              <w:rPr>
                <w:sz w:val="28"/>
              </w:rPr>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Network</w:t>
            </w:r>
          </w:p>
          <w:p>
            <w:pPr>
              <w:pStyle w:val="Normal"/>
              <w:jc w:val="center"/>
              <w:rPr>
                <w:sz w:val="28"/>
              </w:rPr>
            </w:pPr>
            <w:r>
              <w:rPr>
                <w:sz w:val="28"/>
              </w:rPr>
              <w:t>N/A</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Activity</w:t>
            </w:r>
          </w:p>
          <w:p>
            <w:pPr>
              <w:pStyle w:val="Normal"/>
              <w:jc w:val="center"/>
              <w:rPr>
                <w:sz w:val="28"/>
              </w:rPr>
            </w:pPr>
            <w:r>
              <w:rPr>
                <w:sz w:val="28"/>
              </w:rPr>
              <w:t>N/A</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Allocation</w:t>
            </w:r>
          </w:p>
          <w:p>
            <w:pPr>
              <w:pStyle w:val="Normal"/>
              <w:jc w:val="center"/>
              <w:rPr>
                <w:sz w:val="28"/>
              </w:rPr>
            </w:pPr>
            <w:r>
              <w:rPr>
                <w:sz w:val="28"/>
              </w:rPr>
              <w:t>N/A</w:t>
            </w:r>
          </w:p>
        </w:tc>
        <w:tc>
          <w:tcPr>
            <w:tcW w:w="1584"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Plant</w:t>
            </w:r>
          </w:p>
          <w:p>
            <w:pPr>
              <w:pStyle w:val="Normal"/>
              <w:jc w:val="center"/>
              <w:rPr>
                <w:sz w:val="28"/>
              </w:rPr>
            </w:pPr>
            <w:r>
              <w:rPr>
                <w:sz w:val="28"/>
              </w:rPr>
              <w:t>N/A</w:t>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rPr>
            </w:pPr>
            <w:r>
              <w:rPr>
                <w:sz w:val="28"/>
              </w:rPr>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rPr>
            </w:pPr>
            <w:r>
              <w:rPr>
                <w:sz w:val="28"/>
              </w:rPr>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Functional Area</w:t>
            </w:r>
          </w:p>
          <w:p>
            <w:pPr>
              <w:pStyle w:val="Normal"/>
              <w:jc w:val="center"/>
              <w:rPr>
                <w:sz w:val="28"/>
              </w:rPr>
            </w:pPr>
            <w:r>
              <w:rPr>
                <w:sz w:val="28"/>
              </w:rPr>
              <w:t>I</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 xml:space="preserve">Material </w:t>
            </w:r>
          </w:p>
          <w:p>
            <w:pPr>
              <w:pStyle w:val="Normal"/>
              <w:jc w:val="center"/>
              <w:rPr>
                <w:sz w:val="28"/>
              </w:rPr>
            </w:pPr>
            <w:r>
              <w:rPr>
                <w:sz w:val="28"/>
              </w:rPr>
              <w:t>I</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Asset</w:t>
            </w:r>
          </w:p>
          <w:p>
            <w:pPr>
              <w:pStyle w:val="Normal"/>
              <w:jc w:val="center"/>
              <w:rPr>
                <w:sz w:val="28"/>
              </w:rPr>
            </w:pPr>
            <w:r>
              <w:rPr>
                <w:sz w:val="28"/>
              </w:rPr>
              <w:t>I</w:t>
            </w:r>
          </w:p>
        </w:tc>
        <w:tc>
          <w:tcPr>
            <w:tcW w:w="1584"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Description</w:t>
            </w:r>
          </w:p>
          <w:p>
            <w:pPr>
              <w:pStyle w:val="Normal"/>
              <w:jc w:val="center"/>
              <w:rPr>
                <w:sz w:val="28"/>
              </w:rPr>
            </w:pPr>
            <w:r>
              <w:rPr>
                <w:sz w:val="28"/>
              </w:rPr>
              <w:t>R</w:t>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rPr>
            </w:pPr>
            <w:r>
              <w:rPr>
                <w:sz w:val="28"/>
              </w:rPr>
            </w:r>
          </w:p>
        </w:tc>
      </w:tr>
    </w:tbl>
    <w:p>
      <w:pPr>
        <w:pStyle w:val="Normal"/>
        <w:rPr/>
      </w:pPr>
      <w:r>
        <w:rPr/>
      </w:r>
    </w:p>
    <w:p>
      <w:pPr>
        <w:pStyle w:val="Normal"/>
        <w:rPr/>
      </w:pPr>
      <w:r>
        <w:rPr/>
      </w:r>
    </w:p>
    <w:p>
      <w:pPr>
        <w:pStyle w:val="Heading2"/>
        <w:tabs>
          <w:tab w:val="clear" w:pos="720"/>
          <w:tab w:val="left" w:pos="540" w:leader="none"/>
        </w:tabs>
        <w:ind w:hanging="0" w:start="0"/>
        <w:rPr/>
      </w:pPr>
      <w:r>
        <w:rPr/>
        <w:t>R</w:t>
        <w:tab/>
        <w:t>Required</w:t>
      </w:r>
    </w:p>
    <w:p>
      <w:pPr>
        <w:pStyle w:val="Normal"/>
        <w:tabs>
          <w:tab w:val="clear" w:pos="720"/>
          <w:tab w:val="left" w:pos="540" w:leader="none"/>
        </w:tabs>
        <w:rPr>
          <w:sz w:val="24"/>
        </w:rPr>
      </w:pPr>
      <w:r>
        <w:rPr>
          <w:sz w:val="24"/>
        </w:rPr>
        <w:t>I</w:t>
        <w:tab/>
        <w:t>Required IF stated condition is met</w:t>
      </w:r>
    </w:p>
    <w:p>
      <w:pPr>
        <w:pStyle w:val="Normal"/>
        <w:tabs>
          <w:tab w:val="clear" w:pos="720"/>
          <w:tab w:val="left" w:pos="540" w:leader="none"/>
        </w:tabs>
        <w:rPr>
          <w:sz w:val="24"/>
        </w:rPr>
      </w:pPr>
      <w:r>
        <w:rPr>
          <w:sz w:val="24"/>
        </w:rPr>
        <w:t>C</w:t>
        <w:tab/>
        <w:t xml:space="preserve">At least one of these codes is required when GL account number starts with 5 (cost </w:t>
      </w:r>
    </w:p>
    <w:p>
      <w:pPr>
        <w:pStyle w:val="Normal"/>
        <w:tabs>
          <w:tab w:val="clear" w:pos="720"/>
          <w:tab w:val="left" w:pos="540" w:leader="none"/>
        </w:tabs>
        <w:rPr>
          <w:sz w:val="24"/>
        </w:rPr>
      </w:pPr>
      <w:r>
        <w:rPr>
          <w:sz w:val="24"/>
        </w:rPr>
        <w:tab/>
        <w:t>element).</w:t>
      </w:r>
    </w:p>
    <w:p>
      <w:pPr>
        <w:pStyle w:val="Normal"/>
        <w:tabs>
          <w:tab w:val="clear" w:pos="720"/>
          <w:tab w:val="left" w:pos="360" w:leader="none"/>
        </w:tabs>
        <w:rPr>
          <w:sz w:val="24"/>
        </w:rPr>
      </w:pPr>
      <w:r>
        <w:rPr>
          <w:sz w:val="24"/>
        </w:rPr>
        <w:t xml:space="preserve">N/A  Not applicable </w:t>
      </w:r>
    </w:p>
    <w:p>
      <w:pPr>
        <w:pStyle w:val="Normal"/>
        <w:rPr>
          <w:sz w:val="24"/>
        </w:rPr>
      </w:pPr>
      <w:r>
        <w:rPr>
          <w:sz w:val="24"/>
        </w:rPr>
      </w:r>
    </w:p>
    <w:p>
      <w:pPr>
        <w:pStyle w:val="Normal"/>
        <w:rPr/>
      </w:pPr>
      <w:r>
        <w:rPr>
          <w:b/>
          <w:sz w:val="24"/>
          <w:u w:val="single"/>
        </w:rPr>
        <w:t>AMOUNT</w:t>
      </w:r>
      <w:r>
        <w:rPr>
          <w:sz w:val="24"/>
        </w:rPr>
        <w:t xml:space="preserve">  Enter the pre tax amount for each line of coding.  Enter the tax amount, if any, in the box at the bottom of the coding sheet. (Note: for utility type invoices do not attempt to break out the taxes.)</w:t>
      </w:r>
    </w:p>
    <w:p>
      <w:pPr>
        <w:pStyle w:val="Normal"/>
        <w:rPr>
          <w:sz w:val="24"/>
        </w:rPr>
      </w:pPr>
      <w:r>
        <w:rPr>
          <w:sz w:val="24"/>
        </w:rPr>
      </w:r>
    </w:p>
    <w:p>
      <w:pPr>
        <w:pStyle w:val="Normal"/>
        <w:rPr/>
      </w:pPr>
      <w:r>
        <w:rPr>
          <w:b/>
          <w:sz w:val="24"/>
          <w:u w:val="single"/>
        </w:rPr>
        <w:t>GL COMPANY NUMBER</w:t>
      </w:r>
      <w:r>
        <w:rPr>
          <w:sz w:val="24"/>
        </w:rPr>
        <w:t xml:space="preserve">  (4) SAP company number to which costs will be charged.  In most cases this will be your old MSA company number with a leading zero. </w:t>
      </w:r>
    </w:p>
    <w:p>
      <w:pPr>
        <w:pStyle w:val="Normal"/>
        <w:rPr>
          <w:sz w:val="24"/>
        </w:rPr>
      </w:pPr>
      <w:r>
        <w:rPr>
          <w:sz w:val="24"/>
        </w:rPr>
      </w:r>
    </w:p>
    <w:p>
      <w:pPr>
        <w:pStyle w:val="Normal"/>
        <w:rPr/>
      </w:pPr>
      <w:r>
        <w:rPr>
          <w:b/>
          <w:sz w:val="24"/>
          <w:u w:val="single"/>
        </w:rPr>
        <w:t xml:space="preserve">TAX CATEGORY (for invoices only) </w:t>
      </w:r>
      <w:r>
        <w:rPr>
          <w:sz w:val="24"/>
        </w:rPr>
        <w:t>(2)  If you are coding an invoice for payment you must enter the Tax Category.  This indicates whether tax was charged on the invoice and how the goods will be used, e.g., consumption, resale, manufacturing.  Most frequently used codes will be I4 (tax is on invoice and goods will be used for your own consumption) or U4 (tax is not on invoice and goods will be used for your own consumption).  For more information see the SAP Invoice Coding Reference or the Tax Code List and Description at http://sap.enron.com/ (select Quick Reference Tools from the menu in the left margin).</w:t>
      </w:r>
    </w:p>
    <w:p>
      <w:pPr>
        <w:pStyle w:val="Normal"/>
        <w:rPr>
          <w:sz w:val="24"/>
        </w:rPr>
      </w:pPr>
      <w:r>
        <w:rPr>
          <w:sz w:val="24"/>
        </w:rPr>
      </w:r>
      <w:r>
        <w:br w:type="page"/>
      </w:r>
    </w:p>
    <w:p>
      <w:pPr>
        <w:pStyle w:val="Normal"/>
        <w:rPr/>
      </w:pPr>
      <w:r>
        <w:rPr>
          <w:b/>
          <w:sz w:val="24"/>
          <w:u w:val="single"/>
        </w:rPr>
        <w:t xml:space="preserve">CITY/STATE OR OUTSIDE CITY </w:t>
      </w:r>
      <w:r>
        <w:rPr>
          <w:sz w:val="24"/>
        </w:rPr>
        <w:t xml:space="preserve">  Enter the city and state where the goods are CONSUMED.  If this location is outside the city limits, enter “outside city.”  This is used to derive the appropriate tax jurisdiction for sales tax purposes.  This field is not required if you code to a Cost Center, FAR Order or WBS element.  </w:t>
      </w:r>
    </w:p>
    <w:p>
      <w:pPr>
        <w:pStyle w:val="Normal"/>
        <w:rPr>
          <w:sz w:val="24"/>
        </w:rPr>
      </w:pPr>
      <w:r>
        <w:rPr>
          <w:sz w:val="24"/>
        </w:rPr>
      </w:r>
    </w:p>
    <w:p>
      <w:pPr>
        <w:pStyle w:val="Normal"/>
        <w:rPr/>
      </w:pPr>
      <w:r>
        <w:rPr>
          <w:b/>
          <w:sz w:val="24"/>
          <w:u w:val="single"/>
        </w:rPr>
        <w:t>ZIP CODE WHERE CONSUMED</w:t>
      </w:r>
      <w:r>
        <w:rPr>
          <w:sz w:val="24"/>
        </w:rPr>
        <w:t xml:space="preserve">  Enter the zip code where the goods are CONSUMED.  This is used to derive the appropriate tax jurisdiction for sales tax purposes. This field is not required if you code to a Cost Center, FAR Order or WBS element.</w:t>
      </w:r>
    </w:p>
    <w:p>
      <w:pPr>
        <w:pStyle w:val="Normal"/>
        <w:rPr>
          <w:sz w:val="24"/>
        </w:rPr>
      </w:pPr>
      <w:r>
        <w:rPr>
          <w:sz w:val="24"/>
        </w:rPr>
      </w:r>
    </w:p>
    <w:p>
      <w:pPr>
        <w:pStyle w:val="Normal"/>
        <w:rPr/>
      </w:pPr>
      <w:r>
        <w:rPr>
          <w:b/>
          <w:sz w:val="24"/>
          <w:u w:val="single"/>
        </w:rPr>
        <w:t>TRADING PARTNER</w:t>
      </w:r>
      <w:r>
        <w:rPr>
          <w:sz w:val="24"/>
        </w:rPr>
        <w:t xml:space="preserve">  (4)  Used when charging a company not on the SAP system, such as PGE, or Azurix.  Enter a GL account 20025000 and the company number you are charging to in the Trading Partner field.</w:t>
      </w:r>
    </w:p>
    <w:p>
      <w:pPr>
        <w:pStyle w:val="Normal"/>
        <w:rPr>
          <w:sz w:val="24"/>
        </w:rPr>
      </w:pPr>
      <w:r>
        <w:rPr>
          <w:sz w:val="24"/>
        </w:rPr>
      </w:r>
    </w:p>
    <w:p>
      <w:pPr>
        <w:pStyle w:val="Normal"/>
        <w:rPr/>
      </w:pPr>
      <w:r>
        <w:rPr>
          <w:b/>
          <w:sz w:val="24"/>
          <w:u w:val="single"/>
        </w:rPr>
        <w:t>GL ACCOUNT NUMBER</w:t>
      </w:r>
      <w:r>
        <w:rPr>
          <w:sz w:val="24"/>
        </w:rPr>
        <w:t xml:space="preserve">  (8)  General Ledger Account to which costs will be charged.  Expense accounts start with a 5; these are also referred to as cost elements.  Anytime you use a cost element you must also enter either a Cost Center, an Internal Order, or a WBS element.  Refer to the description of those fields for more information.  For a list of cost elements refer to the SAP Invoice Coding Reference.  For a complete GL account list refer to the Chart of Accounts Listing at http://sap.enron.com/ (select Quick Reference Tools from the menu in the left margin).</w:t>
      </w:r>
    </w:p>
    <w:p>
      <w:pPr>
        <w:pStyle w:val="Normal"/>
        <w:rPr>
          <w:sz w:val="24"/>
        </w:rPr>
      </w:pPr>
      <w:r>
        <w:rPr>
          <w:sz w:val="24"/>
        </w:rPr>
      </w:r>
    </w:p>
    <w:p>
      <w:pPr>
        <w:pStyle w:val="Normal"/>
        <w:rPr/>
      </w:pPr>
      <w:r>
        <w:rPr>
          <w:b/>
          <w:sz w:val="24"/>
          <w:u w:val="single"/>
        </w:rPr>
        <w:t>COST CENTER</w:t>
      </w:r>
      <w:r>
        <w:rPr>
          <w:sz w:val="24"/>
        </w:rPr>
        <w:t xml:space="preserve">  (6)  Department number to which costs will be charged.  For a conversion table of MSA RCs to SAP cost centers refer to “All MSA RC to SAP Cost Center Conversion 7/1/00” at http://sap.enron.com/ (select Quick Reference Tools from the menu in the left margin).  Enter the cost center according to the following:</w:t>
      </w:r>
    </w:p>
    <w:p>
      <w:pPr>
        <w:pStyle w:val="Normal"/>
        <w:rPr>
          <w:sz w:val="24"/>
        </w:rPr>
      </w:pPr>
      <w:r>
        <w:rPr>
          <w:sz w:val="24"/>
        </w:rPr>
      </w:r>
    </w:p>
    <w:p>
      <w:pPr>
        <w:pStyle w:val="Normal"/>
        <w:rPr>
          <w:b/>
          <w:sz w:val="24"/>
        </w:rPr>
      </w:pPr>
      <w:r>
        <w:rPr>
          <w:b/>
          <w:sz w:val="24"/>
        </w:rPr>
        <w:t>YES…DO ENTER WHEN:</w:t>
      </w:r>
    </w:p>
    <w:p>
      <w:pPr>
        <w:pStyle w:val="Normal"/>
        <w:rPr>
          <w:b/>
          <w:sz w:val="24"/>
        </w:rPr>
      </w:pPr>
      <w:r>
        <w:rPr>
          <w:b/>
          <w:sz w:val="24"/>
        </w:rPr>
      </w:r>
    </w:p>
    <w:p>
      <w:pPr>
        <w:pStyle w:val="BodyTextIndent"/>
        <w:numPr>
          <w:ilvl w:val="0"/>
          <w:numId w:val="3"/>
        </w:numPr>
        <w:rPr/>
      </w:pPr>
      <w:r>
        <w:rPr/>
        <w:t>Charging a GPG service company department (e.g., company 0366) or</w:t>
      </w:r>
    </w:p>
    <w:p>
      <w:pPr>
        <w:pStyle w:val="Heading4"/>
        <w:numPr>
          <w:ilvl w:val="0"/>
          <w:numId w:val="3"/>
        </w:numPr>
        <w:rPr/>
      </w:pPr>
      <w:r>
        <w:rPr/>
        <w:t>Charging a Clean Fuels company department or</w:t>
      </w:r>
    </w:p>
    <w:p>
      <w:pPr>
        <w:pStyle w:val="BodyTextIndent"/>
        <w:numPr>
          <w:ilvl w:val="0"/>
          <w:numId w:val="3"/>
        </w:numPr>
        <w:rPr/>
      </w:pPr>
      <w:r>
        <w:rPr/>
        <w:t>The charge is for the benefit of multiple FERC accounts and field assets.  This is the case for field teams for expenditures such as equipment fuel, fees &amp; permits, lubricants, postage, freight, utilities, etc.</w:t>
      </w:r>
    </w:p>
    <w:p>
      <w:pPr>
        <w:pStyle w:val="BodyTextIndent"/>
        <w:ind w:start="0" w:end="0"/>
        <w:rPr/>
      </w:pPr>
      <w:r>
        <w:rPr/>
      </w:r>
    </w:p>
    <w:p>
      <w:pPr>
        <w:pStyle w:val="Normal"/>
        <w:ind w:hanging="576" w:start="576" w:end="0"/>
        <w:rPr>
          <w:sz w:val="24"/>
        </w:rPr>
      </w:pPr>
      <w:r>
        <w:rPr>
          <w:b/>
          <w:sz w:val="24"/>
        </w:rPr>
        <w:t>NO…DO NOT ENTERWHEN:</w:t>
      </w:r>
    </w:p>
    <w:p>
      <w:pPr>
        <w:pStyle w:val="Normal"/>
        <w:ind w:hanging="576" w:start="576" w:end="0"/>
        <w:rPr>
          <w:b/>
          <w:sz w:val="24"/>
        </w:rPr>
      </w:pPr>
      <w:r>
        <w:rPr>
          <w:b/>
          <w:sz w:val="24"/>
        </w:rPr>
      </w:r>
    </w:p>
    <w:p>
      <w:pPr>
        <w:pStyle w:val="Heading3"/>
        <w:numPr>
          <w:ilvl w:val="0"/>
          <w:numId w:val="2"/>
        </w:numPr>
        <w:rPr/>
      </w:pPr>
      <w:r>
        <w:rPr/>
        <w:t>GL account starts with other than 5 or</w:t>
      </w:r>
    </w:p>
    <w:p>
      <w:pPr>
        <w:pStyle w:val="Normal"/>
        <w:numPr>
          <w:ilvl w:val="0"/>
          <w:numId w:val="2"/>
        </w:numPr>
        <w:rPr>
          <w:sz w:val="24"/>
        </w:rPr>
      </w:pPr>
      <w:r>
        <w:rPr>
          <w:sz w:val="24"/>
        </w:rPr>
        <w:t>Charging a WBS element (project) or</w:t>
      </w:r>
    </w:p>
    <w:p>
      <w:pPr>
        <w:pStyle w:val="Normal"/>
        <w:numPr>
          <w:ilvl w:val="0"/>
          <w:numId w:val="2"/>
        </w:numPr>
        <w:rPr>
          <w:sz w:val="24"/>
        </w:rPr>
      </w:pPr>
      <w:r>
        <w:rPr>
          <w:sz w:val="24"/>
        </w:rPr>
        <w:t>You want to charge a specific FERC account and field asset for an O&amp;M department (use FAR Internal Order instead) or</w:t>
      </w:r>
    </w:p>
    <w:p>
      <w:pPr>
        <w:pStyle w:val="Normal"/>
        <w:numPr>
          <w:ilvl w:val="0"/>
          <w:numId w:val="2"/>
        </w:numPr>
        <w:rPr>
          <w:sz w:val="24"/>
        </w:rPr>
      </w:pPr>
      <w:r>
        <w:rPr>
          <w:sz w:val="24"/>
        </w:rPr>
        <w:t>Charging a GPG commercial company G&amp;A department; e.g. NNG Accounting (use FAR Internal Order instead).</w:t>
      </w:r>
    </w:p>
    <w:p>
      <w:pPr>
        <w:pStyle w:val="Normal"/>
        <w:rPr>
          <w:sz w:val="24"/>
        </w:rPr>
      </w:pPr>
      <w:r>
        <w:rPr>
          <w:sz w:val="24"/>
        </w:rPr>
      </w:r>
    </w:p>
    <w:p>
      <w:pPr>
        <w:pStyle w:val="BodyTextIndent"/>
        <w:rPr>
          <w:sz w:val="24"/>
        </w:rPr>
      </w:pPr>
      <w:r>
        <w:rPr>
          <w:sz w:val="24"/>
        </w:rPr>
      </w:r>
      <w:r>
        <w:br w:type="page"/>
      </w:r>
    </w:p>
    <w:p>
      <w:pPr>
        <w:pStyle w:val="BodyTextIndent"/>
        <w:ind w:start="0" w:end="0"/>
        <w:rPr/>
      </w:pPr>
      <w:r>
        <w:rPr>
          <w:b/>
          <w:u w:val="single"/>
        </w:rPr>
        <w:t>ORDER</w:t>
      </w:r>
      <w:r>
        <w:rPr/>
        <w:t xml:space="preserve">  GPG uses this for field asset reporting (FAR Order) and for subledger reporting (statistical order) on certain GL accounts (revenue, cost of goods sold, and some balance sheet accounts).  Refer to the following for guidance:</w:t>
      </w:r>
    </w:p>
    <w:p>
      <w:pPr>
        <w:pStyle w:val="BodyTextIndent"/>
        <w:ind w:start="0" w:end="0"/>
        <w:rPr/>
      </w:pPr>
      <w:r>
        <w:rPr/>
      </w:r>
    </w:p>
    <w:p>
      <w:pPr>
        <w:pStyle w:val="BodyTextIndent"/>
        <w:ind w:start="0" w:end="0"/>
        <w:rPr/>
      </w:pPr>
      <w:r>
        <w:rPr>
          <w:b/>
          <w:u w:val="single"/>
        </w:rPr>
        <w:t>FAR Order</w:t>
      </w:r>
      <w:r>
        <w:rPr/>
        <w:t xml:space="preserve">  Used to capture a specific cost center’s (team’s) expenses on a specific FERC account and field asset.  FAR Orders are 12 digit numbers.  The first 4 digits are the last 4 digits of the cost center, the next 4 digits are the FERC major account and the last 4 digits are the asset number.  Refer to “GPG FAR Orders ” at http://sap.enron.com/ (select Quick Reference Tools from the menu in the left margin).  Enter a FAR Order according to the following: </w:t>
      </w:r>
    </w:p>
    <w:p>
      <w:pPr>
        <w:pStyle w:val="BodyTextIndent"/>
        <w:ind w:start="0" w:end="0"/>
        <w:rPr/>
      </w:pPr>
      <w:r>
        <w:rPr/>
      </w:r>
    </w:p>
    <w:p>
      <w:pPr>
        <w:pStyle w:val="BodyTextIndent"/>
        <w:ind w:start="0" w:end="0"/>
        <w:rPr>
          <w:b/>
        </w:rPr>
      </w:pPr>
      <w:r>
        <w:rPr>
          <w:b/>
        </w:rPr>
        <w:t>Yes…Do Enter A Far Order When:</w:t>
      </w:r>
    </w:p>
    <w:p>
      <w:pPr>
        <w:pStyle w:val="BodyTextIndent"/>
        <w:ind w:start="0" w:end="0"/>
        <w:rPr>
          <w:b/>
        </w:rPr>
      </w:pPr>
      <w:r>
        <w:rPr>
          <w:b/>
        </w:rPr>
      </w:r>
    </w:p>
    <w:p>
      <w:pPr>
        <w:pStyle w:val="Normal"/>
        <w:numPr>
          <w:ilvl w:val="0"/>
          <w:numId w:val="2"/>
        </w:numPr>
        <w:rPr>
          <w:sz w:val="24"/>
        </w:rPr>
      </w:pPr>
      <w:r>
        <w:rPr>
          <w:sz w:val="24"/>
        </w:rPr>
        <w:t>You want to charge a specific FERC account and field asset or</w:t>
      </w:r>
    </w:p>
    <w:p>
      <w:pPr>
        <w:pStyle w:val="Normal"/>
        <w:numPr>
          <w:ilvl w:val="0"/>
          <w:numId w:val="2"/>
        </w:numPr>
        <w:rPr>
          <w:sz w:val="24"/>
        </w:rPr>
      </w:pPr>
      <w:r>
        <w:rPr>
          <w:sz w:val="24"/>
        </w:rPr>
        <w:t xml:space="preserve">Charging a GPG commercial company G&amp;A department; e.g. NNG Accounting. </w:t>
      </w:r>
    </w:p>
    <w:p>
      <w:pPr>
        <w:pStyle w:val="BodyTextIndent"/>
        <w:ind w:start="0" w:end="0"/>
        <w:rPr>
          <w:sz w:val="24"/>
        </w:rPr>
      </w:pPr>
      <w:r>
        <w:rPr>
          <w:sz w:val="24"/>
        </w:rPr>
      </w:r>
    </w:p>
    <w:p>
      <w:pPr>
        <w:pStyle w:val="BodyTextIndent"/>
        <w:ind w:start="0" w:end="0"/>
        <w:rPr>
          <w:b/>
        </w:rPr>
      </w:pPr>
      <w:r>
        <w:rPr>
          <w:b/>
        </w:rPr>
        <w:t>No…Do Not Enter A Far Order When:</w:t>
      </w:r>
    </w:p>
    <w:p>
      <w:pPr>
        <w:pStyle w:val="BodyTextIndent"/>
        <w:ind w:start="0" w:end="0"/>
        <w:rPr>
          <w:b/>
        </w:rPr>
      </w:pPr>
      <w:r>
        <w:rPr>
          <w:b/>
        </w:rPr>
      </w:r>
    </w:p>
    <w:p>
      <w:pPr>
        <w:pStyle w:val="Heading3"/>
        <w:numPr>
          <w:ilvl w:val="0"/>
          <w:numId w:val="2"/>
        </w:numPr>
        <w:rPr/>
      </w:pPr>
      <w:r>
        <w:rPr/>
        <w:t>GL account starts with other than 5 or</w:t>
      </w:r>
    </w:p>
    <w:p>
      <w:pPr>
        <w:pStyle w:val="Normal"/>
        <w:numPr>
          <w:ilvl w:val="0"/>
          <w:numId w:val="2"/>
        </w:numPr>
        <w:rPr>
          <w:sz w:val="24"/>
        </w:rPr>
      </w:pPr>
      <w:r>
        <w:rPr>
          <w:sz w:val="24"/>
        </w:rPr>
        <w:t>Charging a WBS element (project) or</w:t>
      </w:r>
    </w:p>
    <w:p>
      <w:pPr>
        <w:pStyle w:val="BodyTextIndent"/>
        <w:numPr>
          <w:ilvl w:val="0"/>
          <w:numId w:val="3"/>
        </w:numPr>
        <w:rPr/>
      </w:pPr>
      <w:r>
        <w:rPr/>
        <w:t>Charging a GPG service company (0366) or</w:t>
      </w:r>
    </w:p>
    <w:p>
      <w:pPr>
        <w:pStyle w:val="Heading4"/>
        <w:numPr>
          <w:ilvl w:val="0"/>
          <w:numId w:val="3"/>
        </w:numPr>
        <w:rPr/>
      </w:pPr>
      <w:r>
        <w:rPr/>
        <w:t>Charging a Clean Fuels company or</w:t>
      </w:r>
    </w:p>
    <w:p>
      <w:pPr>
        <w:pStyle w:val="BodyTextIndent"/>
        <w:numPr>
          <w:ilvl w:val="0"/>
          <w:numId w:val="3"/>
        </w:numPr>
        <w:rPr/>
      </w:pPr>
      <w:r>
        <w:rPr/>
        <w:t>The charge is for the benefit of multiple field assets (use Cost Center instead).  This is the case for field teams for expenditures such as equipment fuel, fees &amp; permits, lubricants, postage, freight, utilities, etc.</w:t>
      </w:r>
    </w:p>
    <w:p>
      <w:pPr>
        <w:pStyle w:val="BodyTextIndent"/>
        <w:ind w:start="0" w:end="0"/>
        <w:rPr/>
      </w:pPr>
      <w:r>
        <w:rPr/>
      </w:r>
    </w:p>
    <w:p>
      <w:pPr>
        <w:pStyle w:val="BodyTextIndent"/>
        <w:ind w:start="0" w:end="0"/>
        <w:rPr/>
      </w:pPr>
      <w:r>
        <w:rPr>
          <w:b/>
          <w:u w:val="single"/>
        </w:rPr>
        <w:t>Statistical Order</w:t>
      </w:r>
      <w:r>
        <w:rPr/>
        <w:t xml:space="preserve">  A 9 digit code used by GPG accounting departments for subledger reporting on all revenue accounts; all cost of goods sold accounts; and certain balance sheet accounts.  Refer to “GPG Statistical Orders” at http://sap.enron.com/ (select Quick Reference Tools from the menu in the left margin).</w:t>
      </w:r>
    </w:p>
    <w:p>
      <w:pPr>
        <w:pStyle w:val="BodyTextIndent"/>
        <w:ind w:start="0" w:end="0"/>
        <w:rPr/>
      </w:pPr>
      <w:r>
        <w:rPr/>
      </w:r>
    </w:p>
    <w:p>
      <w:pPr>
        <w:pStyle w:val="BodyTextIndent"/>
        <w:ind w:start="0" w:end="0"/>
        <w:rPr/>
      </w:pPr>
      <w:r>
        <w:rPr>
          <w:b/>
          <w:u w:val="single"/>
        </w:rPr>
        <w:t>WBS ELEMENT</w:t>
      </w:r>
      <w:r>
        <w:rPr/>
        <w:t xml:space="preserve">  Used for project (work order; including blanket and expense work orders) related costs.  Also requires a GL account that starts with a 5 (cost element).  Do not use a Cost Center with a WBS.  For information about which WBS element to use for your project refer to the “SAP Business Unit Coding Contacts List” at http://sap.enron.com/ (select Quick Reference Tools from the menu in the left margin).</w:t>
      </w:r>
    </w:p>
    <w:p>
      <w:pPr>
        <w:pStyle w:val="BodyTextIndent"/>
        <w:ind w:start="0" w:end="0"/>
        <w:rPr/>
      </w:pPr>
      <w:r>
        <w:rPr/>
      </w:r>
    </w:p>
    <w:p>
      <w:pPr>
        <w:pStyle w:val="BodyTextIndent"/>
        <w:ind w:start="0" w:end="0"/>
        <w:rPr/>
      </w:pPr>
      <w:r>
        <w:rPr>
          <w:b/>
          <w:u w:val="single"/>
        </w:rPr>
        <w:t>NETWORK</w:t>
      </w:r>
      <w:r>
        <w:rPr/>
        <w:t xml:space="preserve">  Not used by GPG.</w:t>
      </w:r>
    </w:p>
    <w:p>
      <w:pPr>
        <w:pStyle w:val="BodyTextIndent"/>
        <w:ind w:start="0" w:end="0"/>
        <w:rPr/>
      </w:pPr>
      <w:r>
        <w:rPr/>
      </w:r>
    </w:p>
    <w:p>
      <w:pPr>
        <w:pStyle w:val="BodyTextIndent"/>
        <w:ind w:start="0" w:end="0"/>
        <w:rPr/>
      </w:pPr>
      <w:r>
        <w:rPr>
          <w:b/>
          <w:u w:val="single"/>
        </w:rPr>
        <w:t>ACTIVITY</w:t>
      </w:r>
      <w:r>
        <w:rPr/>
        <w:t xml:space="preserve">  Not used by GPG</w:t>
      </w:r>
    </w:p>
    <w:p>
      <w:pPr>
        <w:pStyle w:val="BodyTextIndent"/>
        <w:ind w:start="0" w:end="0"/>
        <w:rPr/>
      </w:pPr>
      <w:r>
        <w:rPr/>
      </w:r>
    </w:p>
    <w:p>
      <w:pPr>
        <w:pStyle w:val="BodyTextIndent"/>
        <w:ind w:start="0" w:end="0"/>
        <w:rPr/>
      </w:pPr>
      <w:r>
        <w:rPr>
          <w:b/>
          <w:u w:val="single"/>
        </w:rPr>
        <w:t>FUNCTIONAL AREA</w:t>
      </w:r>
      <w:r>
        <w:rPr/>
        <w:t xml:space="preserve">  (4) Required if the charge is for one of the areas listed as a Functional Area.  Corporate defines these codes and uses them to capture certain costs across all of Enron.  Refer to the SAP Invoice Coding Reference or to the “Functional Area List” at http://sap.enron.com/ (select Quick Reference Tools from the menu in the left margin).</w:t>
      </w:r>
    </w:p>
    <w:p>
      <w:pPr>
        <w:pStyle w:val="BodyTextIndent"/>
        <w:ind w:start="0" w:end="0"/>
        <w:rPr/>
      </w:pPr>
      <w:r>
        <w:rPr/>
      </w:r>
    </w:p>
    <w:p>
      <w:pPr>
        <w:pStyle w:val="BodyTextIndent"/>
        <w:ind w:start="0" w:end="0"/>
        <w:rPr/>
      </w:pPr>
      <w:r>
        <w:rPr>
          <w:b/>
          <w:u w:val="single"/>
        </w:rPr>
        <w:t>MATERIAL NUMBER</w:t>
      </w:r>
      <w:r>
        <w:rPr/>
        <w:t xml:space="preserve"> (7)  Certain cost elements (GL accounts that start with a 5) require a Material Number to determine the taxability of the transaction.  For information about these GL accounts refer to the SAP Invoice Coding Reference or to the “Material Number List” at http://sap.enron.com/ (select Quick Reference Tools from the menu in the left margin).</w:t>
      </w:r>
    </w:p>
    <w:p>
      <w:pPr>
        <w:pStyle w:val="BodyTextIndent"/>
        <w:ind w:start="0" w:end="0"/>
        <w:rPr/>
      </w:pPr>
      <w:r>
        <w:rPr/>
      </w:r>
    </w:p>
    <w:p>
      <w:pPr>
        <w:pStyle w:val="BodyTextIndent"/>
        <w:ind w:start="0" w:end="0"/>
        <w:rPr/>
      </w:pPr>
      <w:r>
        <w:rPr>
          <w:b/>
          <w:u w:val="single"/>
        </w:rPr>
        <w:t>ASSET</w:t>
      </w:r>
      <w:r>
        <w:rPr/>
        <w:t xml:space="preserve"> The following types of purchases will be capitalized as general plant.  </w:t>
      </w:r>
      <w:r>
        <w:rPr>
          <w:b/>
          <w:i/>
        </w:rPr>
        <w:t>Initially these purchases will be charged to a WBS.  This is a temporary solution so, if possible, please defer the processing of these kinds of purchases until after 7/23/2000.</w:t>
      </w:r>
      <w:r>
        <w:rPr/>
        <w:t xml:space="preserve">  After 7/23/2000 these purchases will be charged to an asset number.  After 7/23/2000 refer to the quick references at http://sap.enron.com/ to obtain the proper asset number.  Until then please refer to your Property Accounting Department for assistance.</w:t>
      </w:r>
    </w:p>
    <w:p>
      <w:pPr>
        <w:pStyle w:val="BodyTextIndent"/>
        <w:ind w:start="0" w:end="0"/>
        <w:rPr/>
      </w:pPr>
      <w:r>
        <w:rPr/>
      </w:r>
    </w:p>
    <w:p>
      <w:pPr>
        <w:pStyle w:val="BodyTextIndent"/>
        <w:ind w:start="0" w:end="0"/>
        <w:rPr/>
      </w:pPr>
      <w:r>
        <w:rPr/>
        <w:t>Transportation and Mobile Work Equipment</w:t>
      </w:r>
    </w:p>
    <w:p>
      <w:pPr>
        <w:pStyle w:val="BodyTextIndent"/>
        <w:ind w:start="0" w:end="0"/>
        <w:rPr/>
      </w:pPr>
      <w:r>
        <w:rPr/>
        <w:t>Computer Equipment</w:t>
      </w:r>
    </w:p>
    <w:p>
      <w:pPr>
        <w:pStyle w:val="BodyTextIndent"/>
        <w:ind w:start="0" w:end="0"/>
        <w:rPr/>
      </w:pPr>
      <w:r>
        <w:rPr/>
        <w:t>Mobile Work Equipment</w:t>
      </w:r>
    </w:p>
    <w:p>
      <w:pPr>
        <w:pStyle w:val="BodyTextIndent"/>
        <w:ind w:start="0" w:end="0"/>
        <w:rPr/>
      </w:pPr>
      <w:r>
        <w:rPr/>
        <w:t>Office Furniture and Equipment</w:t>
      </w:r>
    </w:p>
    <w:p>
      <w:pPr>
        <w:pStyle w:val="BodyTextIndent"/>
        <w:ind w:start="0" w:end="0"/>
        <w:rPr/>
      </w:pPr>
      <w:r>
        <w:rPr/>
        <w:t>Laboratory Equipment</w:t>
      </w:r>
    </w:p>
    <w:p>
      <w:pPr>
        <w:pStyle w:val="BodyTextIndent"/>
        <w:ind w:start="0" w:end="0"/>
        <w:rPr/>
      </w:pPr>
      <w:r>
        <w:rPr/>
        <w:t>Communication Equipment</w:t>
      </w:r>
    </w:p>
    <w:p>
      <w:pPr>
        <w:pStyle w:val="BodyTextIndent"/>
        <w:ind w:start="0" w:end="0"/>
        <w:rPr/>
      </w:pPr>
      <w:r>
        <w:rPr/>
        <w:t>Tools &amp; Work Equipment</w:t>
      </w:r>
    </w:p>
    <w:p>
      <w:pPr>
        <w:pStyle w:val="BodyTextIndent"/>
        <w:ind w:start="0" w:end="0"/>
        <w:rPr/>
      </w:pPr>
      <w:r>
        <w:rPr/>
      </w:r>
    </w:p>
    <w:p>
      <w:pPr>
        <w:pStyle w:val="BodyTextIndent"/>
        <w:ind w:start="0" w:end="0"/>
        <w:rPr/>
      </w:pPr>
      <w:r>
        <w:rPr>
          <w:b/>
          <w:u w:val="single"/>
        </w:rPr>
        <w:t>DESCRIPTION</w:t>
      </w:r>
      <w:r>
        <w:rPr/>
        <w:t xml:space="preserve">  Enter a short description of this transaction.</w:t>
      </w:r>
    </w:p>
    <w:p>
      <w:pPr>
        <w:pStyle w:val="BodyTextIndent"/>
        <w:ind w:start="0" w:end="0"/>
        <w:rPr/>
      </w:pPr>
      <w:r>
        <w:rPr/>
      </w:r>
    </w:p>
    <w:p>
      <w:pPr>
        <w:pStyle w:val="BodyTextIndent"/>
        <w:ind w:start="0" w:end="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hanging="576" w:start="1152" w:end="0"/>
      <w:outlineLvl w:val="2"/>
    </w:pPr>
    <w:rPr>
      <w:sz w:val="24"/>
    </w:rPr>
  </w:style>
  <w:style w:type="paragraph" w:styleId="Heading4">
    <w:name w:val="heading 4"/>
    <w:basedOn w:val="Normal"/>
    <w:next w:val="Normal"/>
    <w:qFormat/>
    <w:pPr>
      <w:keepNext w:val="true"/>
      <w:numPr>
        <w:ilvl w:val="3"/>
        <w:numId w:val="1"/>
      </w:numPr>
      <w:ind w:hanging="0" w:start="720" w:end="0"/>
      <w:outlineLvl w:val="3"/>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2000-06-23T16:51:00Z</dcterms:created>
  <dc:creator>glewis</dc:creator>
  <dc:description/>
  <dc:language>en-CA</dc:language>
  <cp:lastModifiedBy>Sue Allison Millan</cp:lastModifiedBy>
  <cp:lastPrinted>2000-06-15T14:22:00Z</cp:lastPrinted>
  <dcterms:modified xsi:type="dcterms:W3CDTF">2000-06-23T16:51:00Z</dcterms:modified>
  <cp:revision>2</cp:revision>
  <dc:subject/>
  <dc:title>Amount</dc:title>
</cp:coreProperties>
</file>