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CODE OF CONDUCT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(a)</w:t>
        <w:tab/>
        <w:t>service requirements;</w:t>
      </w:r>
    </w:p>
    <w:p>
      <w:pPr>
        <w:pStyle w:val="Normal"/>
        <w:jc w:val="both"/>
        <w:rPr/>
      </w:pPr>
      <w:r>
        <w:rPr/>
        <w:t>(b)</w:t>
        <w:tab/>
        <w:t>location of facilities;</w:t>
      </w:r>
    </w:p>
    <w:p>
      <w:pPr>
        <w:pStyle w:val="Normal"/>
        <w:jc w:val="both"/>
        <w:rPr/>
      </w:pPr>
      <w:r>
        <w:rPr/>
        <w:t>(c)</w:t>
        <w:tab/>
        <w:t>receipt and delivery points;</w:t>
      </w:r>
    </w:p>
    <w:p>
      <w:pPr>
        <w:pStyle w:val="Normal"/>
        <w:jc w:val="both"/>
        <w:rPr/>
      </w:pPr>
      <w:r>
        <w:rPr/>
        <w:t>(d)</w:t>
        <w:tab/>
        <w:t>length of haul;</w:t>
      </w:r>
    </w:p>
    <w:p>
      <w:pPr>
        <w:pStyle w:val="Normal"/>
        <w:jc w:val="both"/>
        <w:rPr/>
      </w:pPr>
      <w:r>
        <w:rPr/>
        <w:t>(e)</w:t>
        <w:tab/>
        <w:t>quality of service (firm, interruptible, etc.);</w:t>
      </w:r>
    </w:p>
    <w:p>
      <w:pPr>
        <w:pStyle w:val="Normal"/>
        <w:jc w:val="both"/>
        <w:rPr/>
      </w:pPr>
      <w:r>
        <w:rPr/>
        <w:t>(f)</w:t>
        <w:tab/>
        <w:t>quantity;</w:t>
      </w:r>
    </w:p>
    <w:p>
      <w:pPr>
        <w:pStyle w:val="Normal"/>
        <w:jc w:val="both"/>
        <w:rPr/>
      </w:pPr>
      <w:r>
        <w:rPr/>
        <w:t>(g)</w:t>
        <w:tab/>
        <w:t>swing requirements;</w:t>
      </w:r>
    </w:p>
    <w:p>
      <w:pPr>
        <w:pStyle w:val="Normal"/>
        <w:jc w:val="both"/>
        <w:rPr/>
      </w:pPr>
      <w:r>
        <w:rPr/>
        <w:t>(h)</w:t>
        <w:tab/>
        <w:t>credit worthiness;</w:t>
      </w:r>
    </w:p>
    <w:p>
      <w:pPr>
        <w:pStyle w:val="Normal"/>
        <w:jc w:val="both"/>
        <w:rPr/>
      </w:pPr>
      <w:r>
        <w:rPr/>
        <w:t>(i)</w:t>
        <w:tab/>
        <w:t>gas quality;</w:t>
      </w:r>
    </w:p>
    <w:p>
      <w:pPr>
        <w:pStyle w:val="Normal"/>
        <w:jc w:val="both"/>
        <w:rPr/>
      </w:pPr>
      <w:r>
        <w:rPr/>
        <w:t>(j)</w:t>
        <w:tab/>
        <w:t>pressure (including inlet or line pressure);</w:t>
      </w:r>
    </w:p>
    <w:p>
      <w:pPr>
        <w:pStyle w:val="Normal"/>
        <w:jc w:val="both"/>
        <w:rPr/>
      </w:pPr>
      <w:r>
        <w:rPr/>
        <w:t>(k)</w:t>
        <w:tab/>
        <w:t>duration of service;</w:t>
      </w:r>
    </w:p>
    <w:p>
      <w:pPr>
        <w:pStyle w:val="Normal"/>
        <w:jc w:val="both"/>
        <w:rPr/>
      </w:pPr>
      <w:r>
        <w:rPr/>
        <w:t>(l)</w:t>
        <w:tab/>
        <w:t>connect requirements; and</w:t>
      </w:r>
    </w:p>
    <w:p>
      <w:pPr>
        <w:pStyle w:val="Normal"/>
        <w:jc w:val="both"/>
        <w:rPr/>
      </w:pPr>
      <w:r>
        <w:rPr/>
        <w:t>(m)</w:t>
        <w:tab/>
        <w:t>conditions and circumstances existing at the time of agreement or negotiation.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/mnt/main-storage/datasets/enron-docs/doc/Code_of_Conduct.doc</w:t>
    </w:r>
    <w:r>
      <w:rPr>
        <w:sz w:val="16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2000-05-30T18:40:00Z</dcterms:created>
  <dc:creator>pradfor</dc:creator>
  <dc:description/>
  <dc:language>en-CA</dc:language>
  <cp:lastModifiedBy>pradfor</cp:lastModifiedBy>
  <cp:lastPrinted>2000-05-30T16:13:00Z</cp:lastPrinted>
  <dcterms:modified xsi:type="dcterms:W3CDTF">2000-05-30T18:46:00Z</dcterms:modified>
  <cp:revision>2</cp:revision>
  <dc:subject/>
  <dc:title>CODE OF CONDUCT</dc:title>
</cp:coreProperties>
</file>