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Houston Pipe Line Company, a Delaware corporation ("</w:t>
      </w:r>
      <w:r>
        <w:rPr>
          <w:rFonts w:cs="Arial Narrow" w:ascii="Arial Narrow" w:hAnsi="Arial Narrow"/>
          <w:sz w:val="18"/>
          <w:u w:val="single"/>
        </w:rPr>
        <w:t>Company</w:t>
      </w:r>
      <w:r>
        <w:rPr>
          <w:rFonts w:cs="Arial Narrow" w:ascii="Arial Narrow" w:hAnsi="Arial Narrow"/>
          <w:sz w:val="18"/>
        </w:rPr>
        <w:t>"), and Coastal Merchant Energy, L.P., a Delaware limited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The Coastal Corporation shall have defaulted on its indebted</w:t>
        <w:softHyphen/>
        <w:t xml:space="preserve">ness to third parties, resulting in an acceleration of obligations of The Coastal Corporation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caused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HOUSTON PIPE LINE 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COASTAL MERCHANT ENERGY, L.P.</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/mnt/main-storage/datasets/enron-docs/doc/Coastal_Merchant_Energy_HPL.doc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The Coastal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The Coastal Corporation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Company.</w:t>
      </w:r>
    </w:p>
    <w:p>
      <w:pPr>
        <w:pStyle w:val="Normal"/>
        <w:jc w:val="both"/>
        <w:rPr/>
      </w:pP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 xml:space="preserve">At appropriate intervals the Company or Company's Transporter (the " </w:t>
      </w:r>
      <w:r>
        <w:rPr>
          <w:rFonts w:cs="Arial Narrow" w:ascii="Arial Narrow" w:hAnsi="Arial Narrow"/>
          <w:sz w:val="18"/>
          <w:u w:val="single"/>
        </w:rPr>
        <w:t>Measuring Party</w:t>
      </w:r>
      <w:r>
        <w:rPr>
          <w:rFonts w:cs="Arial Narrow" w:ascii="Arial Narrow" w:hAnsi="Arial Narrow"/>
          <w:sz w:val="18"/>
        </w:rPr>
        <w:t xml:space="preserve">")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Houston Pipe Line Company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Coastal Merchant Energy, L.P.</w:t>
      </w:r>
    </w:p>
    <w:p>
      <w:pPr>
        <w:pStyle w:val="Normal"/>
        <w:jc w:val="both"/>
        <w:rPr>
          <w:rFonts w:ascii="Arial Narrow" w:hAnsi="Arial Narrow" w:cs="Arial Narrow"/>
          <w:sz w:val="18"/>
        </w:rPr>
      </w:pPr>
      <w:r>
        <w:rPr>
          <w:rFonts w:cs="Arial Narrow" w:ascii="Arial Narrow" w:hAnsi="Arial Narrow"/>
          <w:sz w:val="18"/>
        </w:rPr>
        <w:t>Five Greenway Plaza, Suite 1200</w:t>
      </w:r>
    </w:p>
    <w:p>
      <w:pPr>
        <w:pStyle w:val="Normal"/>
        <w:jc w:val="both"/>
        <w:rPr>
          <w:rFonts w:ascii="Arial Narrow" w:hAnsi="Arial Narrow" w:cs="Arial Narrow"/>
          <w:sz w:val="18"/>
        </w:rPr>
      </w:pPr>
      <w:r>
        <w:rPr>
          <w:rFonts w:cs="Arial Narrow" w:ascii="Arial Narrow" w:hAnsi="Arial Narrow"/>
          <w:sz w:val="18"/>
        </w:rPr>
        <w:t>Houston, TX 77046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effective as of Octtober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Coastal Merchant Energy, l.P., a Delaware Limited Partnership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Houston Pipe Line Company,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eastAsia="Symbol" w:cs="Symbol" w:ascii="Symbol" w:hAnsi="Symbol"/>
          <w:position w:val="6"/>
          <w:sz w:val="18"/>
        </w:rPr>
        <w:sym w:font="Symbol" w:char="f0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tabs>
          <w:tab w:val="clear" w:pos="720"/>
          <w:tab w:val="left" w:pos="1440" w:leader="none"/>
        </w:tabs>
        <w:ind w:hanging="1440" w:start="1440" w:end="0"/>
        <w:jc w:val="both"/>
        <w:rPr/>
      </w:pPr>
      <w:r>
        <w:rPr>
          <w:rFonts w:cs="Arial Narrow" w:ascii="Arial Narrow" w:hAnsi="Arial Narrow"/>
          <w:sz w:val="18"/>
          <w:u w:val="single"/>
        </w:rPr>
        <w:t>To Guarantor</w:t>
      </w:r>
      <w:r>
        <w:rPr>
          <w:rFonts w:cs="Arial Narrow" w:ascii="Arial Narrow" w:hAnsi="Arial Narrow"/>
          <w:sz w:val="18"/>
        </w:rPr>
        <w:t>:</w:t>
        <w:tab/>
        <w:t>Enron Corp.</w:t>
      </w:r>
    </w:p>
    <w:p>
      <w:pPr>
        <w:pStyle w:val="Normal"/>
        <w:tabs>
          <w:tab w:val="clear" w:pos="720"/>
          <w:tab w:val="left" w:pos="1440" w:leader="none"/>
        </w:tabs>
        <w:ind w:hanging="1440" w:start="1440" w:end="0"/>
        <w:jc w:val="both"/>
        <w:rPr>
          <w:rFonts w:ascii="Arial Narrow" w:hAnsi="Arial Narrow" w:cs="Arial Narrow"/>
          <w:sz w:val="18"/>
        </w:rPr>
      </w:pPr>
      <w:r>
        <w:rPr>
          <w:rFonts w:cs="Arial Narrow" w:ascii="Arial Narrow" w:hAnsi="Arial Narrow"/>
          <w:sz w:val="18"/>
        </w:rPr>
        <w:tab/>
        <w:t>1400 Smith Street (77002)</w:t>
      </w:r>
    </w:p>
    <w:p>
      <w:pPr>
        <w:pStyle w:val="Normal"/>
        <w:ind w:start="1440" w:end="0"/>
        <w:jc w:val="both"/>
        <w:rPr>
          <w:rFonts w:ascii="Arial Narrow" w:hAnsi="Arial Narrow" w:cs="Arial Narrow"/>
          <w:sz w:val="18"/>
        </w:rPr>
      </w:pPr>
      <w:r>
        <w:rPr>
          <w:rFonts w:cs="Arial Narrow" w:ascii="Arial Narrow" w:hAnsi="Arial Narrow"/>
          <w:sz w:val="18"/>
        </w:rPr>
        <w:t>P. O. Box 1188</w:t>
      </w:r>
    </w:p>
    <w:p>
      <w:pPr>
        <w:pStyle w:val="Normal"/>
        <w:ind w:start="1440" w:end="0"/>
        <w:jc w:val="both"/>
        <w:rPr>
          <w:rFonts w:ascii="Arial Narrow" w:hAnsi="Arial Narrow" w:cs="Arial Narrow"/>
          <w:sz w:val="18"/>
        </w:rPr>
      </w:pPr>
      <w:r>
        <w:rPr>
          <w:rFonts w:cs="Arial Narrow" w:ascii="Arial Narrow" w:hAnsi="Arial Narrow"/>
          <w:sz w:val="18"/>
        </w:rPr>
        <w:t>Houston, Texas 77251-1188</w:t>
      </w:r>
    </w:p>
    <w:p>
      <w:pPr>
        <w:pStyle w:val="Normal"/>
        <w:ind w:firstLine="720" w:start="720" w:end="0"/>
        <w:jc w:val="both"/>
        <w:rPr>
          <w:rFonts w:ascii="Arial Narrow" w:hAnsi="Arial Narrow" w:cs="Arial Narrow"/>
          <w:sz w:val="18"/>
        </w:rPr>
      </w:pPr>
      <w:r>
        <w:rPr>
          <w:rFonts w:cs="Arial Narrow" w:ascii="Arial Narrow" w:hAnsi="Arial Narrow"/>
          <w:sz w:val="18"/>
        </w:rPr>
        <w:t>Attn: Vice President, Finance and Treasurer</w:t>
      </w:r>
    </w:p>
    <w:p>
      <w:pPr>
        <w:pStyle w:val="Normal"/>
        <w:ind w:firstLine="720" w:start="720" w:end="0"/>
        <w:jc w:val="both"/>
        <w:rPr>
          <w:rFonts w:ascii="Arial Narrow" w:hAnsi="Arial Narrow" w:cs="Arial Narrow"/>
          <w:sz w:val="18"/>
        </w:rPr>
      </w:pPr>
      <w:r>
        <w:rPr>
          <w:rFonts w:cs="Arial Narrow" w:ascii="Arial Narrow" w:hAnsi="Arial Narrow"/>
          <w:sz w:val="18"/>
        </w:rPr>
        <w:t>Facsimile No.:  (713)646-3422</w:t>
      </w:r>
    </w:p>
    <w:p>
      <w:pPr>
        <w:pStyle w:val="Normal"/>
        <w:ind w:firstLine="720" w:start="720" w:end="0"/>
        <w:jc w:val="both"/>
        <w:rPr>
          <w:rFonts w:ascii="Arial Narrow" w:hAnsi="Arial Narrow" w:cs="Arial Narrow"/>
          <w:sz w:val="18"/>
        </w:rPr>
      </w:pPr>
      <w:r>
        <w:rPr>
          <w:rFonts w:cs="Arial Narrow" w:ascii="Arial Narrow" w:hAnsi="Arial Narrow"/>
          <w:sz w:val="18"/>
        </w:rPr>
      </w:r>
    </w:p>
    <w:p>
      <w:pPr>
        <w:pStyle w:val="Normal"/>
        <w:ind w:hanging="1440" w:start="1440" w:end="0"/>
        <w:jc w:val="both"/>
        <w:rPr/>
      </w:pPr>
      <w:r>
        <w:rPr>
          <w:rFonts w:cs="Arial Narrow" w:ascii="Arial Narrow" w:hAnsi="Arial Narrow"/>
          <w:sz w:val="18"/>
          <w:u w:val="single"/>
        </w:rPr>
        <w:t>To Contract Party</w:t>
      </w:r>
      <w:r>
        <w:rPr>
          <w:rFonts w:cs="Arial Narrow" w:ascii="Arial Narrow" w:hAnsi="Arial Narrow"/>
          <w:sz w:val="18"/>
        </w:rPr>
        <w:t>:</w:t>
        <w:tab/>
        <w:t>Coastal Merchant Energy, L.P.</w:t>
      </w:r>
    </w:p>
    <w:p>
      <w:pPr>
        <w:pStyle w:val="Normal"/>
        <w:ind w:start="1440" w:end="0"/>
        <w:jc w:val="both"/>
        <w:rPr>
          <w:rFonts w:ascii="Arial Narrow" w:hAnsi="Arial Narrow" w:cs="Arial Narrow"/>
          <w:sz w:val="18"/>
        </w:rPr>
      </w:pPr>
      <w:r>
        <w:rPr>
          <w:rFonts w:cs="Arial Narrow" w:ascii="Arial Narrow" w:hAnsi="Arial Narrow"/>
          <w:sz w:val="18"/>
        </w:rPr>
        <w:t>Five Greenway Plaza, Suite 1200</w:t>
      </w:r>
    </w:p>
    <w:p>
      <w:pPr>
        <w:pStyle w:val="Normal"/>
        <w:ind w:start="1440" w:end="0"/>
        <w:jc w:val="both"/>
        <w:rPr>
          <w:rFonts w:ascii="Arial Narrow" w:hAnsi="Arial Narrow" w:cs="Arial Narrow"/>
          <w:sz w:val="18"/>
        </w:rPr>
      </w:pPr>
      <w:r>
        <w:rPr>
          <w:rFonts w:cs="Arial Narrow" w:ascii="Arial Narrow" w:hAnsi="Arial Narrow"/>
          <w:sz w:val="18"/>
        </w:rPr>
        <w:t>Houston, Texas 77046</w:t>
      </w:r>
    </w:p>
    <w:p>
      <w:pPr>
        <w:pStyle w:val="Normal"/>
        <w:ind w:start="1440" w:end="0"/>
        <w:jc w:val="both"/>
        <w:rPr>
          <w:rFonts w:ascii="Arial Narrow" w:hAnsi="Arial Narrow" w:cs="Arial Narrow"/>
          <w:sz w:val="18"/>
        </w:rPr>
      </w:pPr>
      <w:r>
        <w:rPr>
          <w:rFonts w:cs="Arial Narrow" w:ascii="Arial Narrow" w:hAnsi="Arial Narrow"/>
          <w:sz w:val="18"/>
        </w:rPr>
        <w:t>Attn:  Senior Vice President, Treasury Dept.</w:t>
      </w:r>
    </w:p>
    <w:p>
      <w:pPr>
        <w:pStyle w:val="Normal"/>
        <w:ind w:start="1440" w:end="0"/>
        <w:jc w:val="both"/>
        <w:rPr>
          <w:rFonts w:ascii="Arial Narrow" w:hAnsi="Arial Narrow" w:cs="Arial Narrow"/>
          <w:sz w:val="18"/>
        </w:rPr>
      </w:pPr>
      <w:r>
        <w:rPr>
          <w:rFonts w:cs="Arial Narrow" w:ascii="Arial Narrow" w:hAnsi="Arial Narrow"/>
          <w:sz w:val="18"/>
        </w:rPr>
        <w:t>Facsimile No.: (713)297-1053</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bCs/>
          <w:sz w:val="18"/>
        </w:rPr>
        <w:t>ENRON CORP.</w:t>
      </w:r>
      <w:r>
        <w:rPr>
          <w:rFonts w:cs="Arial Narrow" w:ascii="Arial Narrow" w:hAnsi="Arial Narrow"/>
          <w:sz w:val="18"/>
        </w:rPr>
        <w:tab/>
        <w:tab/>
        <w:tab/>
        <w:tab/>
      </w:r>
      <w:r>
        <w:rPr>
          <w:rFonts w:cs="Arial Narrow" w:ascii="Arial Narrow" w:hAnsi="Arial Narrow"/>
          <w:b/>
          <w:bCs/>
          <w:sz w:val="18"/>
        </w:rPr>
        <w:tab/>
        <w:t>COASTAL MERCHANT ENERGY, L.P.</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b/>
          <w:sz w:val="18"/>
        </w:rPr>
      </w:pPr>
      <w:r>
        <w:rPr>
          <w:rFonts w:cs="Arial Narrow" w:ascii="Arial Narrow" w:hAnsi="Arial Narrow"/>
          <w:b/>
          <w:sz w:val="18"/>
        </w:rPr>
      </w:r>
    </w:p>
    <w:p>
      <w:pPr>
        <w:pStyle w:val="Heading1"/>
        <w:ind w:hanging="0" w:start="0"/>
        <w:rPr/>
      </w:pPr>
      <w:r>
        <w:rPr/>
        <w:t>GUARANTY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20"/>
        </w:rPr>
        <w:tab/>
        <w:t>This commitment (the "</w:t>
      </w:r>
      <w:r>
        <w:rPr>
          <w:rFonts w:cs="Arial Narrow" w:ascii="Arial Narrow" w:hAnsi="Arial Narrow"/>
          <w:sz w:val="20"/>
          <w:u w:val="single"/>
        </w:rPr>
        <w:t>Guaranty</w:t>
      </w:r>
      <w:r>
        <w:rPr>
          <w:rFonts w:cs="Arial Narrow" w:ascii="Arial Narrow" w:hAnsi="Arial Narrow"/>
          <w:sz w:val="20"/>
        </w:rPr>
        <w:t>") is made effective October 1, 2000, by The Coastal Corporation (hereinafter “Guarantor”), a Delaware corporation, in favor of Houston Pipe Line Company (hereinafter referred to as “Creditor”).</w:t>
      </w:r>
    </w:p>
    <w:p>
      <w:pPr>
        <w:pStyle w:val="Normal"/>
        <w:jc w:val="both"/>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W I T N E S S E T H:</w:t>
      </w:r>
    </w:p>
    <w:p>
      <w:pPr>
        <w:pStyle w:val="Normal"/>
        <w:jc w:val="center"/>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 xml:space="preserve">WHEREAS, Creditor and Coastal Merchant Energy, L.P., a Delaware limited partnership formerly named Engage Energy US, L.P. (hereinafter referred to as “Debtor”), has entered into or hereinafter may enter into contracts, agreements or commitments (hereinafter referred to collectively as “Agreements”) for the sale, purchase or exchange of natural gas, natural gas liquids or electric power or the transportation hereof; and </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 xml:space="preserve">WHEREAS, Guarantor desires to guarantee to Creditor the payment obligations of Debtor under the Agreements; and </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WHEREAS, Creditor is willing to continue to enter into Agreements, provided Guarantor unconditionally guarantees and otherwise ensures full and timely payment by Debtor to Creditor as provided herein.</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NOW, THEREFORE, in consideration of the premises and the mutual covenants contained herein and to induce Creditor to extend credit to Debtor or otherwise become a creditor of Debtor from time to time in respect of the Agreement, which benefit Guarantor acknowledges, it is agreed as follows:</w:t>
      </w:r>
    </w:p>
    <w:p>
      <w:pPr>
        <w:pStyle w:val="Normal"/>
        <w:jc w:val="both"/>
        <w:rPr>
          <w:rFonts w:ascii="Arial Narrow" w:hAnsi="Arial Narrow" w:cs="Arial Narrow"/>
          <w:sz w:val="20"/>
        </w:rPr>
      </w:pPr>
      <w:r>
        <w:rPr>
          <w:rFonts w:cs="Arial Narrow" w:ascii="Arial Narrow" w:hAnsi="Arial Narrow"/>
          <w:sz w:val="20"/>
        </w:rPr>
      </w:r>
    </w:p>
    <w:p>
      <w:pPr>
        <w:pStyle w:val="BodyText2"/>
        <w:rPr>
          <w:sz w:val="20"/>
        </w:rPr>
      </w:pPr>
      <w:r>
        <w:rPr>
          <w:sz w:val="20"/>
        </w:rPr>
        <w:tab/>
        <w:t>1.</w:t>
        <w:tab/>
        <w:t>Guarantor hereby unconditionally guarantees the obligation by Debtor to pay (i) all amounts due Creditor under the Agreements during the term hereof, and (ii) all amounts due Creditor under transactions entered into during the term hereof pursuant to the Agreements, such that, if Debtor defaults in the payment of any such amounts, Guarantor shall make such payment or otherwise cause such payment to be made within fifteen days after Guarantor receives notice of such default.  Guarantor further agrees to pay all reasonable attorneys’ fees, costs and expenses incurred by Creditor in connection with the collection of any debts hereunder or enforcement of this Guaranty.  Notwithstanding the foregoing (i) the maximum aggregate liability of Guarantor under this Guaranty shall not exceed US $10,000,000, and (ii) as to amounts under Agreements or transactions pursuant to Agreements that Guarantor is called upon to pay or cause payment to be made, Guarantor reserves to itself all rights, setoffs, counterclaims and defenses to which Debtor is or may be entitled to arising from or out of the Agreements or otherwise, except for those arising out of the bankruptcy, insolvency, dissolution or liquidation of Debtor.</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2.</w:t>
        <w:tab/>
        <w:t>Guarantor agrees that Creditor shall have the full right, in its sole discretion and without any notice to or consent from Guarantor, from time to time and at any time, and without affecting, impairing or discharging, in whole or in part, the liability of Guarantor hereunder to:</w:t>
      </w:r>
    </w:p>
    <w:p>
      <w:pPr>
        <w:pStyle w:val="Normal"/>
        <w:jc w:val="both"/>
        <w:rPr>
          <w:rFonts w:ascii="Arial Narrow" w:hAnsi="Arial Narrow" w:cs="Arial Narrow"/>
          <w:sz w:val="20"/>
        </w:rPr>
      </w:pPr>
      <w:r>
        <w:rPr>
          <w:rFonts w:cs="Arial Narrow" w:ascii="Arial Narrow" w:hAnsi="Arial Narrow"/>
          <w:sz w:val="20"/>
        </w:rPr>
      </w:r>
    </w:p>
    <w:p>
      <w:pPr>
        <w:pStyle w:val="BodyTextIndent"/>
        <w:rPr>
          <w:sz w:val="20"/>
        </w:rPr>
      </w:pPr>
      <w:r>
        <w:rPr>
          <w:sz w:val="20"/>
        </w:rPr>
        <w:tab/>
        <w:t>(a)</w:t>
        <w:tab/>
        <w:t>extend, in whole or in part, the time of performance or payment of any obligations owing by Debtor to Creditor;</w:t>
      </w:r>
    </w:p>
    <w:p>
      <w:pPr>
        <w:pStyle w:val="Normal"/>
        <w:tabs>
          <w:tab w:val="clear" w:pos="720"/>
          <w:tab w:val="left" w:pos="1440" w:leader="none"/>
        </w:tabs>
        <w:ind w:hanging="2070" w:start="2160" w:end="0"/>
        <w:jc w:val="both"/>
        <w:rPr>
          <w:rFonts w:ascii="Arial Narrow" w:hAnsi="Arial Narrow" w:cs="Arial Narrow"/>
          <w:sz w:val="20"/>
        </w:rPr>
      </w:pPr>
      <w:r>
        <w:rPr>
          <w:rFonts w:cs="Arial Narrow" w:ascii="Arial Narrow" w:hAnsi="Arial Narrow"/>
          <w:sz w:val="20"/>
        </w:rPr>
      </w:r>
    </w:p>
    <w:p>
      <w:pPr>
        <w:pStyle w:val="Normal"/>
        <w:tabs>
          <w:tab w:val="clear" w:pos="720"/>
          <w:tab w:val="left" w:pos="1440" w:leader="none"/>
        </w:tabs>
        <w:ind w:hanging="2070" w:start="2160" w:end="0"/>
        <w:jc w:val="both"/>
        <w:rPr>
          <w:rFonts w:ascii="Arial Narrow" w:hAnsi="Arial Narrow" w:cs="Arial Narrow"/>
          <w:sz w:val="20"/>
        </w:rPr>
      </w:pPr>
      <w:r>
        <w:rPr>
          <w:rFonts w:cs="Arial Narrow" w:ascii="Arial Narrow" w:hAnsi="Arial Narrow"/>
          <w:sz w:val="20"/>
        </w:rPr>
        <w:tab/>
        <w:t>(b)</w:t>
        <w:tab/>
        <w:t>agree with Debtor to make any change, amendment or modification whatsoever of any term or condition of any Agreement, including, but not limited to, the amount payable thereunder;</w:t>
      </w:r>
    </w:p>
    <w:p>
      <w:pPr>
        <w:pStyle w:val="Normal"/>
        <w:tabs>
          <w:tab w:val="clear" w:pos="720"/>
          <w:tab w:val="left" w:pos="1440" w:leader="none"/>
        </w:tabs>
        <w:ind w:hanging="2070" w:start="2160" w:end="0"/>
        <w:jc w:val="both"/>
        <w:rPr>
          <w:rFonts w:ascii="Arial Narrow" w:hAnsi="Arial Narrow" w:cs="Arial Narrow"/>
          <w:sz w:val="20"/>
        </w:rPr>
      </w:pPr>
      <w:r>
        <w:rPr>
          <w:rFonts w:cs="Arial Narrow" w:ascii="Arial Narrow" w:hAnsi="Arial Narrow"/>
          <w:sz w:val="20"/>
        </w:rPr>
      </w:r>
    </w:p>
    <w:p>
      <w:pPr>
        <w:pStyle w:val="Normal"/>
        <w:tabs>
          <w:tab w:val="clear" w:pos="720"/>
          <w:tab w:val="left" w:pos="1440" w:leader="none"/>
        </w:tabs>
        <w:ind w:hanging="2070" w:start="2160" w:end="0"/>
        <w:jc w:val="both"/>
        <w:rPr>
          <w:rFonts w:ascii="Arial Narrow" w:hAnsi="Arial Narrow" w:cs="Arial Narrow"/>
          <w:sz w:val="20"/>
        </w:rPr>
      </w:pPr>
      <w:r>
        <w:rPr>
          <w:rFonts w:cs="Arial Narrow" w:ascii="Arial Narrow" w:hAnsi="Arial Narrow"/>
          <w:sz w:val="20"/>
        </w:rPr>
        <w:tab/>
        <w:t>(c)</w:t>
        <w:tab/>
        <w:t>settle, compromise, release, surrender, modify or impair, and enforce, exercise or fail or refuse to enforce or exercise, any claims, rights or remedies of any kind or nature against Debtor; and</w:t>
      </w:r>
    </w:p>
    <w:p>
      <w:pPr>
        <w:pStyle w:val="Normal"/>
        <w:tabs>
          <w:tab w:val="clear" w:pos="720"/>
          <w:tab w:val="left" w:pos="1440" w:leader="none"/>
        </w:tabs>
        <w:ind w:hanging="2070" w:start="2160" w:end="0"/>
        <w:jc w:val="both"/>
        <w:rPr>
          <w:rFonts w:ascii="Arial Narrow" w:hAnsi="Arial Narrow" w:cs="Arial Narrow"/>
          <w:sz w:val="20"/>
        </w:rPr>
      </w:pPr>
      <w:r>
        <w:rPr>
          <w:rFonts w:cs="Arial Narrow" w:ascii="Arial Narrow" w:hAnsi="Arial Narrow"/>
          <w:sz w:val="20"/>
        </w:rPr>
      </w:r>
    </w:p>
    <w:p>
      <w:pPr>
        <w:pStyle w:val="Normal"/>
        <w:tabs>
          <w:tab w:val="clear" w:pos="720"/>
          <w:tab w:val="left" w:pos="1440" w:leader="none"/>
        </w:tabs>
        <w:ind w:hanging="2070" w:start="2160" w:end="0"/>
        <w:jc w:val="both"/>
        <w:rPr>
          <w:rFonts w:ascii="Arial Narrow" w:hAnsi="Arial Narrow" w:cs="Arial Narrow"/>
          <w:sz w:val="20"/>
        </w:rPr>
      </w:pPr>
      <w:r>
        <w:rPr>
          <w:rFonts w:cs="Arial Narrow" w:ascii="Arial Narrow" w:hAnsi="Arial Narrow"/>
          <w:sz w:val="20"/>
        </w:rPr>
        <w:tab/>
        <w:t>(d)</w:t>
        <w:tab/>
        <w:t>accept any security or other guarantees or sureties for the performance by Debtor of its obligations to Creditor.</w:t>
      </w:r>
    </w:p>
    <w:p>
      <w:pPr>
        <w:pStyle w:val="Normal"/>
        <w:tabs>
          <w:tab w:val="clear" w:pos="720"/>
          <w:tab w:val="left" w:pos="1440" w:leader="none"/>
        </w:tabs>
        <w:ind w:hanging="2070" w:start="2160" w:end="0"/>
        <w:jc w:val="both"/>
        <w:rPr>
          <w:rFonts w:ascii="Arial Narrow" w:hAnsi="Arial Narrow" w:cs="Arial Narrow"/>
          <w:sz w:val="20"/>
        </w:rPr>
      </w:pPr>
      <w:r>
        <w:rPr>
          <w:rFonts w:cs="Arial Narrow" w:ascii="Arial Narrow" w:hAnsi="Arial Narrow"/>
          <w:sz w:val="20"/>
        </w:rPr>
      </w:r>
    </w:p>
    <w:p>
      <w:pPr>
        <w:pStyle w:val="BodyText2"/>
        <w:tabs>
          <w:tab w:val="left" w:pos="720" w:leader="none"/>
          <w:tab w:val="left" w:pos="1440" w:leader="none"/>
        </w:tabs>
        <w:rPr>
          <w:sz w:val="20"/>
        </w:rPr>
      </w:pPr>
      <w:r>
        <w:rPr>
          <w:sz w:val="20"/>
        </w:rPr>
        <w:tab/>
        <w:t>3.</w:t>
        <w:tab/>
        <w:t>Guarantor hereby ratifies and affirms any such extension, change, amendment, renewal, release, surrender, exchange, modification, impairment, settlement or compromise, and all such actions shall be binding upon Guarantor.</w:t>
      </w:r>
    </w:p>
    <w:p>
      <w:pPr>
        <w:pStyle w:val="Normal"/>
        <w:tabs>
          <w:tab w:val="left" w:pos="720" w:leader="none"/>
          <w:tab w:val="left" w:pos="1440" w:leader="none"/>
        </w:tabs>
        <w:jc w:val="both"/>
        <w:rPr>
          <w:rFonts w:ascii="Arial Narrow" w:hAnsi="Arial Narrow" w:cs="Arial Narrow"/>
          <w:sz w:val="20"/>
        </w:rPr>
      </w:pPr>
      <w:r>
        <w:rPr>
          <w:rFonts w:cs="Arial Narrow" w:ascii="Arial Narrow" w:hAnsi="Arial Narrow"/>
          <w:sz w:val="20"/>
        </w:rPr>
      </w:r>
    </w:p>
    <w:p>
      <w:pPr>
        <w:pStyle w:val="Normal"/>
        <w:tabs>
          <w:tab w:val="left" w:pos="720" w:leader="none"/>
          <w:tab w:val="left" w:pos="1440" w:leader="none"/>
        </w:tabs>
        <w:jc w:val="both"/>
        <w:rPr>
          <w:rFonts w:ascii="Arial Narrow" w:hAnsi="Arial Narrow" w:cs="Arial Narrow"/>
          <w:sz w:val="20"/>
        </w:rPr>
      </w:pPr>
      <w:r>
        <w:rPr>
          <w:rFonts w:cs="Arial Narrow" w:ascii="Arial Narrow" w:hAnsi="Arial Narrow"/>
          <w:sz w:val="20"/>
        </w:rPr>
        <w:tab/>
        <w:t>4.</w:t>
        <w:tab/>
        <w:t>This Guaranty shall be construed as an unconditional, absolute, indivisible and cumulative continuing guaranty of payment.  Guarantor specifically agrees that Creditor may, at its option, proceed against Guarantor in the first instance without first proceeding against Debtor or any other party.</w:t>
      </w:r>
    </w:p>
    <w:p>
      <w:pPr>
        <w:pStyle w:val="Normal"/>
        <w:tabs>
          <w:tab w:val="left" w:pos="720" w:leader="none"/>
          <w:tab w:val="left" w:pos="1440" w:leader="none"/>
        </w:tabs>
        <w:jc w:val="both"/>
        <w:rPr>
          <w:rFonts w:ascii="Arial Narrow" w:hAnsi="Arial Narrow" w:cs="Arial Narrow"/>
          <w:sz w:val="20"/>
        </w:rPr>
      </w:pPr>
      <w:r>
        <w:rPr>
          <w:rFonts w:cs="Arial Narrow" w:ascii="Arial Narrow" w:hAnsi="Arial Narrow"/>
          <w:sz w:val="20"/>
        </w:rPr>
      </w:r>
    </w:p>
    <w:p>
      <w:pPr>
        <w:pStyle w:val="Normal"/>
        <w:tabs>
          <w:tab w:val="left" w:pos="720" w:leader="none"/>
          <w:tab w:val="left" w:pos="1440" w:leader="none"/>
        </w:tabs>
        <w:jc w:val="both"/>
        <w:rPr>
          <w:rFonts w:ascii="Arial Narrow" w:hAnsi="Arial Narrow" w:cs="Arial Narrow"/>
          <w:sz w:val="20"/>
        </w:rPr>
      </w:pPr>
      <w:r>
        <w:rPr>
          <w:rFonts w:cs="Arial Narrow" w:ascii="Arial Narrow" w:hAnsi="Arial Narrow"/>
          <w:sz w:val="20"/>
        </w:rPr>
        <w:tab/>
        <w:t>5.</w:t>
        <w:tab/>
        <w:t>Guarantor hereby waives:</w:t>
      </w:r>
    </w:p>
    <w:p>
      <w:pPr>
        <w:pStyle w:val="Normal"/>
        <w:tabs>
          <w:tab w:val="left" w:pos="720" w:leader="none"/>
          <w:tab w:val="left" w:pos="1440" w:leader="none"/>
        </w:tabs>
        <w:jc w:val="both"/>
        <w:rPr>
          <w:rFonts w:ascii="Arial Narrow" w:hAnsi="Arial Narrow" w:cs="Arial Narrow"/>
          <w:sz w:val="20"/>
        </w:rPr>
      </w:pPr>
      <w:r>
        <w:rPr>
          <w:rFonts w:cs="Arial Narrow" w:ascii="Arial Narrow" w:hAnsi="Arial Narrow"/>
          <w:sz w:val="20"/>
        </w:rPr>
      </w:r>
    </w:p>
    <w:p>
      <w:pPr>
        <w:pStyle w:val="BodyTextIndent2"/>
        <w:rPr>
          <w:sz w:val="20"/>
        </w:rPr>
      </w:pPr>
      <w:r>
        <w:rPr>
          <w:sz w:val="20"/>
        </w:rPr>
        <w:tab/>
        <w:tab/>
        <w:t>(a)</w:t>
        <w:tab/>
        <w:t>notice of acceptance hereof, notice of sales or delivery of merchandise and/or services incurred by Debtor or Creditor; and</w:t>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tab/>
        <w:tab/>
        <w:t>(b)</w:t>
        <w:tab/>
        <w:t>except as otherwise provided herein, notice of any presentment, demand, protest and notice of protest and dishonor and default in any and all forms of such indebtedness or liability of Debtor.</w:t>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tab/>
        <w:t>6.</w:t>
        <w:tab/>
        <w:t>Guarantor represents that:</w:t>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tab/>
        <w:tab/>
        <w:t>(a)</w:t>
        <w:tab/>
        <w:t>Guarantor has the full power, authority and legal right to execute, deliver and perform the terms of this Guaranty, and this Guaranty has been duly authorized by all necessary corporate actions of Guarantor and constitutes a valid and binding obligation of Guarantor enforceable in accordance with its terms;</w:t>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tab/>
        <w:tab/>
        <w:t>(b)</w:t>
        <w:tab/>
        <w:t xml:space="preserve">The execution and delivery of this Guaranty, and the performance of its terms and provisions, will not contravene any provisions of law now in effect, judgment, decree, order, or permit, or result in or constitute a breach of the terms, conditions or provisions of the charter or bylaws of Guarantor or any agreement or instrument to which Guarantor is a party, or by which it is bound; and </w:t>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tab/>
        <w:tab/>
        <w:t>(c)</w:t>
        <w:tab/>
        <w:t>At the time of the execution and delivery of this Guaranty, nothing exists to impair the effectiveness of Guarantor’s liability to Creditor hereunder, or the immediate taking effect of this Guaranty as the sole agreement between it and Creditor with respect to guaranteeing the obligations of Debtor to Creditor.</w:t>
      </w:r>
    </w:p>
    <w:p>
      <w:pPr>
        <w:pStyle w:val="Normal"/>
        <w:tabs>
          <w:tab w:val="left" w:pos="720" w:leader="none"/>
          <w:tab w:val="left" w:pos="1440" w:leader="none"/>
        </w:tabs>
        <w:ind w:hanging="2160" w:start="2160" w:end="0"/>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7.</w:t>
        <w:tab/>
        <w:t>This Guaranty is assignable by Creditor only upon Guarantor’s written approval.  Such approval shall not be unreasonably withheld.</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8.</w:t>
        <w:tab/>
        <w:t>This Guaranty may be terminated by Guarantor at any time effective fifteen (15) days after written notice to Creditor, in care of Enron, of intent to terminate mailed by Registered or Certified U.S. Mail, Return Receipt Requested, and in any event this Guaranty shall terminate on September 30, 2001.  In no event shall termination be effective as to transactions entered into between the Creditor and Debtor pursuant to the Agreements prior to the effective date of termination.</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9.</w:t>
        <w:tab/>
        <w:t>(a)</w:t>
        <w:tab/>
        <w:t>The laws of the State of Texas shall govern this Guaranty and the performance hereof.</w:t>
      </w:r>
    </w:p>
    <w:p>
      <w:pPr>
        <w:pStyle w:val="Normal"/>
        <w:jc w:val="both"/>
        <w:rPr>
          <w:rFonts w:ascii="Arial Narrow" w:hAnsi="Arial Narrow" w:cs="Arial Narrow"/>
          <w:sz w:val="20"/>
        </w:rPr>
      </w:pPr>
      <w:r>
        <w:rPr>
          <w:rFonts w:cs="Arial Narrow" w:ascii="Arial Narrow" w:hAnsi="Arial Narrow"/>
          <w:sz w:val="20"/>
        </w:rPr>
      </w:r>
    </w:p>
    <w:p>
      <w:pPr>
        <w:pStyle w:val="BodyTextIndent3"/>
        <w:rPr>
          <w:sz w:val="20"/>
        </w:rPr>
      </w:pPr>
      <w:r>
        <w:rPr>
          <w:sz w:val="20"/>
        </w:rPr>
        <w:t>(b)</w:t>
        <w:tab/>
        <w:t xml:space="preserve">All actions or proceedings arising directly, indirectly or otherwise in connection with, out of, related to, or from this Guaranty shall be litigated only under the jurisdiction of any and all state and federal courts located within the County of Harris, State of Texas.  The Secretary of State of Texas, or if designated by a party at its option, CT Corporation System (whose address is 811 Dallas Avenue, Houston, Texas 77002) shall act as true and lawful attorney-in-fact and duly authorized agent for service of legal process on Guarantor.  Service of such process by Creditor upon said attorney-in-fact and agent shall constitute personal service upon the Guarantor.  As additional service, Creditor shall concurrently send a copy of that legal process by certified mail to the Guarantor at its address. </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ab/>
      </w:r>
      <w:r>
        <w:rPr>
          <w:rFonts w:cs="Arial Narrow" w:ascii="Arial Narrow" w:hAnsi="Arial Narrow"/>
          <w:b/>
          <w:bCs/>
          <w:sz w:val="20"/>
        </w:rPr>
        <w:t>IN WITHNESS WHEREOF,</w:t>
      </w:r>
      <w:r>
        <w:rPr>
          <w:rFonts w:cs="Arial Narrow" w:ascii="Arial Narrow" w:hAnsi="Arial Narrow"/>
          <w:sz w:val="20"/>
        </w:rPr>
        <w:t xml:space="preserve"> Guarantor has duly executed this Guaranty on the ____ day of __________, 2000, to be effective as of the date first above written.</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ab/>
        <w:tab/>
        <w:tab/>
        <w:tab/>
        <w:tab/>
        <w:tab/>
        <w:tab/>
      </w:r>
      <w:r>
        <w:rPr>
          <w:rFonts w:cs="Arial Narrow" w:ascii="Arial Narrow" w:hAnsi="Arial Narrow"/>
          <w:b/>
          <w:bCs/>
          <w:sz w:val="20"/>
        </w:rPr>
        <w:t>THE COASTAL CORPORATION</w:t>
      </w:r>
    </w:p>
    <w:p>
      <w:pPr>
        <w:pStyle w:val="Normal"/>
        <w:jc w:val="both"/>
        <w:rPr>
          <w:rFonts w:ascii="Arial Narrow" w:hAnsi="Arial Narrow" w:cs="Arial Narrow"/>
          <w:b/>
          <w:bCs/>
          <w:sz w:val="20"/>
        </w:rPr>
      </w:pPr>
      <w:r>
        <w:rPr>
          <w:rFonts w:cs="Arial Narrow" w:ascii="Arial Narrow" w:hAnsi="Arial Narrow"/>
          <w:b/>
          <w:bCs/>
          <w:sz w:val="20"/>
        </w:rPr>
      </w:r>
    </w:p>
    <w:p>
      <w:pPr>
        <w:pStyle w:val="Normal"/>
        <w:jc w:val="both"/>
        <w:rPr>
          <w:rFonts w:ascii="Arial Narrow" w:hAnsi="Arial Narrow" w:cs="Arial Narrow"/>
          <w:b/>
          <w:bCs/>
          <w:sz w:val="20"/>
        </w:rPr>
      </w:pPr>
      <w:r>
        <w:rPr>
          <w:rFonts w:cs="Arial Narrow" w:ascii="Arial Narrow" w:hAnsi="Arial Narrow"/>
          <w:b/>
          <w:bCs/>
          <w:sz w:val="20"/>
        </w:rPr>
      </w:r>
    </w:p>
    <w:p>
      <w:pPr>
        <w:pStyle w:val="Normal"/>
        <w:jc w:val="both"/>
        <w:rPr>
          <w:rFonts w:ascii="Arial Narrow" w:hAnsi="Arial Narrow" w:cs="Arial Narrow"/>
          <w:sz w:val="20"/>
        </w:rPr>
      </w:pPr>
      <w:r>
        <w:rPr>
          <w:rFonts w:cs="Arial Narrow" w:ascii="Arial Narrow" w:hAnsi="Arial Narrow"/>
          <w:sz w:val="20"/>
        </w:rPr>
        <w:tab/>
        <w:tab/>
        <w:tab/>
        <w:tab/>
        <w:tab/>
        <w:tab/>
        <w:tab/>
        <w:t>By: ________________________</w:t>
      </w:r>
    </w:p>
    <w:p>
      <w:pPr>
        <w:pStyle w:val="Normal"/>
        <w:jc w:val="both"/>
        <w:rPr>
          <w:rFonts w:ascii="Arial Narrow" w:hAnsi="Arial Narrow" w:cs="Arial Narrow"/>
          <w:sz w:val="20"/>
        </w:rPr>
      </w:pPr>
      <w:r>
        <w:rPr>
          <w:rFonts w:cs="Arial Narrow" w:ascii="Arial Narrow" w:hAnsi="Arial Narrow"/>
          <w:sz w:val="20"/>
        </w:rPr>
        <w:tab/>
        <w:tab/>
        <w:tab/>
        <w:tab/>
        <w:tab/>
        <w:tab/>
        <w:tab/>
        <w:tab/>
        <w:t>Gene T. Waguespack</w:t>
      </w:r>
    </w:p>
    <w:p>
      <w:pPr>
        <w:pStyle w:val="Normal"/>
        <w:jc w:val="both"/>
        <w:rPr>
          <w:rFonts w:ascii="Arial Narrow" w:hAnsi="Arial Narrow" w:cs="Arial Narrow"/>
          <w:sz w:val="20"/>
        </w:rPr>
      </w:pPr>
      <w:r>
        <w:rPr>
          <w:rFonts w:cs="Arial Narrow" w:ascii="Arial Narrow" w:hAnsi="Arial Narrow"/>
          <w:sz w:val="20"/>
        </w:rPr>
        <w:tab/>
        <w:tab/>
        <w:tab/>
        <w:tab/>
        <w:tab/>
        <w:tab/>
        <w:tab/>
        <w:tab/>
        <w:t>Vice President and Controller</w:t>
      </w:r>
    </w:p>
    <w:p>
      <w:pPr>
        <w:pStyle w:val="Normal"/>
        <w:jc w:val="both"/>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9360" w:leader="none"/>
      </w:tabs>
      <w:jc w:val="center"/>
      <w:outlineLvl w:val="0"/>
    </w:pPr>
    <w:rPr>
      <w:rFonts w:ascii="Arial Narrow" w:hAnsi="Arial Narrow" w:cs="Arial Narrow"/>
      <w:b/>
      <w:bCs/>
      <w:sz w:val="22"/>
      <w:u w:val="single"/>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s>
      <w:jc w:val="both"/>
    </w:pPr>
    <w:rPr>
      <w:rFonts w:ascii="Arial Narrow" w:hAnsi="Arial Narrow" w:cs="Arial Narrow"/>
      <w:sz w:val="22"/>
    </w:rPr>
  </w:style>
  <w:style w:type="paragraph" w:styleId="BodyTextIndent">
    <w:name w:val="Body Text Indent"/>
    <w:basedOn w:val="Normal"/>
    <w:pPr>
      <w:tabs>
        <w:tab w:val="clear" w:pos="720"/>
        <w:tab w:val="left" w:pos="1440" w:leader="none"/>
      </w:tabs>
      <w:ind w:hanging="2070" w:start="2160" w:end="0"/>
      <w:jc w:val="both"/>
    </w:pPr>
    <w:rPr>
      <w:rFonts w:ascii="Arial Narrow" w:hAnsi="Arial Narrow" w:cs="Arial Narrow"/>
      <w:sz w:val="22"/>
    </w:rPr>
  </w:style>
  <w:style w:type="paragraph" w:styleId="BodyTextIndent2">
    <w:name w:val="Body Text Indent 2"/>
    <w:basedOn w:val="Normal"/>
    <w:qFormat/>
    <w:pPr>
      <w:tabs>
        <w:tab w:val="left" w:pos="720" w:leader="none"/>
        <w:tab w:val="left" w:pos="1440" w:leader="none"/>
      </w:tabs>
      <w:ind w:hanging="2160" w:start="2160" w:end="0"/>
      <w:jc w:val="both"/>
    </w:pPr>
    <w:rPr>
      <w:rFonts w:ascii="Arial Narrow" w:hAnsi="Arial Narrow" w:cs="Arial Narrow"/>
      <w:sz w:val="22"/>
    </w:rPr>
  </w:style>
  <w:style w:type="paragraph" w:styleId="BodyTextIndent3">
    <w:name w:val="Body Text Indent 3"/>
    <w:basedOn w:val="Normal"/>
    <w:qFormat/>
    <w:pPr>
      <w:ind w:hanging="720" w:start="2160" w:end="0"/>
      <w:jc w:val="both"/>
    </w:pPr>
    <w:rPr>
      <w:rFonts w:ascii="Arial Narrow" w:hAnsi="Arial Narrow" w:cs="Arial Narrow"/>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2000-10-19T12:33:00Z</dcterms:created>
  <dc:creator>dperlin</dc:creator>
  <dc:description/>
  <dc:language>en-CA</dc:language>
  <cp:lastModifiedBy>dhyvl</cp:lastModifiedBy>
  <cp:lastPrinted>2000-10-19T09:56:00Z</cp:lastPrinted>
  <dcterms:modified xsi:type="dcterms:W3CDTF">2000-10-19T12:48:00Z</dcterms:modified>
  <cp:revision>3</cp:revision>
  <dc:subject/>
  <dc:title>ENFOLIO® MASTER FIRM PURCHASE/SALE AGREEMENT</dc:title>
</cp:coreProperties>
</file>