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Arial Narrow" w:hAnsi="Arial Narrow" w:cs="Arial Narrow"/>
          <w:b/>
          <w:sz w:val="18"/>
          <w:u w:val="single"/>
        </w:rPr>
      </w:pPr>
      <w:r>
        <w:rPr>
          <w:rFonts w:cs="Arial Narrow" w:ascii="Arial Narrow" w:hAnsi="Arial Narrow"/>
          <w:b/>
          <w:sz w:val="18"/>
          <w:u w:val="single"/>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w:t>
      </w:r>
      <w:r>
        <w:rPr>
          <w:rFonts w:cs="Arial Narrow" w:ascii="Arial Narrow" w:hAnsi="Arial Narrow"/>
          <w:sz w:val="18"/>
          <w:u w:val="single"/>
        </w:rPr>
        <w:t>Agreement</w:t>
      </w:r>
      <w:r>
        <w:rPr>
          <w:rFonts w:cs="Arial Narrow" w:ascii="Arial Narrow" w:hAnsi="Arial Narrow"/>
          <w:sz w:val="18"/>
        </w:rPr>
        <w:t>"), is entered into and made effective this __ day of July, 2000, by and between, Bastrop Energy Partners, a Delaware limited partnership, ("</w:t>
      </w:r>
      <w:r>
        <w:rPr>
          <w:rFonts w:cs="Arial Narrow" w:ascii="Arial Narrow" w:hAnsi="Arial Narrow"/>
          <w:sz w:val="18"/>
          <w:u w:val="single"/>
        </w:rPr>
        <w:t>BEP</w:t>
      </w:r>
      <w:r>
        <w:rPr>
          <w:rFonts w:cs="Arial Narrow" w:ascii="Arial Narrow" w:hAnsi="Arial Narrow"/>
          <w:sz w:val="18"/>
        </w:rPr>
        <w:t>"), and HOUSTON PIPE LINE COMPANY, a Delaware corporation, ("</w:t>
      </w:r>
      <w:r>
        <w:rPr>
          <w:rFonts w:cs="Arial Narrow" w:ascii="Arial Narrow" w:hAnsi="Arial Narrow"/>
          <w:sz w:val="18"/>
          <w:u w:val="single"/>
        </w:rPr>
        <w:t>HPL</w:t>
      </w:r>
      <w:r>
        <w:rPr>
          <w:rFonts w:cs="Arial Narrow" w:ascii="Arial Narrow" w:hAnsi="Arial Narrow"/>
          <w:sz w:val="18"/>
        </w:rPr>
        <w:t>").  (BEP and HPL are sometimes referred to individually as "</w:t>
      </w:r>
      <w:r>
        <w:rPr>
          <w:rFonts w:cs="Arial Narrow" w:ascii="Arial Narrow" w:hAnsi="Arial Narrow"/>
          <w:sz w:val="18"/>
          <w:u w:val="single"/>
        </w:rPr>
        <w:t>Party</w:t>
      </w:r>
      <w:r>
        <w:rPr>
          <w:rFonts w:cs="Arial Narrow" w:ascii="Arial Narrow" w:hAnsi="Arial Narrow"/>
          <w:sz w:val="18"/>
        </w:rPr>
        <w:t>" and collectively as "</w:t>
      </w:r>
      <w:r>
        <w:rPr>
          <w:rFonts w:cs="Arial Narrow" w:ascii="Arial Narrow" w:hAnsi="Arial Narrow"/>
          <w:sz w:val="18"/>
          <w:u w:val="single"/>
        </w:rPr>
        <w:t>Parties</w:t>
      </w:r>
      <w:r>
        <w:rPr>
          <w:rFonts w:cs="Arial Narrow" w:ascii="Arial Narrow" w:hAnsi="Arial Narrow"/>
          <w:sz w:val="18"/>
        </w:rPr>
        <w:t xml:space="preserve">"). </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pPr>
      <w:r>
        <w:rPr>
          <w:rFonts w:cs="Arial Narrow" w:ascii="Arial Narrow" w:hAnsi="Arial Narrow"/>
          <w:sz w:val="18"/>
        </w:rPr>
        <w:tab/>
        <w:t>WHEREAS, BEP intends to own and operate a combined cycle power plant and related facilities (the "</w:t>
      </w:r>
      <w:r>
        <w:rPr>
          <w:rFonts w:cs="Arial Narrow" w:ascii="Arial Narrow" w:hAnsi="Arial Narrow"/>
          <w:sz w:val="18"/>
          <w:u w:val="single"/>
        </w:rPr>
        <w:t>BEP Plant</w:t>
      </w:r>
      <w:r>
        <w:rPr>
          <w:rFonts w:cs="Arial Narrow" w:ascii="Arial Narrow" w:hAnsi="Arial Narrow"/>
          <w:sz w:val="18"/>
        </w:rPr>
        <w:t xml:space="preserve">") located in Bastrop County, Texas; and </w:t>
        <w:tab/>
        <w:t xml:space="preserve"> </w:t>
      </w:r>
    </w:p>
    <w:p>
      <w:pPr>
        <w:pStyle w:val="Heading2"/>
        <w:widowControl/>
        <w:rPr/>
      </w:pPr>
      <w:r>
        <w:rPr>
          <w:rFonts w:cs="Arial Narrow" w:ascii="Arial Narrow" w:hAnsi="Arial Narrow"/>
          <w:sz w:val="18"/>
        </w:rPr>
        <w:tab/>
        <w:t>WHEREAS, HPL owns and operates an intrastate natural gas pipeline and related facilities (the Liondale Facility) located in Texas (the "</w:t>
      </w:r>
      <w:r>
        <w:rPr>
          <w:rFonts w:cs="Arial Narrow" w:ascii="Arial Narrow" w:hAnsi="Arial Narrow"/>
          <w:sz w:val="18"/>
          <w:u w:val="single"/>
        </w:rPr>
        <w:t>HPL Pipeline</w:t>
      </w:r>
      <w:r>
        <w:rPr>
          <w:rFonts w:cs="Arial Narrow" w:ascii="Arial Narrow" w:hAnsi="Arial Narrow"/>
          <w:sz w:val="18"/>
        </w:rPr>
        <w:t>"); and</w:t>
      </w:r>
    </w:p>
    <w:p>
      <w:pPr>
        <w:pStyle w:val="Heading2"/>
        <w:widowControl/>
        <w:tabs>
          <w:tab w:val="clear" w:pos="720"/>
          <w:tab w:val="left" w:pos="0" w:leader="none"/>
        </w:tabs>
        <w:ind w:firstLine="1440" w:end="0"/>
        <w:rPr>
          <w:rFonts w:ascii="Arial Narrow" w:hAnsi="Arial Narrow" w:cs="Arial Narrow"/>
          <w:sz w:val="18"/>
        </w:rPr>
      </w:pPr>
      <w:r>
        <w:rPr>
          <w:rFonts w:cs="Arial Narrow" w:ascii="Arial Narrow" w:hAnsi="Arial Narrow"/>
          <w:sz w:val="18"/>
        </w:rPr>
        <w:t>WHEREAS, BEP also intends to install, own and operate an approximately 10 mile stretch of pipeline to enable the interconnection with HPL’s facilities; and</w:t>
      </w:r>
    </w:p>
    <w:p>
      <w:pPr>
        <w:pStyle w:val="Heading2"/>
        <w:widowControl/>
        <w:rPr>
          <w:rFonts w:ascii="Arial Narrow" w:hAnsi="Arial Narrow" w:cs="Arial Narrow"/>
          <w:sz w:val="18"/>
        </w:rPr>
      </w:pPr>
      <w:r>
        <w:rPr>
          <w:rFonts w:cs="Arial Narrow" w:ascii="Arial Narrow" w:hAnsi="Arial Narrow"/>
          <w:sz w:val="18"/>
        </w:rPr>
        <w:tab/>
        <w:t>WHEREAS, BEP and HPL desire to install, own, and operate a natural gas meter station and associated piping located at the BEP Plant in Bastrop County, Texas to deliver natural gas from the HPL Pipeline to the BEP Plant.</w:t>
      </w:r>
    </w:p>
    <w:p>
      <w:pPr>
        <w:pStyle w:val="Heading2"/>
        <w:widowControl/>
        <w:rPr>
          <w:rFonts w:ascii="Arial Narrow" w:hAnsi="Arial Narrow" w:cs="Arial Narrow"/>
          <w:sz w:val="18"/>
        </w:rPr>
      </w:pPr>
      <w:r>
        <w:rPr>
          <w:rFonts w:cs="Arial Narrow" w:ascii="Arial Narrow" w:hAnsi="Arial Narrow"/>
          <w:sz w:val="18"/>
        </w:rPr>
        <w:tab/>
        <w:t>NOW, THEREFORE, in consideration of the promises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an ___-inch ultrasonic meter, a chromatograph, flow control valve and associated equipment, EFM/SCADA, RTU and communication equipment, instrumentation, over-pressure protection ("</w:t>
      </w:r>
      <w:r>
        <w:rPr>
          <w:rFonts w:cs="Arial Narrow" w:ascii="Arial Narrow" w:hAnsi="Arial Narrow"/>
          <w:sz w:val="18"/>
          <w:u w:val="single"/>
        </w:rPr>
        <w:t>OPP</w:t>
      </w:r>
      <w:r>
        <w:rPr>
          <w:rFonts w:cs="Arial Narrow" w:ascii="Arial Narrow" w:hAnsi="Arial Narrow"/>
          <w:sz w:val="18"/>
        </w:rPr>
        <w:t>") a hot tap and crossover piping required for the physical delivery of natural gas from the HPL Pipeline to the BEP Plant (the "</w:t>
      </w:r>
      <w:r>
        <w:rPr>
          <w:rFonts w:cs="Arial Narrow" w:ascii="Arial Narrow" w:hAnsi="Arial Narrow"/>
          <w:sz w:val="18"/>
          <w:u w:val="single"/>
        </w:rPr>
        <w:t>Interconnect</w:t>
      </w:r>
      <w:r>
        <w:rPr>
          <w:rFonts w:cs="Arial Narrow" w:ascii="Arial Narrow" w:hAnsi="Arial Narrow"/>
          <w:sz w:val="18"/>
        </w:rPr>
        <w:t>").  The Interconnect shall consist of the BEP Facilities and the HPL Facilities, as defined below. The layout of the Interconnect between the BEP Plant and the HPL Pipeline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HPL Ownership</w:t>
      </w:r>
      <w:r>
        <w:rPr>
          <w:rFonts w:cs="Arial Narrow" w:ascii="Arial Narrow" w:hAnsi="Arial Narrow"/>
          <w:sz w:val="18"/>
        </w:rPr>
        <w:t xml:space="preserve">. HPL or its designee shall own that portion of the Interconnect located on HPL’s side of the insulating flange designated as the point of custody transfer as defined in Section 5(i) below which shall include a </w:t>
      </w:r>
      <w:r>
        <w:rPr>
          <w:rFonts w:cs="Arial Narrow" w:ascii="Arial Narrow" w:hAnsi="Arial Narrow"/>
          <w:color w:val="000000"/>
          <w:sz w:val="18"/>
        </w:rPr>
        <w:t>hot tap and side valve on the ___-inch HPL Pipeline, HPL’s EFM/SCADA, RTU, communication equipment and instrumentation</w:t>
      </w:r>
      <w:r>
        <w:rPr>
          <w:rFonts w:cs="Arial Narrow" w:ascii="Arial Narrow" w:hAnsi="Arial Narrow"/>
          <w:sz w:val="18"/>
        </w:rPr>
        <w:t>, ___-inch ultrasonic meter, chromatograph, OPP, flow control valves and associated piping up to the insulating flange designated as the point of custody transfer as defined in Section 5(i) below as shown on Exhibit “</w:t>
      </w:r>
      <w:r>
        <w:rPr>
          <w:rFonts w:cs="Arial Narrow" w:ascii="Arial Narrow" w:hAnsi="Arial Narrow"/>
          <w:sz w:val="18"/>
          <w:u w:val="single"/>
        </w:rPr>
        <w:t>A</w:t>
      </w:r>
      <w:r>
        <w:rPr>
          <w:rFonts w:cs="Arial Narrow" w:ascii="Arial Narrow" w:hAnsi="Arial Narrow"/>
          <w:sz w:val="18"/>
        </w:rPr>
        <w:t>” attached (the "</w:t>
      </w:r>
      <w:r>
        <w:rPr>
          <w:rFonts w:cs="Arial Narrow" w:ascii="Arial Narrow" w:hAnsi="Arial Narrow"/>
          <w:sz w:val="18"/>
          <w:u w:val="single"/>
        </w:rPr>
        <w:t>HPL Facilities</w:t>
      </w:r>
      <w:r>
        <w:rPr>
          <w:rFonts w:cs="Arial Narrow" w:ascii="Arial Narrow" w:hAnsi="Arial Narrow"/>
          <w:sz w:val="18"/>
        </w:rPr>
        <w:t xml:space="preserve">").  </w:t>
      </w:r>
    </w:p>
    <w:p>
      <w:pPr>
        <w:pStyle w:val="Heading2"/>
        <w:widowControl/>
        <w:rPr/>
      </w:pPr>
      <w:r>
        <w:rPr>
          <w:rFonts w:cs="Arial Narrow" w:ascii="Arial Narrow" w:hAnsi="Arial Narrow"/>
          <w:sz w:val="18"/>
        </w:rPr>
        <w:tab/>
        <w:t>(ii)</w:t>
        <w:tab/>
      </w:r>
      <w:r>
        <w:rPr>
          <w:rFonts w:cs="Arial Narrow" w:ascii="Arial Narrow" w:hAnsi="Arial Narrow"/>
          <w:sz w:val="18"/>
          <w:u w:val="single"/>
        </w:rPr>
        <w:t>BEP Ownership</w:t>
      </w:r>
      <w:r>
        <w:rPr>
          <w:rFonts w:cs="Arial Narrow" w:ascii="Arial Narrow" w:hAnsi="Arial Narrow"/>
          <w:sz w:val="18"/>
        </w:rPr>
        <w:t>.  BEP shall own the side valve, OPP, and piping and pipe related facilities located on BEP’s side of the insulating flange designated as the point of custody transfer as defined in Section 5(i) below (collectively the "</w:t>
      </w:r>
      <w:r>
        <w:rPr>
          <w:rFonts w:cs="Arial Narrow" w:ascii="Arial Narrow" w:hAnsi="Arial Narrow"/>
          <w:sz w:val="18"/>
          <w:u w:val="single"/>
        </w:rPr>
        <w:t>BEP Facilities</w:t>
      </w:r>
      <w:r>
        <w:rPr>
          <w:rFonts w:cs="Arial Narrow" w:ascii="Arial Narrow" w:hAnsi="Arial Narrow"/>
          <w:sz w:val="18"/>
        </w:rPr>
        <w:t>").</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shall be designed, installed, and constructed by HPL or its designee in accordance with Engineering Standards as adopted by Enron Operations Corp., as the same may be amended or supplemented from time to time (the “</w:t>
      </w:r>
      <w:r>
        <w:rPr>
          <w:rFonts w:cs="Arial Narrow" w:ascii="Arial Narrow" w:hAnsi="Arial Narrow"/>
          <w:sz w:val="18"/>
          <w:u w:val="single"/>
        </w:rPr>
        <w:t>Standards</w:t>
      </w:r>
      <w:r>
        <w:rPr>
          <w:rFonts w:cs="Arial Narrow" w:ascii="Arial Narrow" w:hAnsi="Arial Narrow"/>
          <w:sz w:val="18"/>
        </w:rPr>
        <w:t>”).  The BEP Facilities shall be designed, installed and constructed by BEP in accordance with sound and prudent natural gas industry practice. The Parties may conduct onsite inspections of the other Party's portion of the Interconnect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and information.  The Parties shall arrange a mutually agreeable schedule for the tie-in of the Interconnect with the HPL Pipeline and the BEP Plant.</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 xml:space="preserve">BEP shall reimburse HPL for all direct and indirect costs associated with the design, installation, procurement, and construction of the HPL Facilities including IRS tax gross-up.  HPL shall invoice BEP for such costs and BEP shall pay such invoice within 15 days of BEP’s receipt thereof.  </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BEP shall obtain, at their sole cost and expense all clearances, permits, licenses, authorizations, easements and other land rights that may be needed for the construction, installation, maintenance, and operation of the BEP Facilities and the HPL Facilities. The Parties and/or their designees shall have access to each other's facilities at all reasonable times.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HPL shall operate and maintain or cause the operation and maintenance of the HPL Facilities in accordance with the Standards and with sound and prudent natural gas pipeline industry practice and shall be fully responsible for the operation and maintenance thereof and for all cost, expense and risk associated therewith.  BEP shall operate and maintain the BEP Facilities in accordance with sound and prudent natural gas industry practice and shall be fully responsible for the routine operation and maintenance thereof and for all cost and expense associated therewith.  BEP shall be responsible for its own electric power required for the Interconnect.</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xml:space="preserve">.  Custody of the gas shall transfer at the insulating flange located between the BEP Facilities and the HPL Facilities, as more specifically set forth on Exhibit "A" hereto.  </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Either Party shall at all times have the right to refuse delivery of gas not meeting the quality standards set forth in any applicable gas sales or transportation agreement.  Operation of the HPL Facilities by HPL or its designee shall include operation of the ultrasonic meter (the "</w:t>
      </w:r>
      <w:r>
        <w:rPr>
          <w:rFonts w:cs="Arial Narrow" w:ascii="Arial Narrow" w:hAnsi="Arial Narrow"/>
          <w:sz w:val="18"/>
          <w:u w:val="single"/>
        </w:rPr>
        <w:t>Meter</w:t>
      </w:r>
      <w:r>
        <w:rPr>
          <w:rFonts w:cs="Arial Narrow" w:ascii="Arial Narrow" w:hAnsi="Arial Narrow"/>
          <w:sz w:val="18"/>
        </w:rPr>
        <w:t>") and HPL shall give BEP twenty-four hour operational notice to HPL prior to any testing or calibrating of the Meter.  BEP shall have the right to be present during testing or calibration of the Meter;</w:t>
      </w:r>
      <w:r>
        <w:rPr>
          <w:rFonts w:cs="Arial Narrow" w:ascii="Arial Narrow" w:hAnsi="Arial Narrow"/>
        </w:rPr>
        <w:t xml:space="preserve"> </w:t>
      </w:r>
      <w:r>
        <w:rPr>
          <w:rFonts w:cs="Arial Narrow" w:ascii="Arial Narrow" w:hAnsi="Arial Narrow"/>
          <w:sz w:val="18"/>
        </w:rPr>
        <w:t xml:space="preserve">provided, if the HPL has given such notice to BEP and BEP is not present at the time specified, then HPL may proceed with the tests as though BEP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t>(iii)</w:t>
        <w:tab/>
      </w:r>
      <w:r>
        <w:rPr>
          <w:rFonts w:cs="Arial Narrow" w:ascii="Arial Narrow" w:hAnsi="Arial Narrow"/>
          <w:sz w:val="18"/>
          <w:u w:val="single"/>
        </w:rPr>
        <w:t>Samples and BTU Content</w:t>
      </w:r>
      <w:r>
        <w:rPr>
          <w:rFonts w:cs="Arial Narrow" w:ascii="Arial Narrow" w:hAnsi="Arial Narrow"/>
          <w:sz w:val="18"/>
        </w:rPr>
        <w:t xml:space="preserve">.  A chromatograph installed as part of the HPL Facilities shall be used to ascertain the heating content of the gas stream. </w:t>
      </w:r>
    </w:p>
    <w:p>
      <w:pPr>
        <w:pStyle w:val="Normal"/>
        <w:rPr/>
      </w:pPr>
      <w:r>
        <w:rPr/>
        <w:tab/>
        <w:tab/>
      </w:r>
      <w:r>
        <w:rPr>
          <w:rFonts w:cs="Arial Narrow" w:ascii="Arial Narrow" w:hAnsi="Arial Narrow"/>
          <w:sz w:val="18"/>
        </w:rPr>
        <w:t>(iv)</w:t>
        <w:tab/>
      </w:r>
      <w:r>
        <w:rPr>
          <w:rFonts w:cs="Arial Narrow" w:ascii="Arial Narrow" w:hAnsi="Arial Narrow"/>
          <w:sz w:val="18"/>
          <w:u w:val="single"/>
        </w:rPr>
        <w:t>Flow Control</w:t>
      </w:r>
      <w:r>
        <w:rPr>
          <w:rFonts w:cs="Arial Narrow" w:ascii="Arial Narrow" w:hAnsi="Arial Narrow"/>
          <w:sz w:val="18"/>
        </w:rPr>
        <w:t>. HPL or its designee shall operate the flow control portion of the HPL Facilities to ensure that gas deliveries are equal to nominations, plus or minus tolerances generally acceptable in the intrastate natural gas pipeline industry.</w:t>
      </w:r>
    </w:p>
    <w:p>
      <w:pPr>
        <w:pStyle w:val="Normal"/>
        <w:rPr>
          <w:rFonts w:ascii="Arial Narrow" w:hAnsi="Arial Narrow" w:cs="Arial Narrow"/>
          <w:sz w:val="18"/>
        </w:rPr>
      </w:pPr>
      <w:r>
        <w:rPr>
          <w:rFonts w:cs="Arial Narrow" w:ascii="Arial Narrow" w:hAnsi="Arial Narrow"/>
          <w:sz w:val="18"/>
        </w:rPr>
      </w:r>
    </w:p>
    <w:p>
      <w:pPr>
        <w:pStyle w:val="Heading2"/>
        <w:widowControl/>
        <w:rPr/>
      </w:pPr>
      <w:r>
        <w:rPr>
          <w:rFonts w:cs="Arial Narrow" w:ascii="Arial Narrow" w:hAnsi="Arial Narrow"/>
          <w:sz w:val="18"/>
        </w:rPr>
        <w:tab/>
        <w:t>(v)</w:t>
        <w:tab/>
      </w:r>
      <w:r>
        <w:rPr>
          <w:rFonts w:cs="Arial Narrow" w:ascii="Arial Narrow" w:hAnsi="Arial Narrow"/>
          <w:sz w:val="18"/>
          <w:u w:val="single"/>
        </w:rPr>
        <w:t>MAOP</w:t>
      </w:r>
      <w:r>
        <w:rPr>
          <w:rFonts w:cs="Arial Narrow" w:ascii="Arial Narrow" w:hAnsi="Arial Narrow"/>
          <w:sz w:val="18"/>
        </w:rPr>
        <w:t xml:space="preserve">.  HPL shall deliver the gas to the BEP Facilities at pressures existing from time to time in the HPL Pipeline, unless otherwise agreed by the parties in an applicable gas sales or transport agreement.  The BEP Facilities shall include OPP equipment which shall be set at a pressure not to exceed the MAOP of the BEP Plant, as it may be modified from time to time. </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the BEP Pipeline or the Interconnect,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  In the event that applicable laws, orders, directives, rules and regulations of governmental authorities having jurisdiction require the gas to be odorized, such odorization equipment will be installed, operated, maintained and performed by BEP.  The costs of such odorization shall be borne solely by BEP.</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This Agreement shall be effective as of the date first above written and shall remain in full force and effect for an initial term of five years and month to month thereafter.  Either Party may terminate this Agreement at the end of the initial five-year term or at the end of any month thereafter with thirty days prior written notice to the other Party.  </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Each Party agrees to indemnify, defend and hold harmless the other Parties and their respective parents and other affiliates, successors, assigns, legal representatives, officers, directors, shareholders, agents and employees (the “</w:t>
      </w:r>
      <w:r>
        <w:rPr>
          <w:rFonts w:cs="Arial Narrow" w:ascii="Arial Narrow" w:hAnsi="Arial Narrow"/>
          <w:b/>
          <w:caps/>
          <w:sz w:val="18"/>
          <w:u w:val="single"/>
        </w:rPr>
        <w:t>Indemnified Party</w:t>
      </w:r>
      <w:r>
        <w:rPr>
          <w:rFonts w:cs="Arial Narrow" w:ascii="Arial Narrow" w:hAnsi="Arial Narrow"/>
          <w:b/>
          <w:caps/>
          <w:sz w:val="18"/>
        </w:rPr>
        <w:t xml:space="preserve">”)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b/>
          <w:sz w:val="18"/>
        </w:rPr>
      </w:pPr>
      <w:r>
        <w:rPr>
          <w:rFonts w:cs="Arial Narrow" w:ascii="Arial Narrow" w:hAnsi="Arial Narrow"/>
          <w:b/>
          <w:sz w:val="18"/>
        </w:rPr>
        <w:t>HPL:</w:t>
        <w:tab/>
        <w:tab/>
        <w:tab/>
        <w:tab/>
        <w:t>BEP:</w:t>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Bastrop Energy Partners, L.P.</w:t>
      </w:r>
    </w:p>
    <w:p>
      <w:pPr>
        <w:pStyle w:val="Normal"/>
        <w:widowControl/>
        <w:rPr>
          <w:rFonts w:ascii="Arial Narrow" w:hAnsi="Arial Narrow" w:cs="Arial Narrow"/>
          <w:sz w:val="18"/>
        </w:rPr>
      </w:pPr>
      <w:r>
        <w:rPr>
          <w:rFonts w:cs="Arial Narrow" w:ascii="Arial Narrow" w:hAnsi="Arial Narrow"/>
          <w:sz w:val="18"/>
        </w:rPr>
        <w:t>1400 Smith St.</w:t>
        <w:tab/>
        <w:tab/>
        <w:tab/>
        <w:t>____________________</w:t>
      </w:r>
    </w:p>
    <w:p>
      <w:pPr>
        <w:pStyle w:val="Normal"/>
        <w:widowControl/>
        <w:rPr>
          <w:rFonts w:ascii="Arial Narrow" w:hAnsi="Arial Narrow" w:cs="Arial Narrow"/>
          <w:sz w:val="18"/>
        </w:rPr>
      </w:pPr>
      <w:r>
        <w:rPr>
          <w:rFonts w:cs="Arial Narrow" w:ascii="Arial Narrow" w:hAnsi="Arial Narrow"/>
          <w:sz w:val="18"/>
        </w:rPr>
        <w:t>Houston, Texas 77002-7361</w:t>
        <w:tab/>
        <w:tab/>
        <w:t>____________________</w:t>
      </w:r>
    </w:p>
    <w:p>
      <w:pPr>
        <w:pStyle w:val="Normal"/>
        <w:widowControl/>
        <w:rPr>
          <w:rFonts w:ascii="Arial Narrow" w:hAnsi="Arial Narrow" w:cs="Arial Narrow"/>
          <w:sz w:val="18"/>
        </w:rPr>
      </w:pPr>
      <w:r>
        <w:rPr>
          <w:rFonts w:cs="Arial Narrow" w:ascii="Arial Narrow" w:hAnsi="Arial Narrow"/>
          <w:sz w:val="18"/>
        </w:rPr>
        <w:t>Attention:  Natural Gas Assets</w:t>
        <w:tab/>
        <w:tab/>
        <w:t>Facsimile Number: ___________</w:t>
      </w:r>
    </w:p>
    <w:p>
      <w:pPr>
        <w:pStyle w:val="Normal"/>
        <w:widowControl/>
        <w:rPr>
          <w:rFonts w:ascii="Arial Narrow" w:hAnsi="Arial Narrow" w:cs="Arial Narrow"/>
          <w:sz w:val="18"/>
        </w:rPr>
      </w:pPr>
      <w:r>
        <w:rPr>
          <w:rFonts w:cs="Arial Narrow" w:ascii="Arial Narrow" w:hAnsi="Arial Narrow"/>
          <w:sz w:val="18"/>
        </w:rPr>
        <w:t>Facsimile Number:  (713) 646-8416</w:t>
        <w:tab/>
        <w:t>Phone Number: ______________</w:t>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rPr/>
      </w:pPr>
      <w:r>
        <w:rPr>
          <w:rFonts w:cs="Arial Narrow" w:ascii="Arial Narrow" w:hAnsi="Arial Narrow"/>
          <w:b/>
          <w:sz w:val="18"/>
        </w:rPr>
        <w:t>Gas Control</w:t>
      </w:r>
      <w:r>
        <w:rPr>
          <w:rFonts w:cs="Arial Narrow" w:ascii="Arial Narrow" w:hAnsi="Arial Narrow"/>
          <w:sz w:val="18"/>
        </w:rPr>
        <w:t>: (713) 750-7080</w:t>
        <w:tab/>
        <w:tab/>
      </w:r>
      <w:r>
        <w:rPr>
          <w:rFonts w:cs="Arial Narrow" w:ascii="Arial Narrow" w:hAnsi="Arial Narrow"/>
          <w:b/>
          <w:sz w:val="18"/>
        </w:rPr>
        <w:t>Operational Notices:</w:t>
      </w:r>
    </w:p>
    <w:p>
      <w:pPr>
        <w:pStyle w:val="Normal"/>
        <w:widowControl/>
        <w:rPr/>
      </w:pPr>
      <w:r>
        <w:rPr>
          <w:rFonts w:cs="Arial Narrow" w:ascii="Arial Narrow" w:hAnsi="Arial Narrow"/>
          <w:b/>
          <w:sz w:val="18"/>
        </w:rPr>
        <w:tab/>
        <w:tab/>
        <w:tab/>
        <w:tab/>
      </w:r>
      <w:r>
        <w:rPr>
          <w:rFonts w:cs="Arial Narrow" w:ascii="Arial Narrow" w:hAnsi="Arial Narrow"/>
          <w:sz w:val="18"/>
        </w:rPr>
        <w:t>Bastrop Energy Partners, L.P.</w:t>
      </w:r>
    </w:p>
    <w:p>
      <w:pPr>
        <w:pStyle w:val="Normal"/>
        <w:widowControl/>
        <w:rPr/>
      </w:pPr>
      <w:r>
        <w:rPr>
          <w:rFonts w:cs="Arial Narrow" w:ascii="Arial Narrow" w:hAnsi="Arial Narrow"/>
          <w:b/>
          <w:sz w:val="18"/>
        </w:rPr>
        <w:tab/>
        <w:tab/>
        <w:tab/>
        <w:tab/>
      </w:r>
      <w:r>
        <w:rPr>
          <w:rFonts w:cs="Arial Narrow" w:ascii="Arial Narrow" w:hAnsi="Arial Narrow"/>
          <w:sz w:val="18"/>
        </w:rPr>
        <w:t>___________________________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___________________________</w:t>
      </w:r>
    </w:p>
    <w:p>
      <w:pPr>
        <w:pStyle w:val="Normal"/>
        <w:widowControl/>
        <w:rPr>
          <w:rFonts w:ascii="Arial Narrow" w:hAnsi="Arial Narrow" w:cs="Arial Narrow"/>
          <w:sz w:val="18"/>
        </w:rPr>
      </w:pPr>
      <w:r>
        <w:rPr>
          <w:rFonts w:cs="Arial Narrow" w:ascii="Arial Narrow" w:hAnsi="Arial Narrow"/>
          <w:sz w:val="18"/>
        </w:rPr>
        <w:tab/>
        <w:tab/>
        <w:tab/>
        <w:tab/>
        <w:t>Facsimile Number: ___________</w:t>
      </w:r>
    </w:p>
    <w:p>
      <w:pPr>
        <w:pStyle w:val="Normal"/>
        <w:widowControl/>
        <w:rPr>
          <w:rFonts w:ascii="Arial Narrow" w:hAnsi="Arial Narrow" w:cs="Arial Narrow"/>
          <w:sz w:val="18"/>
        </w:rPr>
      </w:pPr>
      <w:r>
        <w:rPr>
          <w:rFonts w:cs="Arial Narrow" w:ascii="Arial Narrow" w:hAnsi="Arial Narrow"/>
          <w:sz w:val="18"/>
        </w:rPr>
        <w:tab/>
        <w:tab/>
        <w:tab/>
        <w:tab/>
        <w:t>Phone Number: _____________</w:t>
      </w:r>
    </w:p>
    <w:p>
      <w:pPr>
        <w:pStyle w:val="Normal"/>
        <w:widowControl/>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Agreement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b/>
          <w:sz w:val="18"/>
        </w:rPr>
      </w:pPr>
      <w:r>
        <w:rPr>
          <w:rFonts w:cs="Arial Narrow" w:ascii="Arial Narrow" w:hAnsi="Arial Narrow"/>
          <w:bCs/>
          <w:sz w:val="18"/>
        </w:rPr>
        <w:tab/>
      </w:r>
    </w:p>
    <w:p>
      <w:pPr>
        <w:pStyle w:val="Normal"/>
        <w:widowControl/>
        <w:jc w:val="both"/>
        <w:rPr/>
      </w:pPr>
      <w:r>
        <w:rPr>
          <w:rFonts w:cs="Arial Narrow" w:ascii="Arial Narrow" w:hAnsi="Arial Narrow"/>
          <w:b/>
          <w:sz w:val="18"/>
        </w:rPr>
        <w:t xml:space="preserve">BASTROP ENERGY PARTNERS, L.P., </w:t>
      </w:r>
      <w:r>
        <w:rPr>
          <w:rFonts w:cs="Arial Narrow" w:ascii="Arial Narrow" w:hAnsi="Arial Narrow"/>
          <w:bCs/>
          <w:sz w:val="18"/>
        </w:rPr>
        <w:t>by</w:t>
        <w:tab/>
      </w:r>
      <w:r>
        <w:rPr>
          <w:rFonts w:cs="Arial Narrow" w:ascii="Arial Narrow" w:hAnsi="Arial Narrow"/>
          <w:b/>
          <w:sz w:val="18"/>
        </w:rPr>
        <w:t>_____________</w:t>
        <w:tab/>
        <w:tab/>
        <w:t>HOUSTON PIPE LINE COMPANY</w:t>
      </w:r>
    </w:p>
    <w:p>
      <w:pPr>
        <w:pStyle w:val="Normal"/>
        <w:widowControl/>
        <w:jc w:val="both"/>
        <w:rPr/>
      </w:pPr>
      <w:r>
        <w:rPr>
          <w:rFonts w:cs="Arial Narrow" w:ascii="Arial Narrow" w:hAnsi="Arial Narrow"/>
          <w:b/>
          <w:sz w:val="18"/>
        </w:rPr>
        <w:t>______________________</w:t>
      </w:r>
      <w:r>
        <w:rPr>
          <w:rFonts w:cs="Arial Narrow" w:ascii="Arial Narrow" w:hAnsi="Arial Narrow"/>
          <w:bCs/>
          <w:sz w:val="18"/>
        </w:rPr>
        <w:t xml:space="preserve">, its general partner </w:t>
      </w:r>
      <w:r>
        <w:rPr>
          <w:rFonts w:cs="Arial Narrow" w:ascii="Arial Narrow" w:hAnsi="Arial Narrow"/>
          <w:b/>
          <w:sz w:val="18"/>
        </w:rPr>
        <w:tab/>
        <w:tab/>
        <w:tab/>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CLEARLY INDICATING THE INSULATING FLANGE AND THE UPSTREAM AND DOWNSTREAM BLOCK VALVES ON THE METER RUN]</w:t>
      </w:r>
    </w:p>
    <w:p>
      <w:pPr>
        <w:pStyle w:val="Normal"/>
        <w:widowControl/>
        <w:rPr>
          <w:rFonts w:ascii="Arial Narrow" w:hAnsi="Arial Narrow" w:cs="Arial Narrow"/>
          <w:b/>
          <w:sz w:val="18"/>
        </w:rPr>
      </w:pPr>
      <w:r>
        <w:rPr>
          <w:rFonts w:cs="Arial Narrow" w:ascii="Arial Narrow" w:hAnsi="Arial Narrow"/>
          <w:b/>
          <w:sz w:val="18"/>
        </w:rPr>
      </w:r>
    </w:p>
    <w:sectPr>
      <w:headerReference w:type="default" r:id="rId2"/>
      <w:footerReference w:type="default" r:id="rId3"/>
      <w:type w:val="nextPage"/>
      <w:pgSz w:w="12240" w:h="15840"/>
      <w:pgMar w:left="1440" w:right="1440" w:gutter="0" w:header="72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COMMON\LEGAL\egillas\</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Coastal_Interconnect_Agreement.doc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5</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rPr>
      <w:t>DRAFT</w:t>
    </w:r>
    <w:r>
      <w:rPr/>
      <w:t xml:space="preserve">, </w:t>
    </w:r>
    <w:r>
      <w:rPr>
        <w:i/>
        <w:iCs/>
      </w:rPr>
      <w: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2000-06-19T16:40:00Z</dcterms:created>
  <dc:creator>ECT</dc:creator>
  <dc:description/>
  <dc:language>en-CA</dc:language>
  <cp:lastModifiedBy>egillas</cp:lastModifiedBy>
  <cp:lastPrinted>2000-06-20T17:00:00Z</cp:lastPrinted>
  <dcterms:modified xsi:type="dcterms:W3CDTF">2000-06-20T20:50:00Z</dcterms:modified>
  <cp:revision>21</cp:revision>
  <dc:subject/>
  <dc:title>Letter format</dc:title>
</cp:coreProperties>
</file>