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spacing w:before="0" w:after="240"/>
        <w:jc w:val="center"/>
        <w:rPr>
          <w:b/>
          <w:sz w:val="30"/>
        </w:rPr>
      </w:pPr>
      <w:r>
        <w:rPr>
          <w:b/>
          <w:sz w:val="30"/>
        </w:rPr>
      </w:r>
    </w:p>
    <w:p>
      <w:pPr>
        <w:pStyle w:val="Normal"/>
        <w:widowControl/>
        <w:spacing w:before="0" w:after="240"/>
        <w:jc w:val="center"/>
        <w:rPr>
          <w:b/>
          <w:sz w:val="30"/>
        </w:rPr>
      </w:pPr>
      <w:r>
        <w:rPr>
          <w:b/>
          <w:sz w:val="30"/>
        </w:rPr>
        <w:t>GAS GATHERING AGREEMENT</w:t>
      </w:r>
    </w:p>
    <w:p>
      <w:pPr>
        <w:pStyle w:val="Normal"/>
        <w:widowControl/>
        <w:spacing w:before="0" w:after="240"/>
        <w:jc w:val="center"/>
        <w:rPr>
          <w:b/>
          <w:sz w:val="30"/>
        </w:rPr>
      </w:pPr>
      <w:r>
        <w:rPr>
          <w:b/>
          <w:sz w:val="30"/>
        </w:rPr>
      </w:r>
    </w:p>
    <w:p>
      <w:pPr>
        <w:pStyle w:val="Normal"/>
        <w:widowControl/>
        <w:rPr/>
      </w:pPr>
      <w:r>
        <w:rPr/>
        <w:t xml:space="preserve">THIS GAS GATHERING AGREEMENT made and entered into effective as of April 1, 2000 (the “Effective Date”), by and between </w:t>
      </w:r>
      <w:r>
        <w:rPr>
          <w:caps/>
          <w:spacing w:val="-3"/>
        </w:rPr>
        <w:t>Coastal Oil &amp; Gas USA, L.P.,</w:t>
      </w:r>
      <w:r>
        <w:rPr/>
        <w:t xml:space="preserve"> a Delaware limited partnership and CIG EXPLORATION, INC., a Delaware corporation, collectively hereinafter referred to as “Shipper”, and HOUSTON PIPE LINE COMPANY, a Delaware corporation, hereinafter referred to as “Houston” or “HPL”.</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gather certain quantities of natural gas produced by Shipper from the Cage Ranch Field and surrounding areas in Brooks County, Texas to Exxon Mobil Corporation's King Ranch Gas Processing Plant in Kleberg County, Texas; and</w:t>
      </w:r>
    </w:p>
    <w:p>
      <w:pPr>
        <w:pStyle w:val="Normal"/>
        <w:widowControl/>
        <w:spacing w:before="0" w:after="120"/>
        <w:ind w:firstLine="720" w:end="0"/>
        <w:rPr/>
      </w:pPr>
      <w:r>
        <w:rPr/>
        <w:t>WHEREAS, Houston desires gather said Gas for Shipper subject to the terms of this Agreement.</w:t>
      </w:r>
    </w:p>
    <w:p>
      <w:pPr>
        <w:pStyle w:val="Normal"/>
        <w:widowControl/>
        <w:ind w:firstLine="720" w:end="0"/>
        <w:rPr/>
      </w:pPr>
      <w:r>
        <w:rPr/>
        <w:t>NOW, THEREFORE, in consideration of the mutual premises and covenants contained herein, the parties hereto agree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rPr/>
      </w:pPr>
      <w:r>
        <w:rPr/>
      </w:r>
    </w:p>
    <w:p>
      <w:pPr>
        <w:pStyle w:val="Heading1"/>
        <w:widowControl/>
        <w:spacing w:before="0" w:after="0"/>
        <w:ind w:hanging="0" w:start="0"/>
        <w:rPr/>
      </w:pPr>
      <w:r>
        <w:rPr/>
        <w:fldChar w:fldCharType="begin"/>
      </w:r>
      <w:r>
        <w:rPr/>
        <w:instrText xml:space="preserve"> SEQ AutoNr \* ARABIC </w:instrText>
      </w:r>
      <w:r>
        <w:rPr/>
        <w:fldChar w:fldCharType="separate"/>
      </w:r>
      <w:r>
        <w:rPr/>
        <w:t>2</w:t>
      </w:r>
      <w:r>
        <w:rPr/>
        <w:fldChar w:fldCharType="end"/>
      </w:r>
      <w:r>
        <w:rPr/>
        <w:tab/>
        <w:t>Receipt Points and Delivery Points &amp;</w:t>
      </w:r>
    </w:p>
    <w:p>
      <w:pPr>
        <w:pStyle w:val="Heading1"/>
        <w:widowControl/>
        <w:spacing w:before="0" w:after="240"/>
        <w:ind w:hanging="0" w:start="0"/>
        <w:rPr/>
      </w:pPr>
      <w:r>
        <w:rPr/>
        <w:t>GATHERING SERVICE</w:t>
      </w:r>
    </w:p>
    <w:p>
      <w:pPr>
        <w:pStyle w:val="Normal"/>
        <w:widowControl/>
        <w:rPr/>
      </w:pPr>
      <w:r>
        <w:rPr/>
        <w:t>Shipper shall, throughout the term of this Agreement, deliver Gas to Houston at (i) Houston’s Meter Station No. 9610 located in Brooks County, Texas and (ii) to such other points as the parties may mutually agree during the term hereof (the “Receipt Points”) up to a Maximum Daily Quantity (“MDQ”) of 75,000 MMBtu per Day and Houston shall, throughout the term of this Agreement (subject to the further provisions of this Article 2 and of the pertinent provisions of Appendix “A” Articles 2, 3, 4, 5, 6, 8, 9, 10 and 12) gather such Gas and redeliver a quantity of Gas with an equivalent heating value to that received at the Receipt Points to or for the account of Shipper to the interconnection of Houston's pipeline facilities with (a) the inlet facilities of Humble Gas Pipeline Company’s inlet line to ExxonMobil Gas Marketing Company's (a division of Exxon Mobil Corporation) King Ranch Gas Processing Plant (the “ExxonMobil Plant”) located in Kleberg County, Texas (the “Primary Delivery Point”) or (b) only during those periods when Shipper is properly entitled to process gas thereat, as recognized by Section 2.2 of that certain Gas Purchase Agreement between certain of the Parties, as amended by Amendment to Gas Purchase Agreement dated of even date herewith (the “Gas Purchase Agreement”), the inlet facilities of Duke Energy Field Service, Inc.’s La Gloria Plant (the “La Gloria Delivery Point”, with the Primary Delivery Point and the La Gloria Delivery Point referred to herein collectively as the “Delivery Points”).  Such Gas shall be gathered by Houston on an interruptible basis, based upon and taking into account the scheduling and priority matters outlined in Appendix “A” Section 2 and the other pertinent provisions outlined in the first sentence of this Article 2.  Coastal agrees that throughout the term of this Agreement, it shall exclusively gather Gas, using Houston’s facilities, to the ExxonMobil Plant (or to the La Gloria Plant when applicable), except during those periods of time that Houston lacks capacity to gather Shipper’s Gas, during which periods those quantities of Gas that Houston lacks capacity to gather for Shipper will be temporarily released from dedication to this Agreement for so long as not accepted by Houston for gathering hereunder.</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TERM</w:t>
      </w:r>
    </w:p>
    <w:p>
      <w:pPr>
        <w:pStyle w:val="BodyTextIndent"/>
        <w:rPr/>
      </w:pPr>
      <w:r>
        <w:rPr/>
        <w:t>3.1</w:t>
        <w:tab/>
        <w:t>The primary term of this Agreement shall become effective on the Effective Date and shall continue in full force and effect through March 31, 2002 (the “primary term”).  Subject to the provisions of Section 3.2 below, either party may terminate this Agreement at the end of the primary term by giving the other party written notice of its intention to terminate at least 30 days prior to the end of the primary term.  In the absence of such notice, this Agreement shall continue in full force an effect month to month until the last day of the month following the month for which one of the parties provides written notice of its intention to terminate at lease 30 days in advance.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Normal"/>
        <w:widowControl/>
        <w:ind w:firstLine="720" w:end="0"/>
        <w:rPr/>
      </w:pPr>
      <w:r>
        <w:rPr/>
      </w:r>
    </w:p>
    <w:p>
      <w:pPr>
        <w:pStyle w:val="Normal"/>
        <w:widowControl/>
        <w:ind w:firstLine="720" w:end="0"/>
        <w:rPr/>
      </w:pPr>
      <w:r>
        <w:rPr/>
        <w:t>3.2</w:t>
        <w:tab/>
        <w:t>IF AT THE END OF THE PRIMARY TERM, SHIPPER HAS NOT DELIVERED A CUMULATIVE TOTAL OF AT LEAST 25,000 MMCF OF GAS TO HOUSTON FOR GATHERING UNDER THIS AGREEMENT</w:t>
      </w:r>
      <w:r>
        <w:rPr>
          <w:caps/>
        </w:rPr>
        <w:t>, the term of this Agreement shall BE automatically extendED for an additional Year, in which case this Agreement and the service to be provided hereunder shall terminate on the third anniversary of the Effective Date.</w:t>
      </w:r>
    </w:p>
    <w:p>
      <w:pPr>
        <w:pStyle w:val="Normal"/>
        <w:widowControl/>
        <w:ind w:firstLine="720" w:end="0"/>
        <w:rPr>
          <w:caps/>
        </w:rPr>
      </w:pPr>
      <w:r>
        <w:rPr>
          <w:caps/>
        </w:rPr>
      </w:r>
    </w:p>
    <w:p>
      <w:pPr>
        <w:pStyle w:val="Normal"/>
        <w:widowControl/>
        <w:ind w:firstLine="720" w:end="0"/>
        <w:rPr/>
      </w:pPr>
      <w:r>
        <w:rPr/>
        <w:t>3.3</w:t>
        <w:tab/>
        <w:t>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Fee</w:t>
      </w:r>
    </w:p>
    <w:p>
      <w:pPr>
        <w:pStyle w:val="BodyTextIndent"/>
        <w:spacing w:before="0" w:after="120"/>
        <w:rPr/>
      </w:pPr>
      <w:r>
        <w:rPr/>
        <w:t>a.</w:t>
        <w:tab/>
        <w:t>Shipper shall pay Houston a fee for all Gas delivered for Shipper’s account at the Delivery Points a rate of $0.005 per MMBtu.</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Notices</w:t>
      </w:r>
    </w:p>
    <w:p>
      <w:pPr>
        <w:pStyle w:val="Normal"/>
        <w:widowControl/>
        <w:ind w:firstLine="720" w:end="0"/>
        <w:rPr/>
      </w:pPr>
      <w:r>
        <w:rPr/>
        <w:t>Unless otherwise provided in this Agreement, any notice, request, demand, statement or other correspondence shall be in writing and shall be considered as delivered when hand delivered, or, if mailed by United States certified or first class mail, postage prepaid, effective upon receipt or, if sent by facsimile transmission, when receipt is confirmed by the equipment of the transmitting party; provided, if receipt of a facsimile transmission is confirmed after normal business hours, receipt shall be deemed to be the next business Day.  Such notices shall be given at the following addresses:</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General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Attn:  President</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646-8416</w:t>
            </w:r>
          </w:p>
        </w:tc>
      </w:tr>
      <w:tr>
        <w:trPr/>
        <w:tc>
          <w:tcPr>
            <w:tcW w:w="3888" w:type="dxa"/>
            <w:tcBorders/>
          </w:tcPr>
          <w:p>
            <w:pPr>
              <w:pStyle w:val="Normal"/>
              <w:widowControl/>
              <w:rPr/>
            </w:pPr>
            <w:r>
              <w:rPr/>
              <w:t>FAX No  713-297-1160</w:t>
            </w:r>
          </w:p>
          <w:p>
            <w:pPr>
              <w:pStyle w:val="Normal"/>
              <w:widowControl/>
              <w:rPr/>
            </w:pPr>
            <w:r>
              <w:rPr/>
              <w:t>Phone:713-877-3192</w:t>
            </w:r>
          </w:p>
        </w:tc>
        <w:tc>
          <w:tcPr>
            <w:tcW w:w="4590" w:type="dxa"/>
            <w:tcBorders/>
          </w:tcPr>
          <w:p>
            <w:pPr>
              <w:pStyle w:val="Normal"/>
              <w:widowControl/>
              <w:rPr/>
            </w:pPr>
            <w:r>
              <w:rPr/>
              <w:t>Phone:  (713) 853-1839</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646-2372</w:t>
            </w:r>
          </w:p>
        </w:tc>
      </w:tr>
      <w:tr>
        <w:trPr/>
        <w:tc>
          <w:tcPr>
            <w:tcW w:w="3888" w:type="dxa"/>
            <w:tcBorders/>
          </w:tcPr>
          <w:p>
            <w:pPr>
              <w:pStyle w:val="Normal"/>
              <w:widowControl/>
              <w:rPr/>
            </w:pPr>
            <w:r>
              <w:rPr/>
              <w:t>FAX No  713-297-1160</w:t>
            </w:r>
          </w:p>
          <w:p>
            <w:pPr>
              <w:pStyle w:val="Normal"/>
              <w:keepNext w:val="true"/>
              <w:widowControl/>
              <w:rPr/>
            </w:pPr>
            <w:r>
              <w:rPr/>
              <w:t>Phone:713-877-3192</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r>
    </w:p>
    <w:p>
      <w:pPr>
        <w:pStyle w:val="Normal"/>
        <w:widowControl/>
        <w:rPr/>
      </w:pPr>
      <w:r>
        <w:rPr/>
        <w:t>or to such other address as such party may; hereafter designate to the other in writing.</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TITLE Warranties &amp; Indemnification</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Neither party shall have any obligation under this Agreement if the other party, in its sole discretion, reasonably exercised, determines at any time that the other party has materially breached any applicable representation or warranty referenced above or that the service to be provided hereunder does not so qualify.  The party in default agrees to indemnify and hold the other party harmless from and against any and all suits, actions, damages, costs, losses and expenses sustained by the party not in default relative to any breach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Attachments</w:t>
      </w:r>
    </w:p>
    <w:p>
      <w:pPr>
        <w:pStyle w:val="Normal"/>
        <w:widowControl/>
        <w:ind w:firstLine="720" w:end="0"/>
        <w:rPr/>
      </w:pPr>
      <w:r>
        <w:rPr/>
        <w:t>Incorporated into this Agreement by reference are Appendix “A” (General Terms and Conditions) a copy of which is attached hereto.  This Agreement and Appendix “A” shall be read together as one single document.  Houston shall have the limited right to revise Appendix “A” solely in those instances where Houston’s counsel determines that applicable law requires such revision(s) in order to ensure consistent and contemporaneous treatment of Shipper with similarly situated shippers as to new or additional policies and procedures of the type addressed in Appendix “A” that are then being broadly adopted or changed by Houston.</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Its ___________________________________</w:t>
      </w:r>
    </w:p>
    <w:p>
      <w:pPr>
        <w:pStyle w:val="Normal"/>
        <w:keepLines/>
        <w:widowControl/>
        <w:tabs>
          <w:tab w:val="clear" w:pos="720"/>
          <w:tab w:val="left" w:pos="4320" w:leader="none"/>
          <w:tab w:val="left" w:pos="5040" w:leader="none"/>
          <w:tab w:val="left" w:pos="9180" w:leader="none"/>
        </w:tabs>
        <w:rPr/>
      </w:pPr>
      <w:r>
        <w:rPr/>
      </w:r>
    </w:p>
    <w:p>
      <w:pPr>
        <w:pStyle w:val="Normal"/>
        <w:widowControl/>
        <w:tabs>
          <w:tab w:val="clear" w:pos="720"/>
          <w:tab w:val="left" w:pos="3150" w:leader="none"/>
        </w:tabs>
        <w:ind w:start="4320" w:end="0"/>
        <w:rPr>
          <w:b/>
          <w:caps/>
        </w:rPr>
      </w:pPr>
      <w:r>
        <w:rPr>
          <w:b/>
          <w:caps/>
          <w:spacing w:val="-3"/>
        </w:rPr>
        <w:t>Coastal Oil &amp; Gas USA, L.P.,</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pStyle w:val="Normal"/>
        <w:keepLines/>
        <w:widowControl/>
        <w:tabs>
          <w:tab w:val="clear" w:pos="720"/>
          <w:tab w:val="left" w:pos="4320" w:leader="none"/>
          <w:tab w:val="left" w:pos="6480" w:leader="none"/>
          <w:tab w:val="left" w:pos="9180" w:leader="none"/>
        </w:tabs>
        <w:rPr>
          <w:u w:val="single"/>
        </w:rPr>
      </w:pPr>
      <w:r>
        <w:rPr>
          <w:u w:val="single"/>
        </w:rPr>
      </w:r>
    </w:p>
    <w:p>
      <w:pPr>
        <w:pStyle w:val="Normal"/>
        <w:widowControl/>
        <w:tabs>
          <w:tab w:val="clear" w:pos="720"/>
          <w:tab w:val="left" w:pos="3150" w:leader="none"/>
        </w:tabs>
        <w:ind w:start="4320" w:end="0"/>
        <w:rPr>
          <w:b/>
          <w:caps/>
        </w:rPr>
      </w:pPr>
      <w:r>
        <w:rPr>
          <w:b/>
          <w:caps/>
          <w:spacing w:val="-3"/>
        </w:rPr>
        <w:t>CiG exploration, inc.</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4320" w:leader="none"/>
          <w:tab w:val="left" w:pos="6480" w:leader="none"/>
          <w:tab w:val="left" w:pos="9180" w:leader="none"/>
        </w:tabs>
        <w:rPr/>
      </w:pPr>
      <w:r>
        <w:rPr/>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Gas Gathering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hanging="720" w:start="144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hanging="720" w:start="144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numPr>
          <w:ilvl w:val="0"/>
          <w:numId w:val="2"/>
        </w:numPr>
        <w:spacing w:before="0" w:after="120"/>
        <w:rPr/>
      </w:pPr>
      <w:r>
        <w:rPr>
          <w:u w:val="single"/>
        </w:rPr>
        <w:t>Psia</w:t>
      </w:r>
      <w:r>
        <w:rPr/>
        <w:t>.  The term “psia” shall mean pounds per square inch absolute.</w:t>
      </w:r>
    </w:p>
    <w:p>
      <w:pPr>
        <w:pStyle w:val="Normal"/>
        <w:widowControl/>
        <w:numPr>
          <w:ilvl w:val="0"/>
          <w:numId w:val="2"/>
        </w:numPr>
        <w:spacing w:before="0" w:after="120"/>
        <w:rPr/>
      </w:pPr>
      <w:r>
        <w:rPr>
          <w:u w:val="single"/>
        </w:rPr>
        <w:t>Interruptible</w:t>
      </w:r>
      <w:r>
        <w:rPr/>
        <w:t>.  The term “interruptible” or “interruptible service” as used herein means that Houston shall have the right to interrupt, curtail or suspend the receipt, gathering or delivery of Gas hereunder, so long as effected taking into account the requirements of applicable law and following generally the guidelines set forth in Section 2 below.</w:t>
      </w:r>
    </w:p>
    <w:p>
      <w:pPr>
        <w:pStyle w:val="Normal"/>
        <w:widowControl/>
        <w:numPr>
          <w:ilvl w:val="0"/>
          <w:numId w:val="2"/>
        </w:numPr>
        <w:spacing w:before="0" w:after="120"/>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It is specifically agreed by the parties hereto that the receipt, gathering or delivery of Gas hereunder by Houston shall be subject, during the term of this Agreement, to partial or total interruption or at Houston's discretion, upon Houston providing oral or written notice prior to (where possible) or contemporaneously with such interruption or cessation.  Houston shall have absolutely no liability whatsoever in damages or otherwise for proper interruption of its gathering of Gas for or on behalf of Shipper hereunder.  In effecting interruption of Gas caused by lack of or restriction to capacity on Houston’s system at or between any Delivery or Receipt Points, Houston hereby commits to Shipper that (to the extent its pipeline systems commonly referred to as the Edinberg and Loma Blanca systems are involved) Houston shall curtail receipts and/or deliveries on the basis of the effective dates of the contracts governing the purchase, sale or gathering of the Gas affected, with the Gas flowing pursuant to the earliest effective dated contract curtailed last.  Notwithstanding the forgoing, Shipper understands and agrees that any contract which (i) affords Houston payment of a demand charge or similar fixed charge (regardless of the quantity of Gas that actually flows), (ii) obligates Houston to purchase a minimum quantity of Gas tendered to it at a given receipt point or (iii) obligates Houston to deliver a minimum quantity of Gas to a given delivery point, may be considered by Houston differently than as stated in the forgoing sentence.</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on the form attached hereto as Exhibit I, or any alternate form hereafter mutually agreed to the parties, and Shipper shall otherwise comply with Houston's nomination and scheduling procedure, as such procedure may be implemented from time to time, when scheduling quantities to be delivered or received hereunder at each point during the period scheduled.  In accordance with the foregoing, five (5) business days prior to the beginning of a Month, Shipper shall, based on its historical production and expected newly developed production data, make a nomination of the quantities of Gas it is nominating for deliver to Houston at the Receipt Points for the succeeding Month (“Shipper’s Nomination”).  Houston shall have no obligation to accept or perform according to a nomination not submitted by Shipper to Houston in accordance with the procedures described in this Section, and in no event shall it have any obligation to accept Gas in excess of Shipper’s Nomination for the Month in question.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In the event there is an imbalance, in terms of MMBtu, caused by differences in receipts and deliveries of Gas hereunder, Houston shall notify Shipper of such imbalance and such imbalance shall be corrected during the Month following notification, with each party using diligence to resolve the same in the Month it occurs if possible.  The parties agree to devote sufficient personnel and resources as necessary to correct any imbalance that extend beyond the Month in which the same initially occur.</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gathered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up to 1,000 psig;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Receipt Points are made available and updated on an annual basis throughout the term of this Agreement.  If Shipper fails to comply with the foregoing covenant, Houston may, upon delivery of at least 30 days written notice and Shipper’s failure to respond or remedy the situation,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BodyTextIndent"/>
        <w:spacing w:before="0" w:after="12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Justified"/>
        <w:widowControl/>
        <w:spacing w:before="0" w:after="0"/>
        <w:ind w:hanging="720" w:start="1440" w:end="0"/>
        <w:rPr/>
      </w:pPr>
      <w:r>
        <w:rPr/>
      </w:r>
    </w:p>
    <w:p>
      <w:pPr>
        <w:pStyle w:val="Justified"/>
        <w:widowControl/>
        <w:numPr>
          <w:ilvl w:val="0"/>
          <w:numId w:val="3"/>
        </w:numPr>
        <w:tabs>
          <w:tab w:val="clear" w:pos="720"/>
          <w:tab w:val="left" w:pos="1710" w:leader="none"/>
        </w:tabs>
        <w:ind w:hanging="990" w:start="1710" w:end="0"/>
        <w:rPr/>
      </w:pPr>
      <w:r>
        <w:rPr/>
        <w:t>Contain at least 2.00 gallons per Mcf (GPM) or recoverable Liquids and Liquefiable Hydrocarbons.</w:t>
      </w:r>
    </w:p>
    <w:p>
      <w:pPr>
        <w:pStyle w:val="Justified"/>
        <w:widowControl/>
        <w:numPr>
          <w:ilvl w:val="0"/>
          <w:numId w:val="3"/>
        </w:numPr>
        <w:tabs>
          <w:tab w:val="clear" w:pos="720"/>
          <w:tab w:val="left" w:pos="1710" w:leader="none"/>
        </w:tabs>
        <w:ind w:hanging="990" w:start="1710" w:end="0"/>
        <w:rPr/>
      </w:pPr>
      <w:r>
        <w:rPr/>
        <w:t>Have a total heating value of not less than 950 Btus per cubic foot when saturated with water vapor (gross basis);</w:t>
      </w:r>
    </w:p>
    <w:p>
      <w:pPr>
        <w:pStyle w:val="Justified"/>
        <w:widowControl/>
        <w:numPr>
          <w:ilvl w:val="0"/>
          <w:numId w:val="3"/>
        </w:numPr>
        <w:tabs>
          <w:tab w:val="clear" w:pos="720"/>
          <w:tab w:val="left" w:pos="1710" w:leader="none"/>
        </w:tabs>
        <w:ind w:hanging="990" w:start="1710" w:end="0"/>
        <w:rPr/>
      </w:pPr>
      <w:r>
        <w:rPr/>
        <w:t>Be commercially free of all dust, hydrocarbon liquids, water, suspended matter, all gums and gum forming constituents and any other objectionable substances;</w:t>
      </w:r>
    </w:p>
    <w:p>
      <w:pPr>
        <w:pStyle w:val="Justified"/>
        <w:widowControl/>
        <w:numPr>
          <w:ilvl w:val="0"/>
          <w:numId w:val="3"/>
        </w:numPr>
        <w:tabs>
          <w:tab w:val="clear" w:pos="720"/>
          <w:tab w:val="left" w:pos="1710" w:leader="none"/>
        </w:tabs>
        <w:ind w:hanging="990" w:start="1710" w:end="0"/>
        <w:rPr/>
      </w:pPr>
      <w:r>
        <w:rPr/>
        <w:t>Contain no more than 20 grains of total sulfur, nor more than 1/4 grain of hydrogen sulfide per 100 standard cubic feet;</w:t>
      </w:r>
    </w:p>
    <w:p>
      <w:pPr>
        <w:pStyle w:val="Justified"/>
        <w:widowControl/>
        <w:numPr>
          <w:ilvl w:val="0"/>
          <w:numId w:val="3"/>
        </w:numPr>
        <w:tabs>
          <w:tab w:val="clear" w:pos="720"/>
          <w:tab w:val="left" w:pos="1710" w:leader="none"/>
        </w:tabs>
        <w:ind w:hanging="990" w:start="1710" w:end="0"/>
        <w:rPr/>
      </w:pPr>
      <w:r>
        <w:rPr/>
        <w:t>Contain no more than 2.0% by volume of carbon dioxide, 0.2% by volume of oxygen, and 3.0% by volume of total inerts;</w:t>
      </w:r>
    </w:p>
    <w:p>
      <w:pPr>
        <w:pStyle w:val="Justified"/>
        <w:widowControl/>
        <w:numPr>
          <w:ilvl w:val="0"/>
          <w:numId w:val="3"/>
        </w:numPr>
        <w:tabs>
          <w:tab w:val="clear" w:pos="720"/>
          <w:tab w:val="left" w:pos="1710" w:leader="none"/>
        </w:tabs>
        <w:ind w:hanging="990" w:start="1710" w:end="0"/>
        <w:rPr/>
      </w:pPr>
      <w:r>
        <w:rPr/>
        <w:t>Have a temperature of not more than Fahrenheit 120</w:t>
      </w:r>
      <w:r>
        <w:rPr>
          <w:rFonts w:eastAsia="Symbol" w:cs="Symbol" w:ascii="Symbol" w:hAnsi="Symbol"/>
        </w:rPr>
        <w:sym w:font="Symbol" w:char="f0b0"/>
      </w:r>
      <w:r>
        <w:rPr/>
        <w:t>F. or less than 45</w:t>
      </w:r>
      <w:r>
        <w:rPr>
          <w:rFonts w:eastAsia="Symbol" w:cs="Symbol" w:ascii="Symbol" w:hAnsi="Symbol"/>
        </w:rPr>
        <w:sym w:font="Symbol" w:char="f0b0"/>
      </w:r>
      <w:r>
        <w:rPr/>
        <w:t>F.;</w:t>
      </w:r>
    </w:p>
    <w:p>
      <w:pPr>
        <w:pStyle w:val="Justified"/>
        <w:widowControl/>
        <w:numPr>
          <w:ilvl w:val="0"/>
          <w:numId w:val="3"/>
        </w:numPr>
        <w:tabs>
          <w:tab w:val="clear" w:pos="720"/>
          <w:tab w:val="left" w:pos="1710" w:leader="none"/>
        </w:tabs>
        <w:ind w:hanging="990" w:start="1710" w:end="0"/>
        <w:rPr/>
      </w:pPr>
      <w:r>
        <w:rPr/>
        <w:t>Contain no more than 7 pounds of entrained water vapor per million cubic feet; and</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or deliver Gas hereunder, as the case may be,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means of a continuous gas sampler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Btu content for such Gas to determine the total volume of Gas in MMBtu.</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 accurately;</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attributable to Shipper’s facilities, Shipper shall install pulsation dampening equipment, at is sole cost within sixty (60) Days of its receipt of notification so that the pulsation shall not interfere with Houston’s measurement.</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Neither party hereto shall assign or transfer its rights hereunder without first obtaining the other party’s written consent to such assignment or transfer, which shall not be unreasonably withheld; provided, that either party may assign or transfer this Agreement and their rights hereunder to an affiliate without obtaining the other party’s consent; provided, further, that no such assignment or transfer shall release the assigning party of any obligations contained in this Agreement unless and until such assigning party obtains a release from the other parties hereto.</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excess profits taxes, taxes measured by net income, ad valorem, income and any other statutory charges of similar nature or equivalent effect)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keepNext w:val="true"/>
        <w:widowControl/>
        <w:spacing w:before="0" w:after="120"/>
        <w:ind w:firstLine="720" w:end="0"/>
        <w:rPr/>
      </w:pPr>
      <w:r>
        <w:rPr/>
        <w:t>17.</w:t>
        <w:tab/>
      </w:r>
      <w:r>
        <w:rPr>
          <w:u w:val="single"/>
        </w:rPr>
        <w:t>Governmental Regulations</w:t>
      </w:r>
      <w:r>
        <w:rPr/>
        <w:t>.</w:t>
      </w:r>
    </w:p>
    <w:p>
      <w:pPr>
        <w:pStyle w:val="Normal"/>
        <w:widowControl/>
        <w:spacing w:before="0" w:after="120"/>
        <w:ind w:firstLine="720" w:end="0"/>
        <w:rPr/>
      </w:pPr>
      <w:r>
        <w:rPr/>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to make payment or refund for services rendered hereunder and, in the case of either Houston or Shipper, to correct any Gas imbalance existing on the date of such termination.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864"/>
          <w:pgNumType w:fmt="decimal"/>
          <w:formProt w:val="false"/>
          <w:textDirection w:val="lrTb"/>
          <w:docGrid w:type="default" w:linePitch="360" w:charSpace="0"/>
        </w:sectPr>
        <w:pStyle w:val="Normal"/>
        <w:widowControl/>
        <w:spacing w:before="0" w:after="120"/>
        <w:ind w:firstLine="720" w:end="0"/>
        <w:rPr/>
      </w:pPr>
      <w:r>
        <w:rPr/>
        <w:t>e.</w:t>
        <w:tab/>
        <w:t>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w:t>
      </w:r>
    </w:p>
    <w:p>
      <w:pPr>
        <w:pStyle w:val="Normal"/>
        <w:widowControl/>
        <w:spacing w:before="0" w:after="120"/>
        <w:ind w:firstLine="720" w:end="0"/>
        <w:jc w:val="center"/>
        <w:rPr>
          <w:b/>
          <w:bCs/>
        </w:rPr>
      </w:pPr>
      <w:r>
        <w:rPr>
          <w:b/>
          <w:bCs/>
        </w:rPr>
        <w:t>EXHIBIT “A”</w:t>
      </w:r>
    </w:p>
    <w:p>
      <w:pPr>
        <w:pStyle w:val="Normal"/>
        <w:widowControl/>
        <w:spacing w:before="0" w:after="120"/>
        <w:ind w:firstLine="720" w:end="0"/>
        <w:jc w:val="center"/>
        <w:rPr>
          <w:b/>
          <w:bCs/>
        </w:rPr>
      </w:pPr>
      <w:r>
        <w:rPr>
          <w:b/>
          <w:bCs/>
        </w:rPr>
        <w:t>To Gathering Agreement</w:t>
      </w:r>
    </w:p>
    <w:p>
      <w:pPr>
        <w:pStyle w:val="Normal"/>
        <w:widowControl/>
        <w:spacing w:before="0" w:after="120"/>
        <w:ind w:firstLine="720" w:end="0"/>
        <w:jc w:val="center"/>
        <w:rPr>
          <w:b/>
          <w:bCs/>
        </w:rPr>
      </w:pPr>
      <w:r>
        <w:rPr>
          <w:b/>
          <w:bCs/>
        </w:rPr>
        <w:t>Form of Transportation Nomination Request</w:t>
      </w:r>
    </w:p>
    <w:p>
      <w:pPr>
        <w:pStyle w:val="Normal"/>
        <w:widowControl/>
        <w:spacing w:before="0" w:after="120"/>
        <w:ind w:firstLine="720" w:end="0"/>
        <w:jc w:val="center"/>
        <w:rPr>
          <w:b/>
          <w:bCs/>
        </w:rPr>
      </w:pPr>
      <w:r>
        <w:rPr>
          <w:b/>
          <w:bCs/>
        </w:rPr>
      </w:r>
    </w:p>
    <w:p>
      <w:pPr>
        <w:pStyle w:val="Normal"/>
        <w:widowControl/>
        <w:spacing w:before="0" w:after="120"/>
        <w:ind w:firstLine="720" w:end="0"/>
        <w:jc w:val="center"/>
        <w:rPr>
          <w:b/>
          <w:bCs/>
        </w:rPr>
      </w:pPr>
      <w:r>
        <w:rPr>
          <w:b/>
          <w:bCs/>
        </w:rPr>
      </w:r>
    </w:p>
    <w:sectPr>
      <w:headerReference w:type="default" r:id="rId10"/>
      <w:headerReference w:type="first" r:id="rId11"/>
      <w:footerReference w:type="default" r:id="rId12"/>
      <w:footerReference w:type="first" r:id="rId13"/>
      <w:type w:val="nextPage"/>
      <w:pgSz w:orient="landscape" w:w="15840" w:h="12240"/>
      <w:pgMar w:left="864"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/mnt/main-storage/datasets/enron-docs/doc/Coastal_Gathering_Agreement_5_24_00_.doc</w:t>
    </w:r>
    <w:r>
      <w:rPr>
        <w:sz w:val="16"/>
      </w:rPr>
      <w:fldChar w:fldCharType="end"/>
    </w:r>
    <w:r>
      <w:rPr/>
      <w:tab/>
    </w:r>
    <w:r>
      <w:rPr/>
      <w:fldChar w:fldCharType="begin"/>
    </w:r>
    <w:r>
      <w:rPr/>
      <w:instrText xml:space="preserve"> PAGE </w:instrText>
    </w:r>
    <w:r>
      <w:rPr/>
      <w:fldChar w:fldCharType="separate"/>
    </w:r>
    <w:r>
      <w:rPr/>
      <w:t>5</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/mnt/main-storage/datasets/enron-docs/doc/Coastal_Gathering_Agreement_5_24_00_.doc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/mnt/main-storage/datasets/enron-docs/doc/Coastal_Gathering_Agreement_5_24_00_.doc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/mnt/main-storage/datasets/enron-docs/doc/Coastal_Gathering_Agreement_5_24_00_.doc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2000-06-09T11:57:00Z</dcterms:created>
  <dc:creator>ECT</dc:creator>
  <dc:description>THIS IS A FORM</dc:description>
  <dc:language>en-CA</dc:language>
  <cp:lastModifiedBy>svanhoo</cp:lastModifiedBy>
  <cp:lastPrinted>2000-05-23T16:41:00Z</cp:lastPrinted>
  <dcterms:modified xsi:type="dcterms:W3CDTF">2000-06-09T11:57:00Z</dcterms:modified>
  <cp:revision>2</cp:revision>
  <dc:subject>HPL and _____________</dc:subject>
  <dc:title>Interruptible GTA</dc:title>
</cp:coreProperties>
</file>