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spacing w:before="0" w:after="240"/>
        <w:jc w:val="center"/>
        <w:rPr>
          <w:b/>
          <w:sz w:val="30"/>
        </w:rPr>
      </w:pPr>
      <w:r>
        <w:rPr>
          <w:b/>
          <w:sz w:val="30"/>
        </w:rPr>
      </w:r>
    </w:p>
    <w:p>
      <w:pPr>
        <w:pStyle w:val="Normal"/>
        <w:widowControl/>
        <w:spacing w:before="0" w:after="240"/>
        <w:jc w:val="center"/>
        <w:rPr>
          <w:b/>
          <w:sz w:val="30"/>
        </w:rPr>
      </w:pPr>
      <w:r>
        <w:rPr>
          <w:b/>
          <w:sz w:val="30"/>
        </w:rPr>
        <w:t>GAS GATHERING AGREEMENT</w:t>
      </w:r>
    </w:p>
    <w:p>
      <w:pPr>
        <w:pStyle w:val="Normal"/>
        <w:widowControl/>
        <w:spacing w:before="0" w:after="240"/>
        <w:jc w:val="center"/>
        <w:rPr>
          <w:b/>
          <w:sz w:val="30"/>
        </w:rPr>
      </w:pPr>
      <w:r>
        <w:rPr>
          <w:b/>
          <w:sz w:val="30"/>
        </w:rPr>
      </w:r>
    </w:p>
    <w:p>
      <w:pPr>
        <w:pStyle w:val="Normal"/>
        <w:widowControl/>
        <w:rPr/>
      </w:pPr>
      <w:r>
        <w:rPr/>
        <w:t xml:space="preserve">THIS GAS GATHERING AGREEMENT made and entered into effective as of the March 1, 2000 (the “Effective Date”), by and between </w:t>
      </w:r>
      <w:r>
        <w:rPr>
          <w:caps/>
          <w:spacing w:val="-3"/>
        </w:rPr>
        <w:t>Coastal Oil &amp; Gas USA, L.P.,</w:t>
      </w:r>
      <w:r>
        <w:rPr/>
        <w:t xml:space="preserve"> a Delaware limited partnership, hereinafter referred to as “Shipper”, and HOUSTON PIPE LINE COMPANY, a Delaware corporation, hereinafter referred to as “Houston” or “HPL”.</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gather certain quantities of natural gas produced by Shipper from the Cage Ranch Field and surrounding areas in Brooks County, Texas to Exxon Mobil Corporation's King Ranch Gas Processing Plant in Kleberg County, Texas; and</w:t>
      </w:r>
    </w:p>
    <w:p>
      <w:pPr>
        <w:pStyle w:val="Normal"/>
        <w:widowControl/>
        <w:spacing w:before="0" w:after="120"/>
        <w:ind w:firstLine="720" w:end="0"/>
        <w:rPr/>
      </w:pPr>
      <w:r>
        <w:rPr/>
        <w:t>WHEREAS, Houston desires gather said Gas for Shipper subject to the terms of this Agreement.</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rPr/>
      </w:pPr>
      <w:r>
        <w:rPr/>
      </w:r>
    </w:p>
    <w:p>
      <w:pPr>
        <w:pStyle w:val="Heading1"/>
        <w:widowControl/>
        <w:spacing w:before="0" w:after="0"/>
        <w:ind w:hanging="0" w:start="0"/>
        <w:rPr/>
      </w:pPr>
      <w:r>
        <w:rPr/>
        <w:fldChar w:fldCharType="begin"/>
      </w:r>
      <w:r>
        <w:rPr/>
        <w:instrText xml:space="preserve"> SEQ AutoNr \* ARABIC </w:instrText>
      </w:r>
      <w:r>
        <w:rPr/>
        <w:fldChar w:fldCharType="separate"/>
      </w:r>
      <w:r>
        <w:rPr/>
        <w:t>2</w:t>
      </w:r>
      <w:r>
        <w:rPr/>
        <w:fldChar w:fldCharType="end"/>
      </w:r>
      <w:r>
        <w:rPr/>
        <w:tab/>
        <w:t>Receipt Points and Delivery Points &amp;</w:t>
      </w:r>
    </w:p>
    <w:p>
      <w:pPr>
        <w:pStyle w:val="Heading1"/>
        <w:widowControl/>
        <w:spacing w:before="0" w:after="240"/>
        <w:ind w:hanging="0" w:start="0"/>
        <w:rPr/>
      </w:pPr>
      <w:r>
        <w:rPr/>
        <w:t>GATHERING SERVICE</w:t>
      </w:r>
    </w:p>
    <w:p>
      <w:pPr>
        <w:pStyle w:val="Normal"/>
        <w:widowControl/>
        <w:rPr/>
      </w:pPr>
      <w:r>
        <w:rPr/>
        <w:t>Shipper shall, throughout the term of this Agreement, deliver Gas to Houston at (i) Houston’s Meter Station No. 9610 located in Brooks County, Texas and (ii) to such other points as the Parties may mutually agree during the term hereof (the “Receipt Points”) up to a Maximum Daily Quantity of 75,000 MMBtu per Day and Houston shall gather such Gas to or for the account of Shipper to the interconnection of Houston's pipeline facilities with the inlet facilities of  ExxonMobil Gas Marketing Company's (a division of Exxon Mobil Corporation) King Ranch Gas Processing Plant (the “Plant”) located in Kleberg County, Texas (the “Delivery Point”).  Such Gas shall be gathered by Houston on a fully interruptible basis.  Coastal agrees that throughout the term of this Agreement, it shall exclusively seek to gather Gas to the Plant under this Agreement, except during those period of time that Houston lacks capacity to gather Shipper’s Gas.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TERM</w:t>
      </w:r>
    </w:p>
    <w:p>
      <w:pPr>
        <w:pStyle w:val="Normal"/>
        <w:widowControl/>
        <w:ind w:firstLine="720" w:end="0"/>
        <w:rPr/>
      </w:pPr>
      <w:r>
        <w:rPr/>
        <w:t>This Agreement and the service to be provided hereunder shall commence on the Effective Date and shall terminate on the second anniversary of the Effective Date, unless on such date, a volume of less than 25 Bcf of Gas shall have been gathered under this Agreement (a “Gathering Volume Deficiency”).  If a Gathering Volume Deficiency occurs, the term of this Agreement shall automatically extend for an additional Year, in which case this Agreement and the service to be provided hereunder shall terminate on the third anniversary of the Effective Date.  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Fee</w:t>
      </w:r>
    </w:p>
    <w:p>
      <w:pPr>
        <w:pStyle w:val="BodyTextIndent"/>
        <w:spacing w:before="0" w:after="120"/>
        <w:rPr/>
      </w:pPr>
      <w:r>
        <w:rPr/>
        <w:t>a.</w:t>
        <w:tab/>
        <w:t>Shipper shall pay Houston a fee for all Gas received hereunder at the Receipt Point a rate of $0.005 per MMBtu.</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General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____________________</w:t>
            </w:r>
          </w:p>
        </w:tc>
        <w:tc>
          <w:tcPr>
            <w:tcW w:w="4590" w:type="dxa"/>
            <w:tcBorders/>
          </w:tcPr>
          <w:p>
            <w:pPr>
              <w:pStyle w:val="Normal"/>
              <w:keepNext w:val="true"/>
              <w:widowControl/>
              <w:rPr/>
            </w:pPr>
            <w:r>
              <w:rPr/>
              <w:t>Attn:  President</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646-8416</w:t>
            </w:r>
          </w:p>
        </w:tc>
      </w:tr>
      <w:tr>
        <w:trPr/>
        <w:tc>
          <w:tcPr>
            <w:tcW w:w="3888" w:type="dxa"/>
            <w:tcBorders/>
          </w:tcPr>
          <w:p>
            <w:pPr>
              <w:pStyle w:val="Normal"/>
              <w:widowControl/>
              <w:rPr/>
            </w:pPr>
            <w:r>
              <w:rPr/>
              <w:t xml:space="preserve">FAX No  </w:t>
            </w:r>
          </w:p>
          <w:p>
            <w:pPr>
              <w:pStyle w:val="Normal"/>
              <w:widowControl/>
              <w:rPr/>
            </w:pPr>
            <w:r>
              <w:rPr/>
              <w:t>Phone:</w:t>
            </w:r>
          </w:p>
        </w:tc>
        <w:tc>
          <w:tcPr>
            <w:tcW w:w="4590" w:type="dxa"/>
            <w:tcBorders/>
          </w:tcPr>
          <w:p>
            <w:pPr>
              <w:pStyle w:val="Normal"/>
              <w:widowControl/>
              <w:rPr/>
            </w:pPr>
            <w:r>
              <w:rPr/>
              <w:t>Phone:  (713) 853-1839</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____________________</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646-2372</w:t>
            </w:r>
          </w:p>
        </w:tc>
      </w:tr>
      <w:tr>
        <w:trPr/>
        <w:tc>
          <w:tcPr>
            <w:tcW w:w="3888" w:type="dxa"/>
            <w:tcBorders/>
          </w:tcPr>
          <w:p>
            <w:pPr>
              <w:pStyle w:val="Normal"/>
              <w:keepNext w:val="true"/>
              <w:widowControl/>
              <w:rPr/>
            </w:pPr>
            <w:r>
              <w:rPr/>
              <w:t>FAX No</w:t>
            </w:r>
          </w:p>
          <w:p>
            <w:pPr>
              <w:pStyle w:val="Normal"/>
              <w:keepNext w:val="true"/>
              <w:widowControl/>
              <w:rPr/>
            </w:pPr>
            <w:r>
              <w:rPr/>
              <w:t>Phone:</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TITLE Warranties &amp; Indemnification</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Houston shall have no obligation under this Agreement if Houston, in its sole discretion, determines at any time that Shipper has breached any applicable representation or warranty referenced above or that the service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Attachments</w:t>
      </w:r>
    </w:p>
    <w:p>
      <w:pPr>
        <w:pStyle w:val="Normal"/>
        <w:widowControl/>
        <w:ind w:firstLine="720" w:end="0"/>
        <w:rPr/>
      </w:pPr>
      <w:r>
        <w:rPr/>
        <w:t>Incorporated into this Agreement by reference are Appendix “A” (General Terms and Conditions) a copy of which is attached hereto.  This Agreement and Appendix “A”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Its ___________________________________</w:t>
      </w:r>
    </w:p>
    <w:p>
      <w:pPr>
        <w:pStyle w:val="Normal"/>
        <w:keepLines/>
        <w:widowControl/>
        <w:tabs>
          <w:tab w:val="clear" w:pos="720"/>
          <w:tab w:val="left" w:pos="4320" w:leader="none"/>
          <w:tab w:val="left" w:pos="5040" w:leader="none"/>
          <w:tab w:val="left" w:pos="9180" w:leader="none"/>
        </w:tabs>
        <w:rPr/>
      </w:pPr>
      <w:r>
        <w:rPr/>
      </w:r>
    </w:p>
    <w:p>
      <w:pPr>
        <w:pStyle w:val="Normal"/>
        <w:widowControl/>
        <w:tabs>
          <w:tab w:val="clear" w:pos="720"/>
          <w:tab w:val="left" w:pos="3150" w:leader="none"/>
        </w:tabs>
        <w:ind w:start="4320" w:end="0"/>
        <w:rPr>
          <w:b/>
          <w:caps/>
        </w:rPr>
      </w:pPr>
      <w:r>
        <w:rPr>
          <w:b/>
          <w:caps/>
          <w:spacing w:val="-3"/>
        </w:rPr>
        <w:t>Coastal Oil &amp; Gas USA, L.P.,</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Gas Gathering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hanging="720" w:start="144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hanging="720" w:start="144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numPr>
          <w:ilvl w:val="0"/>
          <w:numId w:val="2"/>
        </w:numPr>
        <w:spacing w:before="0" w:after="120"/>
        <w:rPr/>
      </w:pPr>
      <w:r>
        <w:rPr>
          <w:u w:val="single"/>
        </w:rPr>
        <w:t>Psia</w:t>
      </w:r>
      <w:r>
        <w:rPr/>
        <w:t>.  The term “psia” shall mean pounds per square inch absolute.</w:t>
      </w:r>
    </w:p>
    <w:p>
      <w:pPr>
        <w:pStyle w:val="Normal"/>
        <w:widowControl/>
        <w:numPr>
          <w:ilvl w:val="0"/>
          <w:numId w:val="2"/>
        </w:numPr>
        <w:spacing w:before="0" w:after="120"/>
        <w:rPr/>
      </w:pPr>
      <w:r>
        <w:rPr>
          <w:u w:val="single"/>
        </w:rPr>
        <w:t>Interruptible</w:t>
      </w:r>
      <w:r>
        <w:rPr/>
        <w:t>.  The term “interruptible” or “interruptible service” as used herein means that Houston, in its sole and unfettered discretion, shall have the right to interrupt, curtail or suspend the receipt, gathering or delivery of Gas hereunder at any time and from time to time without any liability to Shipper by reason thereof.</w:t>
      </w:r>
    </w:p>
    <w:p>
      <w:pPr>
        <w:pStyle w:val="Normal"/>
        <w:widowControl/>
        <w:numPr>
          <w:ilvl w:val="0"/>
          <w:numId w:val="2"/>
        </w:numPr>
        <w:spacing w:before="0" w:after="120"/>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gathering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gathered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BodyTextIndent"/>
        <w:spacing w:before="0" w:after="12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Justified"/>
        <w:widowControl/>
        <w:spacing w:before="0" w:after="0"/>
        <w:ind w:hanging="720" w:start="1440" w:end="0"/>
        <w:rPr/>
      </w:pPr>
      <w:r>
        <w:rPr/>
      </w:r>
    </w:p>
    <w:p>
      <w:pPr>
        <w:pStyle w:val="Justified"/>
        <w:widowControl/>
        <w:numPr>
          <w:ilvl w:val="0"/>
          <w:numId w:val="4"/>
        </w:numPr>
        <w:tabs>
          <w:tab w:val="clear" w:pos="720"/>
          <w:tab w:val="left" w:pos="1710" w:leader="none"/>
        </w:tabs>
        <w:ind w:hanging="990" w:start="1710" w:end="0"/>
        <w:rPr/>
      </w:pPr>
      <w:r>
        <w:rPr/>
        <w:t>Contain at least 2.00 gallons per Mcf (GPM) or recoverable Liquids and Liquefiable Hydrocarbons.</w:t>
      </w:r>
    </w:p>
    <w:p>
      <w:pPr>
        <w:pStyle w:val="Justified"/>
        <w:widowControl/>
        <w:numPr>
          <w:ilvl w:val="0"/>
          <w:numId w:val="4"/>
        </w:numPr>
        <w:tabs>
          <w:tab w:val="clear" w:pos="720"/>
          <w:tab w:val="left" w:pos="1710" w:leader="none"/>
        </w:tabs>
        <w:ind w:hanging="990" w:start="1710" w:end="0"/>
        <w:rPr/>
      </w:pPr>
      <w:r>
        <w:rPr/>
        <w:t>Have a total heating value of not less than 950 Btus per cubic foot when saturated with water vapor (gross basis);</w:t>
      </w:r>
    </w:p>
    <w:p>
      <w:pPr>
        <w:pStyle w:val="Justified"/>
        <w:widowControl/>
        <w:numPr>
          <w:ilvl w:val="0"/>
          <w:numId w:val="4"/>
        </w:numPr>
        <w:tabs>
          <w:tab w:val="clear" w:pos="720"/>
          <w:tab w:val="left" w:pos="1710" w:leader="none"/>
        </w:tabs>
        <w:ind w:hanging="990" w:start="1710" w:end="0"/>
        <w:rPr/>
      </w:pPr>
      <w:r>
        <w:rPr/>
        <w:t>Be commercially free of all dust, hydrocarbon liquids, water, suspended matter, all gums and gum forming constituents and any other objectionable substances;</w:t>
      </w:r>
    </w:p>
    <w:p>
      <w:pPr>
        <w:pStyle w:val="Justified"/>
        <w:widowControl/>
        <w:numPr>
          <w:ilvl w:val="0"/>
          <w:numId w:val="4"/>
        </w:numPr>
        <w:tabs>
          <w:tab w:val="clear" w:pos="720"/>
          <w:tab w:val="left" w:pos="1710" w:leader="none"/>
        </w:tabs>
        <w:ind w:hanging="990" w:start="1710" w:end="0"/>
        <w:rPr/>
      </w:pPr>
      <w:r>
        <w:rPr/>
        <w:t>Contain no more than 20 grains of total sulfur, nor more than 1/4 grain of hydrogen sulfide per 100 standard cubic feet;</w:t>
      </w:r>
    </w:p>
    <w:p>
      <w:pPr>
        <w:pStyle w:val="Justified"/>
        <w:widowControl/>
        <w:numPr>
          <w:ilvl w:val="0"/>
          <w:numId w:val="4"/>
        </w:numPr>
        <w:tabs>
          <w:tab w:val="clear" w:pos="720"/>
          <w:tab w:val="left" w:pos="1710" w:leader="none"/>
        </w:tabs>
        <w:ind w:hanging="990" w:start="1710" w:end="0"/>
        <w:rPr/>
      </w:pPr>
      <w:r>
        <w:rPr/>
        <w:t>Contain no more than 2.0% by volume of carbon dioxide, 0.2% by volume of oxygen, and 3.0% by volume of total inerts;</w:t>
      </w:r>
    </w:p>
    <w:p>
      <w:pPr>
        <w:pStyle w:val="Justified"/>
        <w:widowControl/>
        <w:numPr>
          <w:ilvl w:val="0"/>
          <w:numId w:val="4"/>
        </w:numPr>
        <w:tabs>
          <w:tab w:val="clear" w:pos="720"/>
          <w:tab w:val="left" w:pos="1710" w:leader="none"/>
        </w:tabs>
        <w:ind w:hanging="990" w:start="1710" w:end="0"/>
        <w:rPr/>
      </w:pPr>
      <w:r>
        <w:rPr/>
        <w:t>Have a temperature of not more than Fahrenheit 120</w:t>
      </w:r>
      <w:r>
        <w:rPr>
          <w:rFonts w:eastAsia="Symbol" w:cs="Symbol" w:ascii="Symbol" w:hAnsi="Symbol"/>
        </w:rPr>
        <w:sym w:font="Symbol" w:char="f0b0"/>
      </w:r>
      <w:r>
        <w:rPr/>
        <w:t>F. or less than 45</w:t>
      </w:r>
      <w:r>
        <w:rPr>
          <w:rFonts w:eastAsia="Symbol" w:cs="Symbol" w:ascii="Symbol" w:hAnsi="Symbol"/>
        </w:rPr>
        <w:sym w:font="Symbol" w:char="f0b0"/>
      </w:r>
      <w:r>
        <w:rPr/>
        <w:t>F.;</w:t>
      </w:r>
    </w:p>
    <w:p>
      <w:pPr>
        <w:pStyle w:val="Justified"/>
        <w:widowControl/>
        <w:numPr>
          <w:ilvl w:val="0"/>
          <w:numId w:val="4"/>
        </w:numPr>
        <w:tabs>
          <w:tab w:val="clear" w:pos="720"/>
          <w:tab w:val="left" w:pos="1710" w:leader="none"/>
        </w:tabs>
        <w:ind w:hanging="990" w:start="1710" w:end="0"/>
        <w:rPr/>
      </w:pPr>
      <w:r>
        <w:rPr/>
        <w:t>Contain no more than 7 pounds of entrained water vapor per million cubic feet; and</w:t>
      </w:r>
    </w:p>
    <w:p>
      <w:pPr>
        <w:pStyle w:val="Justified"/>
        <w:numPr>
          <w:ilvl w:val="0"/>
          <w:numId w:val="4"/>
        </w:numPr>
        <w:tabs>
          <w:tab w:val="clear" w:pos="720"/>
          <w:tab w:val="left" w:pos="1710" w:leader="none"/>
        </w:tabs>
        <w:ind w:hanging="990" w:start="1710" w:end="0"/>
        <w:rPr/>
      </w:pPr>
      <w:r>
        <w:rPr/>
        <w:t>Have a hydrocarbon dewpoint of 45ºF or less at pipeline operating pressures between 200 psig and 1100 psig.</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gathered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3"/>
        </w:numPr>
        <w:tabs>
          <w:tab w:val="clear" w:pos="720"/>
          <w:tab w:val="left" w:pos="1080" w:leader="none"/>
          <w:tab w:val="left" w:pos="1170" w:leader="none"/>
          <w:tab w:val="left" w:pos="1350" w:leader="none"/>
        </w:tabs>
        <w:spacing w:before="0" w:after="120"/>
        <w:ind w:hanging="360" w:start="1080" w:end="0"/>
        <w:rPr>
          <w:color w:val="000000"/>
        </w:rPr>
      </w:pP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the parties hereby waiving their rights, if any, to recover attorneys' fees and consequential, special, indirect, treble, exemplary or punitive damages with respect to this Agreement.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5"/>
        </w:numPr>
        <w:tabs>
          <w:tab w:val="clear" w:pos="720"/>
          <w:tab w:val="left" w:pos="0" w:leader="none"/>
          <w:tab w:val="left" w:pos="1080" w:leader="none"/>
        </w:tabs>
        <w:spacing w:before="0" w:after="120"/>
        <w:ind w:firstLine="720" w:start="0" w:end="0"/>
        <w:rPr/>
      </w:pPr>
      <w:r>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shippers, Houston shall have the right, at its option, to implement such cashout procedures under this Agreement in addition to or in replacement and substitution for the provisions of Sections 5 and 6 hereof.</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/mnt/main-storage/datasets/enron-docs/doc/Coastal_Gathering_Agreement.doc</w:t>
    </w:r>
    <w:r>
      <w:rPr>
        <w:sz w:val="16"/>
      </w:rPr>
      <w:fldChar w:fldCharType="end"/>
    </w:r>
    <w:r>
      <w:rPr/>
      <w:tab/>
    </w:r>
    <w:r>
      <w:rPr/>
      <w:fldChar w:fldCharType="begin"/>
    </w:r>
    <w:r>
      <w:rPr/>
      <w:instrText xml:space="preserve"> PAGE </w:instrText>
    </w:r>
    <w:r>
      <w:rPr/>
      <w:fldChar w:fldCharType="separate"/>
    </w:r>
    <w:r>
      <w:rPr/>
      <w:t>4</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abstractNum w:abstractNumId="3">
    <w:lvl w:ilvl="0">
      <w:start w:val="17"/>
      <w:numFmt w:val="decimal"/>
      <w:lvlText w:val="%1."/>
      <w:lvlJc w:val="start"/>
      <w:pPr>
        <w:tabs>
          <w:tab w:val="num" w:pos="1080"/>
        </w:tabs>
        <w:ind w:start="1800" w:hanging="1080"/>
      </w:pPr>
    </w:lvl>
  </w:abstractNum>
  <w:abstractNum w:abstractNumId="4">
    <w:lvl w:ilvl="0">
      <w:start w:val="1"/>
      <w:numFmt w:val="lowerLetter"/>
      <w:lvlText w:val="(%1)"/>
      <w:lvlJc w:val="start"/>
      <w:pPr>
        <w:tabs>
          <w:tab w:val="num" w:pos="360"/>
        </w:tabs>
        <w:ind w:start="360" w:hanging="360"/>
      </w:pPr>
    </w:lvl>
  </w:abstractNum>
  <w:abstractNum w:abstractNumId="5">
    <w:lvl w:ilvl="0">
      <w:start w:val="2"/>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2000-03-22T13:00:00Z</dcterms:created>
  <dc:creator>ECT</dc:creator>
  <dc:description>THIS IS A FORM</dc:description>
  <dc:language>en-CA</dc:language>
  <cp:lastModifiedBy>Steve Van Hooser</cp:lastModifiedBy>
  <cp:lastPrinted>2000-03-22T15:18:00Z</cp:lastPrinted>
  <dcterms:modified xsi:type="dcterms:W3CDTF">2000-03-22T18:52:00Z</dcterms:modified>
  <cp:revision>21</cp:revision>
  <dc:subject>HPL and _____________</dc:subject>
  <dc:title>Interruptible GTA</dc:title>
</cp:coreProperties>
</file>