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PROPOSAL</w:t>
      </w:r>
    </w:p>
    <w:p>
      <w:pPr>
        <w:pStyle w:val="Heading"/>
        <w:rPr/>
      </w:pPr>
      <w:r>
        <w:rPr/>
        <w:t>(For discussion purposes only – subject to contract)</w:t>
      </w:r>
    </w:p>
    <w:p>
      <w:pPr>
        <w:pStyle w:val="Normal"/>
        <w:jc w:val="center"/>
        <w:rPr/>
      </w:pPr>
      <w:r>
        <w:rPr/>
      </w:r>
    </w:p>
    <w:p>
      <w:pPr>
        <w:pStyle w:val="Heading1"/>
        <w:ind w:hanging="0" w:start="0"/>
        <w:rPr/>
      </w:pPr>
      <w:r>
        <w:rPr/>
        <w:t>Background</w:t>
      </w:r>
    </w:p>
    <w:p>
      <w:pPr>
        <w:pStyle w:val="Normal"/>
        <w:rPr/>
      </w:pPr>
      <w:r>
        <w:rPr/>
      </w:r>
    </w:p>
    <w:p>
      <w:pPr>
        <w:pStyle w:val="BodyTextIndent"/>
        <w:numPr>
          <w:ilvl w:val="0"/>
          <w:numId w:val="2"/>
        </w:numPr>
        <w:jc w:val="both"/>
        <w:rPr/>
      </w:pPr>
      <w:r>
        <w:rPr/>
        <w:t>Per Section 10.5 of the Purchase &amp; Sale Agreement, AEP is obligated to begin paying interest on 1 May 2001 if the Closing Date is delayed by the inability of AEP to receive approval under the Hart Scott Rodino Act.  These interest payments are estimated to equal approximately $2.1MM per month.</w:t>
      </w:r>
    </w:p>
    <w:p>
      <w:pPr>
        <w:pStyle w:val="BodyTextIndent"/>
        <w:ind w:hanging="0" w:start="0" w:end="0"/>
        <w:jc w:val="both"/>
        <w:rPr/>
      </w:pPr>
      <w:r>
        <w:rPr/>
      </w:r>
    </w:p>
    <w:p>
      <w:pPr>
        <w:pStyle w:val="BodyTextIndent"/>
        <w:numPr>
          <w:ilvl w:val="0"/>
          <w:numId w:val="2"/>
        </w:numPr>
        <w:jc w:val="both"/>
        <w:rPr/>
      </w:pPr>
      <w:r>
        <w:rPr/>
        <w:t xml:space="preserve">HPL is currently in litigation with Coastline Resources and a number of its sub-contractors with respect to the cleaning and expansion of the South Padre Island 20” Pipeline.  HPL has paid $2.21MM under a lump-sum fixed-price contract to complete this work.  Coastline and its sub-contractors are claiming a further $3.57MM in respect of retention, change orders and stand-by time.  HPL is confident that $2.16MM of this amount is frivolous and not warranted, but HPL may be subject to $1.41MM of additional charges due to events of force majeure (whether related) during the construction activities.  </w:t>
      </w:r>
    </w:p>
    <w:p>
      <w:pPr>
        <w:pStyle w:val="BodyTextIndent"/>
        <w:ind w:hanging="0" w:start="0" w:end="0"/>
        <w:jc w:val="both"/>
        <w:rPr/>
      </w:pPr>
      <w:r>
        <w:rPr/>
      </w:r>
    </w:p>
    <w:p>
      <w:pPr>
        <w:pStyle w:val="BodyTextIndent"/>
        <w:numPr>
          <w:ilvl w:val="0"/>
          <w:numId w:val="2"/>
        </w:numPr>
        <w:jc w:val="both"/>
        <w:rPr>
          <w:szCs w:val="20"/>
        </w:rPr>
      </w:pPr>
      <w:r>
        <w:rPr/>
        <w:t>Enron will retain this litigation as part of the sale and will indemnify HPL from all costs in respect of such.  A number of the Enron employees working on this litigation are considering transferring to HPL as part of the sale.   Per the P&amp;SA Enron will seek to retain the following individuals as Enron employees or, if Enron is unable to retain these employees, request that AEP make the following individuals available to support the litigation effort.</w:t>
      </w:r>
    </w:p>
    <w:p>
      <w:pPr>
        <w:pStyle w:val="BodyTextIndent"/>
        <w:ind w:hanging="0" w:start="0" w:end="0"/>
        <w:jc w:val="both"/>
        <w:rPr>
          <w:szCs w:val="20"/>
        </w:rPr>
      </w:pPr>
      <w:r>
        <w:rPr>
          <w:szCs w:val="20"/>
        </w:rPr>
      </w:r>
    </w:p>
    <w:p>
      <w:pPr>
        <w:pStyle w:val="BodyTextIndent"/>
        <w:numPr>
          <w:ilvl w:val="0"/>
          <w:numId w:val="3"/>
        </w:numPr>
        <w:rPr>
          <w:szCs w:val="20"/>
        </w:rPr>
      </w:pPr>
      <w:r>
        <w:rPr>
          <w:szCs w:val="20"/>
        </w:rPr>
        <w:t>Rusty Belflower</w:t>
      </w:r>
    </w:p>
    <w:p>
      <w:pPr>
        <w:pStyle w:val="BodyTextIndent"/>
        <w:numPr>
          <w:ilvl w:val="0"/>
          <w:numId w:val="3"/>
        </w:numPr>
        <w:rPr>
          <w:szCs w:val="20"/>
        </w:rPr>
      </w:pPr>
      <w:r>
        <w:rPr>
          <w:szCs w:val="20"/>
        </w:rPr>
        <w:t>Nick Cocavessis</w:t>
      </w:r>
    </w:p>
    <w:p>
      <w:pPr>
        <w:pStyle w:val="BodyTextIndent"/>
        <w:numPr>
          <w:ilvl w:val="0"/>
          <w:numId w:val="3"/>
        </w:numPr>
        <w:rPr>
          <w:szCs w:val="20"/>
        </w:rPr>
      </w:pPr>
      <w:r>
        <w:rPr>
          <w:szCs w:val="20"/>
        </w:rPr>
        <w:t>Glenn Gregory</w:t>
      </w:r>
    </w:p>
    <w:p>
      <w:pPr>
        <w:pStyle w:val="BodyTextIndent"/>
        <w:numPr>
          <w:ilvl w:val="0"/>
          <w:numId w:val="3"/>
        </w:numPr>
        <w:rPr>
          <w:szCs w:val="20"/>
        </w:rPr>
      </w:pPr>
      <w:r>
        <w:rPr>
          <w:szCs w:val="20"/>
        </w:rPr>
        <w:t>Reid Hansen</w:t>
      </w:r>
    </w:p>
    <w:p>
      <w:pPr>
        <w:pStyle w:val="BodyTextIndent"/>
        <w:numPr>
          <w:ilvl w:val="0"/>
          <w:numId w:val="3"/>
        </w:numPr>
        <w:rPr>
          <w:szCs w:val="20"/>
        </w:rPr>
      </w:pPr>
      <w:r>
        <w:rPr>
          <w:szCs w:val="20"/>
        </w:rPr>
        <w:t>Larry White</w:t>
      </w:r>
    </w:p>
    <w:p>
      <w:pPr>
        <w:pStyle w:val="Normal"/>
        <w:ind w:hanging="720" w:start="720" w:end="0"/>
        <w:rPr>
          <w:szCs w:val="20"/>
        </w:rPr>
      </w:pPr>
      <w:r>
        <w:rPr>
          <w:szCs w:val="20"/>
        </w:rPr>
      </w:r>
    </w:p>
    <w:p>
      <w:pPr>
        <w:pStyle w:val="Normal"/>
        <w:ind w:hanging="720" w:start="720" w:end="0"/>
        <w:rPr/>
      </w:pPr>
      <w:r>
        <w:rPr/>
      </w:r>
    </w:p>
    <w:p>
      <w:pPr>
        <w:pStyle w:val="Heading2"/>
        <w:rPr/>
      </w:pPr>
      <w:r>
        <w:rPr/>
        <w:t>Proposed Agreement</w:t>
      </w:r>
    </w:p>
    <w:p>
      <w:pPr>
        <w:pStyle w:val="Normal"/>
        <w:ind w:hanging="720" w:start="720" w:end="0"/>
        <w:rPr/>
      </w:pPr>
      <w:r>
        <w:rPr/>
      </w:r>
    </w:p>
    <w:p>
      <w:pPr>
        <w:pStyle w:val="Normal"/>
        <w:numPr>
          <w:ilvl w:val="0"/>
          <w:numId w:val="4"/>
        </w:numPr>
        <w:rPr/>
      </w:pPr>
      <w:r>
        <w:rPr/>
        <w:t>The start date for AEP interest payments to begin accruing is moved from 1 May 2001 to 1 June 2001.</w:t>
      </w:r>
    </w:p>
    <w:p>
      <w:pPr>
        <w:pStyle w:val="Normal"/>
        <w:ind w:start="360" w:end="0"/>
        <w:rPr/>
      </w:pPr>
      <w:r>
        <w:rPr/>
      </w:r>
    </w:p>
    <w:p>
      <w:pPr>
        <w:pStyle w:val="Normal"/>
        <w:numPr>
          <w:ilvl w:val="0"/>
          <w:numId w:val="4"/>
        </w:numPr>
        <w:rPr/>
      </w:pPr>
      <w:r>
        <w:rPr/>
        <w:t>AEP accepts the Coastline Resources litigation at Close and pays any further costs to settle the outstanding claims from Coastline.</w:t>
      </w:r>
    </w:p>
    <w:p>
      <w:pPr>
        <w:pStyle w:val="Normal"/>
        <w:rPr/>
      </w:pPr>
      <w:r>
        <w:rPr/>
      </w:r>
    </w:p>
    <w:p>
      <w:pPr>
        <w:pStyle w:val="Normal"/>
        <w:numPr>
          <w:ilvl w:val="0"/>
          <w:numId w:val="4"/>
        </w:numPr>
        <w:rPr/>
      </w:pPr>
      <w:r>
        <w:rPr/>
        <w:t>After Close, Enron agrees to continue to support AEP in respect of the litigation.</w:t>
      </w:r>
    </w:p>
    <w:p>
      <w:pPr>
        <w:pStyle w:val="Normal"/>
        <w:rPr/>
      </w:pPr>
      <w:r>
        <w:rPr/>
      </w:r>
      <w:r>
        <w:br w:type="page"/>
      </w:r>
    </w:p>
    <w:p>
      <w:pPr>
        <w:pStyle w:val="Normal"/>
        <w:rPr/>
      </w:pPr>
      <w:r>
        <w:rPr/>
      </w:r>
    </w:p>
    <w:p>
      <w:pPr>
        <w:pStyle w:val="Heading3"/>
        <w:ind w:hanging="0" w:start="0"/>
        <w:rPr/>
      </w:pPr>
      <w:r>
        <w:rPr/>
        <w:t>Economic Analysis</w:t>
      </w:r>
    </w:p>
    <w:p>
      <w:pPr>
        <w:pStyle w:val="Normal"/>
        <w:rPr/>
      </w:pPr>
      <w:r>
        <w:rPr/>
        <w:tab/>
        <w:tab/>
        <w:tab/>
      </w:r>
    </w:p>
    <w:p>
      <w:pPr>
        <w:pStyle w:val="Normal"/>
        <w:numPr>
          <w:ilvl w:val="0"/>
          <w:numId w:val="5"/>
        </w:numPr>
        <w:rPr>
          <w:b/>
          <w:bCs/>
        </w:rPr>
      </w:pPr>
      <w:r>
        <w:rPr>
          <w:b/>
          <w:bCs/>
        </w:rPr>
        <w:t>Coastline Lawsuit</w:t>
      </w:r>
    </w:p>
    <w:p>
      <w:pPr>
        <w:pStyle w:val="Normal"/>
        <w:ind w:start="1080" w:end="0"/>
        <w:rPr>
          <w:b/>
          <w:bCs/>
        </w:rPr>
      </w:pPr>
      <w:r>
        <w:rPr>
          <w:b/>
          <w:bCs/>
        </w:rPr>
      </w:r>
    </w:p>
    <w:p>
      <w:pPr>
        <w:pStyle w:val="Heading4"/>
        <w:rPr/>
      </w:pPr>
      <w:r>
        <w:rPr/>
        <w:t>Contract Value</w:t>
      </w:r>
    </w:p>
    <w:p>
      <w:pPr>
        <w:pStyle w:val="Normal"/>
        <w:ind w:start="1080" w:end="0"/>
        <w:rPr/>
      </w:pPr>
      <w:r>
        <w:rPr/>
        <w:t>Initial Coastline Contract Value:</w:t>
        <w:tab/>
        <w:tab/>
        <w:tab/>
        <w:t>$1.85 – Lump sum amount</w:t>
      </w:r>
    </w:p>
    <w:p>
      <w:pPr>
        <w:pStyle w:val="Normal"/>
        <w:ind w:start="1080" w:end="0"/>
        <w:rPr/>
      </w:pPr>
      <w:r>
        <w:rPr/>
        <w:t>Valid Change Orders - Paid:</w:t>
        <w:tab/>
        <w:tab/>
        <w:tab/>
      </w:r>
      <w:r>
        <w:rPr>
          <w:u w:val="single"/>
        </w:rPr>
        <w:t>$0.54</w:t>
      </w:r>
    </w:p>
    <w:p>
      <w:pPr>
        <w:pStyle w:val="Normal"/>
        <w:ind w:start="1080" w:end="0"/>
        <w:rPr/>
      </w:pPr>
      <w:r>
        <w:rPr/>
        <w:tab/>
        <w:t>Adjusted Lump Sum Contract Value:</w:t>
        <w:tab/>
        <w:tab/>
        <w:t>$2.39</w:t>
      </w:r>
    </w:p>
    <w:p>
      <w:pPr>
        <w:pStyle w:val="Normal"/>
        <w:ind w:start="1080" w:end="0"/>
        <w:rPr/>
      </w:pPr>
      <w:r>
        <w:rPr/>
      </w:r>
    </w:p>
    <w:p>
      <w:pPr>
        <w:pStyle w:val="Normal"/>
        <w:ind w:start="1080" w:end="0"/>
        <w:rPr/>
      </w:pPr>
      <w:r>
        <w:rPr/>
        <w:t>____________________________________________</w:t>
      </w:r>
    </w:p>
    <w:p>
      <w:pPr>
        <w:pStyle w:val="Normal"/>
        <w:ind w:start="1080" w:end="0"/>
        <w:rPr/>
      </w:pPr>
      <w:r>
        <w:rPr/>
      </w:r>
    </w:p>
    <w:p>
      <w:pPr>
        <w:pStyle w:val="Heading4"/>
        <w:rPr/>
      </w:pPr>
      <w:r>
        <w:rPr/>
        <w:t>Amount Paid</w:t>
      </w:r>
    </w:p>
    <w:p>
      <w:pPr>
        <w:pStyle w:val="Normal"/>
        <w:ind w:start="1080" w:end="0"/>
        <w:rPr/>
      </w:pPr>
      <w:r>
        <w:rPr/>
        <w:t>Lump Sum Contract Value Paid:</w:t>
        <w:tab/>
        <w:tab/>
        <w:tab/>
        <w:t>$1.66</w:t>
      </w:r>
    </w:p>
    <w:p>
      <w:pPr>
        <w:pStyle w:val="Normal"/>
        <w:ind w:start="1080" w:end="0"/>
        <w:rPr/>
      </w:pPr>
      <w:r>
        <w:rPr/>
        <w:t>Valid Change Orders Paid:</w:t>
        <w:tab/>
        <w:tab/>
        <w:tab/>
      </w:r>
      <w:r>
        <w:rPr>
          <w:u w:val="single"/>
        </w:rPr>
        <w:t>$0.54</w:t>
      </w:r>
    </w:p>
    <w:p>
      <w:pPr>
        <w:pStyle w:val="Normal"/>
        <w:ind w:start="1080" w:end="0"/>
        <w:rPr/>
      </w:pPr>
      <w:r>
        <w:rPr/>
        <w:tab/>
        <w:t>Total Contract Value Paid:</w:t>
        <w:tab/>
        <w:tab/>
        <w:tab/>
        <w:t>$2.20</w:t>
      </w:r>
    </w:p>
    <w:p>
      <w:pPr>
        <w:pStyle w:val="Normal"/>
        <w:ind w:start="1080" w:end="0"/>
        <w:rPr/>
      </w:pPr>
      <w:r>
        <w:rPr/>
      </w:r>
    </w:p>
    <w:p>
      <w:pPr>
        <w:pStyle w:val="Normal"/>
        <w:ind w:start="1080" w:end="0"/>
        <w:rPr/>
      </w:pPr>
      <w:r>
        <w:rPr/>
        <w:t>____________________________________________</w:t>
      </w:r>
    </w:p>
    <w:p>
      <w:pPr>
        <w:pStyle w:val="Normal"/>
        <w:ind w:start="1080" w:end="0"/>
        <w:rPr/>
      </w:pPr>
      <w:r>
        <w:rPr/>
      </w:r>
    </w:p>
    <w:p>
      <w:pPr>
        <w:pStyle w:val="Heading4"/>
        <w:rPr/>
      </w:pPr>
      <w:r>
        <w:rPr/>
        <w:t>Unpaid Amount</w:t>
      </w:r>
    </w:p>
    <w:p>
      <w:pPr>
        <w:pStyle w:val="Normal"/>
        <w:ind w:start="1080" w:end="0"/>
        <w:rPr/>
      </w:pPr>
      <w:r>
        <w:rPr/>
        <w:t>Contract Retention:</w:t>
        <w:tab/>
        <w:tab/>
        <w:tab/>
        <w:tab/>
        <w:t>$0.18</w:t>
      </w:r>
    </w:p>
    <w:p>
      <w:pPr>
        <w:pStyle w:val="Normal"/>
        <w:ind w:start="1080" w:end="0"/>
        <w:rPr/>
      </w:pPr>
      <w:r>
        <w:rPr/>
        <w:t>Acceptable Change Orders:</w:t>
        <w:tab/>
        <w:tab/>
        <w:tab/>
        <w:t>$1.23</w:t>
      </w:r>
    </w:p>
    <w:p>
      <w:pPr>
        <w:pStyle w:val="Normal"/>
        <w:ind w:start="1080" w:end="0"/>
        <w:rPr/>
      </w:pPr>
      <w:r>
        <w:rPr/>
        <w:t>Invalid Change Orders:</w:t>
        <w:tab/>
        <w:tab/>
        <w:tab/>
        <w:tab/>
      </w:r>
      <w:r>
        <w:rPr>
          <w:u w:val="single"/>
        </w:rPr>
        <w:t>$2.16</w:t>
      </w:r>
    </w:p>
    <w:p>
      <w:pPr>
        <w:pStyle w:val="Normal"/>
        <w:ind w:start="1080" w:end="0"/>
        <w:rPr/>
      </w:pPr>
      <w:r>
        <w:rPr/>
        <w:tab/>
        <w:t>Total Unpaid Claim</w:t>
        <w:tab/>
        <w:tab/>
        <w:tab/>
        <w:tab/>
        <w:t>$3.57</w:t>
      </w:r>
    </w:p>
    <w:p>
      <w:pPr>
        <w:pStyle w:val="Normal"/>
        <w:ind w:start="1080" w:end="0"/>
        <w:rPr/>
      </w:pPr>
      <w:r>
        <w:rPr/>
      </w:r>
    </w:p>
    <w:p>
      <w:pPr>
        <w:pStyle w:val="Normal"/>
        <w:ind w:start="1080" w:end="0"/>
        <w:rPr/>
      </w:pPr>
      <w:r>
        <w:rPr/>
        <w:t>Enron Accounting Treatment:  This capital expenditure by Enron will be netted against the proceeds from the sale of HPL.  Any shortfall will be written off.</w:t>
      </w:r>
    </w:p>
    <w:p>
      <w:pPr>
        <w:pStyle w:val="Normal"/>
        <w:ind w:start="1080" w:end="0"/>
        <w:rPr/>
      </w:pPr>
      <w:r>
        <w:rPr/>
      </w:r>
    </w:p>
    <w:p>
      <w:pPr>
        <w:pStyle w:val="Normal"/>
        <w:ind w:start="1080" w:end="0"/>
        <w:rPr/>
      </w:pPr>
      <w:r>
        <w:rPr/>
        <w:t>AEP Accounting Treatment:  The capital expenditure by AEP will be depreciated over the life of the assets.</w:t>
      </w:r>
    </w:p>
    <w:p>
      <w:pPr>
        <w:pStyle w:val="Normal"/>
        <w:ind w:start="1080" w:end="0"/>
        <w:rPr/>
      </w:pPr>
      <w:r>
        <w:rPr/>
      </w:r>
    </w:p>
    <w:p>
      <w:pPr>
        <w:pStyle w:val="Normal"/>
        <w:ind w:start="1080" w:end="0"/>
        <w:rPr/>
      </w:pPr>
      <w:r>
        <w:rPr/>
      </w:r>
    </w:p>
    <w:p>
      <w:pPr>
        <w:pStyle w:val="Normal"/>
        <w:numPr>
          <w:ilvl w:val="0"/>
          <w:numId w:val="5"/>
        </w:numPr>
        <w:rPr>
          <w:b/>
          <w:bCs/>
        </w:rPr>
      </w:pPr>
      <w:r>
        <w:rPr>
          <w:b/>
          <w:bCs/>
        </w:rPr>
        <w:t>Interest Payments:</w:t>
      </w:r>
    </w:p>
    <w:p>
      <w:pPr>
        <w:pStyle w:val="Normal"/>
        <w:ind w:start="360" w:end="0"/>
        <w:rPr>
          <w:b/>
          <w:bCs/>
        </w:rPr>
      </w:pPr>
      <w:r>
        <w:rPr>
          <w:b/>
          <w:bCs/>
        </w:rPr>
      </w:r>
    </w:p>
    <w:p>
      <w:pPr>
        <w:pStyle w:val="Normal"/>
        <w:ind w:start="1080" w:end="0"/>
        <w:rPr/>
      </w:pPr>
      <w:r>
        <w:rPr/>
        <w:t>Interest Payments:  “If the Seller elects to extend the original SEC Approval Date, then no Termination Fee will be payable; however, interest shall accrue on the Base Purchase Price (at the Prime Rate) and be payable by Buyer to Seller from 1 May 2001 through the earlier to occur of the Closing Date and the Termination Date (as extended).”</w:t>
      </w:r>
    </w:p>
    <w:p>
      <w:pPr>
        <w:pStyle w:val="Normal"/>
        <w:ind w:start="1080" w:end="0"/>
        <w:rPr/>
      </w:pPr>
      <w:r>
        <w:rPr/>
      </w:r>
    </w:p>
    <w:p>
      <w:pPr>
        <w:pStyle w:val="Normal"/>
        <w:ind w:start="1080" w:end="0"/>
        <w:rPr/>
      </w:pPr>
      <w:r>
        <w:rPr/>
        <w:t>Base Purchase Price:</w:t>
        <w:tab/>
        <w:t>$332,500,000</w:t>
      </w:r>
    </w:p>
    <w:p>
      <w:pPr>
        <w:pStyle w:val="Normal"/>
        <w:ind w:start="1080" w:end="0"/>
        <w:rPr/>
      </w:pPr>
      <w:r>
        <w:rPr/>
        <w:t>Prime Rate:</w:t>
        <w:tab/>
        <w:tab/>
        <w:t>7.50% (per WSJ)</w:t>
      </w:r>
    </w:p>
    <w:p>
      <w:pPr>
        <w:pStyle w:val="Normal"/>
        <w:ind w:start="1080" w:end="0"/>
        <w:rPr/>
      </w:pPr>
      <w:r>
        <w:rPr/>
      </w:r>
    </w:p>
    <w:p>
      <w:pPr>
        <w:pStyle w:val="Normal"/>
        <w:ind w:start="1080" w:end="0"/>
        <w:rPr/>
      </w:pPr>
      <w:r>
        <w:rPr/>
        <w:tab/>
        <w:tab/>
        <w:tab/>
      </w:r>
      <w:r>
        <w:rPr>
          <w:u w:val="single"/>
        </w:rPr>
        <w:t>Close Date</w:t>
      </w:r>
      <w:r>
        <w:rPr/>
        <w:tab/>
      </w:r>
      <w:r>
        <w:rPr>
          <w:u w:val="single"/>
        </w:rPr>
        <w:t>1/6</w:t>
      </w:r>
      <w:r>
        <w:rPr/>
        <w:tab/>
      </w:r>
      <w:r>
        <w:rPr>
          <w:u w:val="single"/>
        </w:rPr>
        <w:t>1/7</w:t>
      </w:r>
      <w:r>
        <w:rPr/>
        <w:tab/>
      </w:r>
      <w:r>
        <w:rPr>
          <w:u w:val="single"/>
        </w:rPr>
        <w:t>1/8</w:t>
      </w:r>
      <w:r>
        <w:rPr/>
        <w:tab/>
      </w:r>
      <w:r>
        <w:rPr>
          <w:u w:val="single"/>
        </w:rPr>
        <w:t>1/9</w:t>
      </w:r>
      <w:r>
        <w:rPr/>
        <w:tab/>
      </w:r>
      <w:r>
        <w:rPr>
          <w:u w:val="single"/>
        </w:rPr>
        <w:t>1/10</w:t>
      </w:r>
    </w:p>
    <w:p>
      <w:pPr>
        <w:pStyle w:val="Normal"/>
        <w:ind w:start="1080" w:end="0"/>
        <w:rPr/>
      </w:pPr>
      <w:r>
        <w:rPr/>
        <w:t>AEP Interest Payment ($MM)</w:t>
        <w:tab/>
        <w:t>$2.1</w:t>
        <w:tab/>
        <w:t>$4.2</w:t>
        <w:tab/>
        <w:t>$6.2</w:t>
        <w:tab/>
        <w:t>$8.3</w:t>
        <w:tab/>
        <w:t>$10.4</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ind w:hanging="720" w:start="720" w:end="0"/>
      <w:outlineLvl w:val="1"/>
    </w:pPr>
    <w:rPr>
      <w:b/>
      <w:b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1080" w:end="0"/>
      <w:outlineLvl w:val="3"/>
    </w:pPr>
    <w:rPr>
      <w:u w:val="single"/>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2001-04-24T21:46:00Z</dcterms:created>
  <dc:creator>bredmon</dc:creator>
  <dc:description/>
  <dc:language>en-CA</dc:language>
  <cp:lastModifiedBy>bredmon</cp:lastModifiedBy>
  <cp:lastPrinted>2001-04-24T19:13:00Z</cp:lastPrinted>
  <dcterms:modified xsi:type="dcterms:W3CDTF">2001-04-24T21:54:00Z</dcterms:modified>
  <cp:revision>3</cp:revision>
  <dc:subject/>
  <dc:title>PROPOSED AGREEMENT</dc:title>
</cp:coreProperties>
</file>