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sz w:val="24"/>
        </w:rPr>
      </w:pPr>
      <w:r>
        <w:rPr>
          <w:b/>
          <w:sz w:val="24"/>
        </w:rPr>
        <w:t>“</w:t>
      </w:r>
      <w:r>
        <w:rPr>
          <w:b/>
          <w:sz w:val="24"/>
        </w:rPr>
        <w:t>Coalition for a Sensible California Energy Policy”</w:t>
      </w:r>
    </w:p>
    <w:p>
      <w:pPr>
        <w:pStyle w:val="Subtitle"/>
        <w:rPr/>
      </w:pPr>
      <w:r>
        <w:rPr/>
      </w:r>
      <w:r>
        <w:rPr/>
        <w:t>Statement of Principles</w:t>
      </w:r>
    </w:p>
    <w:p>
      <w:pPr>
        <w:pStyle w:val="Normal"/>
        <w:widowControl w:val="false"/>
        <w:rPr/>
      </w:pPr>
      <w:r>
        <w:rPr/>
      </w:r>
    </w:p>
    <w:p>
      <w:pPr>
        <w:pStyle w:val="Normal"/>
        <w:widowControl w:val="false"/>
        <w:numPr>
          <w:ilvl w:val="0"/>
          <w:numId w:val="2"/>
        </w:numPr>
        <w:rPr>
          <w:sz w:val="20"/>
        </w:rPr>
      </w:pPr>
      <w:r>
        <w:rPr>
          <w:sz w:val="20"/>
        </w:rPr>
        <w:t>California’s energy crisis is unprecedented in its scope and severity.</w:t>
      </w:r>
    </w:p>
    <w:p>
      <w:pPr>
        <w:pStyle w:val="Normal"/>
        <w:widowControl w:val="false"/>
        <w:numPr>
          <w:ilvl w:val="0"/>
          <w:numId w:val="2"/>
        </w:numPr>
        <w:rPr>
          <w:sz w:val="20"/>
        </w:rPr>
      </w:pPr>
      <w:r>
        <w:rPr>
          <w:sz w:val="20"/>
        </w:rPr>
        <w:t>Unless California’s leaders act swiftly and decisively, the crisis will threaten the state’s economy and the well being of its citizens and families.</w:t>
      </w:r>
    </w:p>
    <w:p>
      <w:pPr>
        <w:pStyle w:val="Normal"/>
        <w:widowControl w:val="false"/>
        <w:numPr>
          <w:ilvl w:val="0"/>
          <w:numId w:val="2"/>
        </w:numPr>
        <w:rPr>
          <w:rFonts w:ascii="Times" w:hAnsi="Times" w:cs="Times"/>
          <w:sz w:val="20"/>
        </w:rPr>
      </w:pPr>
      <w:r>
        <w:rPr>
          <w:sz w:val="20"/>
        </w:rPr>
        <w:t>Specifically, the Coalition is gravely concerned about:</w:t>
      </w:r>
    </w:p>
    <w:p>
      <w:pPr>
        <w:pStyle w:val="Normal"/>
        <w:widowControl w:val="false"/>
        <w:numPr>
          <w:ilvl w:val="1"/>
          <w:numId w:val="1"/>
        </w:numPr>
        <w:tabs>
          <w:tab w:val="clear" w:pos="720"/>
        </w:tabs>
        <w:ind w:hanging="342" w:start="720" w:end="0"/>
        <w:rPr>
          <w:sz w:val="20"/>
        </w:rPr>
      </w:pPr>
      <w:r>
        <w:rPr>
          <w:sz w:val="20"/>
        </w:rPr>
        <w:t xml:space="preserve">the increased likelihood that California’s businesses and households will face </w:t>
      </w:r>
      <w:r>
        <w:rPr>
          <w:rFonts w:cs="Times" w:ascii="Times" w:hAnsi="Times"/>
          <w:sz w:val="20"/>
        </w:rPr>
        <w:t>severe electricity shortages this summer;</w:t>
      </w:r>
    </w:p>
    <w:p>
      <w:pPr>
        <w:pStyle w:val="Normal"/>
        <w:widowControl w:val="false"/>
        <w:numPr>
          <w:ilvl w:val="1"/>
          <w:numId w:val="1"/>
        </w:numPr>
        <w:tabs>
          <w:tab w:val="clear" w:pos="720"/>
        </w:tabs>
        <w:ind w:hanging="342" w:start="720" w:end="0"/>
        <w:rPr>
          <w:rFonts w:ascii="Times" w:hAnsi="Times" w:cs="Times"/>
          <w:sz w:val="20"/>
        </w:rPr>
      </w:pPr>
      <w:r>
        <w:rPr>
          <w:color w:val="000000"/>
          <w:sz w:val="20"/>
        </w:rPr>
        <w:t>the significant cost that these shortages will inflict on California businesses and on the economy as a whole;</w:t>
      </w:r>
    </w:p>
    <w:p>
      <w:pPr>
        <w:pStyle w:val="Normal"/>
        <w:widowControl w:val="false"/>
        <w:numPr>
          <w:ilvl w:val="1"/>
          <w:numId w:val="1"/>
        </w:numPr>
        <w:tabs>
          <w:tab w:val="clear" w:pos="720"/>
        </w:tabs>
        <w:ind w:hanging="342" w:start="720" w:end="0"/>
        <w:rPr>
          <w:rFonts w:ascii="Times" w:hAnsi="Times" w:cs="Times"/>
          <w:sz w:val="20"/>
        </w:rPr>
      </w:pPr>
      <w:r>
        <w:rPr>
          <w:rFonts w:cs="Times" w:ascii="Times" w:hAnsi="Times"/>
          <w:sz w:val="20"/>
        </w:rPr>
        <w:t>the severe and persistent lack of long-term investment in the state’s electricity and gas infrastructure;</w:t>
      </w:r>
    </w:p>
    <w:p>
      <w:pPr>
        <w:pStyle w:val="Normal"/>
        <w:widowControl w:val="false"/>
        <w:numPr>
          <w:ilvl w:val="1"/>
          <w:numId w:val="1"/>
        </w:numPr>
        <w:tabs>
          <w:tab w:val="clear" w:pos="720"/>
        </w:tabs>
        <w:ind w:hanging="342" w:start="720" w:end="0"/>
        <w:rPr>
          <w:rFonts w:ascii="Times" w:hAnsi="Times" w:cs="Times"/>
          <w:sz w:val="20"/>
        </w:rPr>
      </w:pPr>
      <w:r>
        <w:rPr>
          <w:rFonts w:cs="Times" w:ascii="Times" w:hAnsi="Times"/>
          <w:sz w:val="20"/>
        </w:rPr>
        <w:t>the negative impact on the State budget and important spending programs caused by the increasing amount of expensive power that the State’s Department of Water Resources continues to purchase on behalf of California’s cash-strapped utilities;</w:t>
      </w:r>
    </w:p>
    <w:p>
      <w:pPr>
        <w:pStyle w:val="Normal"/>
        <w:widowControl w:val="false"/>
        <w:numPr>
          <w:ilvl w:val="1"/>
          <w:numId w:val="1"/>
        </w:numPr>
        <w:tabs>
          <w:tab w:val="clear" w:pos="720"/>
        </w:tabs>
        <w:ind w:hanging="342" w:start="720" w:end="0"/>
        <w:rPr>
          <w:rFonts w:ascii="Times" w:hAnsi="Times" w:cs="Times"/>
          <w:sz w:val="20"/>
        </w:rPr>
      </w:pPr>
      <w:r>
        <w:rPr>
          <w:rFonts w:cs="Times" w:ascii="Times" w:hAnsi="Times"/>
          <w:sz w:val="20"/>
        </w:rPr>
        <w:t>the potential that the State’s budget surplus and credit standing will be further damaged if the State acquires and operates the utilities’ transmission lines;</w:t>
      </w:r>
    </w:p>
    <w:p>
      <w:pPr>
        <w:pStyle w:val="Normal"/>
        <w:widowControl w:val="false"/>
        <w:numPr>
          <w:ilvl w:val="1"/>
          <w:numId w:val="1"/>
        </w:numPr>
        <w:tabs>
          <w:tab w:val="clear" w:pos="720"/>
        </w:tabs>
        <w:ind w:hanging="342" w:start="720" w:end="0"/>
        <w:rPr>
          <w:rFonts w:ascii="Times" w:hAnsi="Times" w:cs="Times"/>
          <w:sz w:val="20"/>
        </w:rPr>
      </w:pPr>
      <w:r>
        <w:rPr>
          <w:rFonts w:cs="Times" w:ascii="Times" w:hAnsi="Times"/>
          <w:sz w:val="20"/>
        </w:rPr>
        <w:t>the importance of maintaining the right of California’s businesses and families to hire and fire their energy service provider and to make individual choices about meeting their individual energy needs; and,</w:t>
      </w:r>
    </w:p>
    <w:p>
      <w:pPr>
        <w:pStyle w:val="Normal"/>
        <w:widowControl w:val="false"/>
        <w:numPr>
          <w:ilvl w:val="1"/>
          <w:numId w:val="1"/>
        </w:numPr>
        <w:tabs>
          <w:tab w:val="clear" w:pos="720"/>
        </w:tabs>
        <w:ind w:hanging="342" w:start="720" w:end="0"/>
        <w:rPr>
          <w:rFonts w:ascii="Times" w:hAnsi="Times" w:cs="Times"/>
          <w:sz w:val="20"/>
        </w:rPr>
      </w:pPr>
      <w:r>
        <w:rPr>
          <w:rFonts w:cs="Times" w:ascii="Times" w:hAnsi="Times"/>
          <w:sz w:val="20"/>
        </w:rPr>
        <w:t>the impact of volatile prices on both small and large electricity consumers.</w:t>
      </w:r>
    </w:p>
    <w:p>
      <w:pPr>
        <w:pStyle w:val="Normal"/>
        <w:widowControl w:val="false"/>
        <w:ind w:start="720" w:end="0"/>
        <w:rPr>
          <w:rFonts w:ascii="Times" w:hAnsi="Times" w:cs="Times"/>
          <w:sz w:val="20"/>
        </w:rPr>
      </w:pPr>
      <w:r>
        <w:rPr>
          <w:rFonts w:cs="Times" w:ascii="Times" w:hAnsi="Times"/>
          <w:sz w:val="20"/>
        </w:rPr>
      </w:r>
    </w:p>
    <w:p>
      <w:pPr>
        <w:pStyle w:val="BodyText"/>
        <w:numPr>
          <w:ilvl w:val="2"/>
          <w:numId w:val="1"/>
        </w:numPr>
        <w:rPr>
          <w:bCs/>
        </w:rPr>
      </w:pPr>
      <w:r>
        <w:rPr/>
        <w:t>With these concerns in mind, the Coalition has developed the following statement of principles that it believes should guide development of a sound energy policy for California</w:t>
      </w:r>
    </w:p>
    <w:p>
      <w:pPr>
        <w:pStyle w:val="Normal"/>
        <w:widowControl w:val="false"/>
        <w:rPr>
          <w:rFonts w:ascii="Times" w:hAnsi="Times" w:cs="Times"/>
          <w:bCs/>
          <w:sz w:val="20"/>
        </w:rPr>
      </w:pPr>
      <w:r>
        <w:rPr>
          <w:rFonts w:cs="Times" w:ascii="Times" w:hAnsi="Times"/>
          <w:bCs/>
          <w:sz w:val="20"/>
        </w:rPr>
      </w:r>
    </w:p>
    <w:p>
      <w:pPr>
        <w:pStyle w:val="Normal"/>
        <w:widowControl w:val="false"/>
        <w:numPr>
          <w:ilvl w:val="1"/>
          <w:numId w:val="1"/>
        </w:numPr>
        <w:tabs>
          <w:tab w:val="clear" w:pos="720"/>
        </w:tabs>
        <w:ind w:hanging="342" w:start="720" w:end="0"/>
        <w:rPr>
          <w:rFonts w:ascii="Times" w:hAnsi="Times" w:cs="Times"/>
          <w:sz w:val="20"/>
        </w:rPr>
      </w:pPr>
      <w:r>
        <w:rPr>
          <w:rFonts w:cs="Times" w:ascii="Times" w:hAnsi="Times"/>
          <w:sz w:val="20"/>
        </w:rPr>
        <w:t>California’s policy makers must focus solely on those solutions that expressly increase the supply of, or decrease the demand for, electricity and natural gas.</w:t>
      </w:r>
    </w:p>
    <w:p>
      <w:pPr>
        <w:pStyle w:val="Normal"/>
        <w:widowControl w:val="false"/>
        <w:numPr>
          <w:ilvl w:val="1"/>
          <w:numId w:val="1"/>
        </w:numPr>
        <w:tabs>
          <w:tab w:val="clear" w:pos="720"/>
        </w:tabs>
        <w:ind w:hanging="342" w:start="720" w:end="0"/>
        <w:rPr>
          <w:rFonts w:ascii="Times" w:hAnsi="Times" w:cs="Times"/>
          <w:sz w:val="20"/>
        </w:rPr>
      </w:pPr>
      <w:r>
        <w:rPr>
          <w:rFonts w:cs="Times" w:ascii="Times" w:hAnsi="Times"/>
          <w:sz w:val="20"/>
        </w:rPr>
        <w:t>California policy makers should immediately take all actions necessary to encourage businesses and families to reduce demand and avoid black outs this summer.</w:t>
      </w:r>
    </w:p>
    <w:p>
      <w:pPr>
        <w:pStyle w:val="Normal"/>
        <w:widowControl w:val="false"/>
        <w:numPr>
          <w:ilvl w:val="1"/>
          <w:numId w:val="1"/>
        </w:numPr>
        <w:tabs>
          <w:tab w:val="clear" w:pos="720"/>
        </w:tabs>
        <w:ind w:hanging="342" w:start="720" w:end="0"/>
        <w:rPr>
          <w:rFonts w:ascii="Times" w:hAnsi="Times" w:cs="Times"/>
          <w:sz w:val="20"/>
        </w:rPr>
      </w:pPr>
      <w:r>
        <w:rPr>
          <w:rFonts w:cs="Times" w:ascii="Times" w:hAnsi="Times"/>
          <w:sz w:val="20"/>
        </w:rPr>
        <w:t>California’s policy makers must guarantee that businesses and families continue to have the right to hire and fire their energy service provider, like they do for any other service.</w:t>
      </w:r>
    </w:p>
    <w:p>
      <w:pPr>
        <w:pStyle w:val="Normal"/>
        <w:widowControl w:val="false"/>
        <w:numPr>
          <w:ilvl w:val="1"/>
          <w:numId w:val="1"/>
        </w:numPr>
        <w:tabs>
          <w:tab w:val="clear" w:pos="720"/>
        </w:tabs>
        <w:ind w:hanging="342" w:start="720" w:end="0"/>
        <w:rPr>
          <w:rFonts w:ascii="Times" w:hAnsi="Times" w:cs="Times"/>
          <w:sz w:val="20"/>
        </w:rPr>
      </w:pPr>
      <w:r>
        <w:rPr>
          <w:rFonts w:cs="Times" w:ascii="Times" w:hAnsi="Times"/>
          <w:sz w:val="20"/>
        </w:rPr>
        <w:t>California’s policy makers must create an investment environment in California that attracts and encourages private investors to re-vitalize California’s crumbling electricity and natural gas infrastructure.</w:t>
      </w:r>
    </w:p>
    <w:p>
      <w:pPr>
        <w:pStyle w:val="Normal"/>
        <w:widowControl w:val="false"/>
        <w:numPr>
          <w:ilvl w:val="1"/>
          <w:numId w:val="1"/>
        </w:numPr>
        <w:tabs>
          <w:tab w:val="clear" w:pos="720"/>
        </w:tabs>
        <w:ind w:hanging="342" w:start="720" w:end="0"/>
        <w:rPr>
          <w:rFonts w:ascii="Times" w:hAnsi="Times" w:cs="Times"/>
          <w:sz w:val="20"/>
        </w:rPr>
      </w:pPr>
      <w:r>
        <w:rPr>
          <w:sz w:val="20"/>
        </w:rPr>
        <w:t>California’s policy makers should not squander the State’s cash surplus and credit rating to take over California’s energy industry, and instead target budget resources on vital programs like education and public health and safety.</w:t>
      </w:r>
    </w:p>
    <w:p>
      <w:pPr>
        <w:pStyle w:val="Normal"/>
        <w:widowControl w:val="false"/>
        <w:numPr>
          <w:ilvl w:val="1"/>
          <w:numId w:val="1"/>
        </w:numPr>
        <w:tabs>
          <w:tab w:val="clear" w:pos="720"/>
        </w:tabs>
        <w:ind w:hanging="342" w:start="720" w:end="0"/>
        <w:rPr>
          <w:rFonts w:ascii="Times" w:hAnsi="Times" w:cs="Times"/>
          <w:sz w:val="20"/>
        </w:rPr>
      </w:pPr>
      <w:r>
        <w:rPr>
          <w:sz w:val="20"/>
        </w:rPr>
        <w:t>California policy makers should overhaul the laws regulating power plant construction in order to encourage and facilitate new plant construction.</w:t>
      </w:r>
    </w:p>
    <w:p>
      <w:pPr>
        <w:pStyle w:val="Normal"/>
        <w:widowControl w:val="false"/>
        <w:numPr>
          <w:ilvl w:val="1"/>
          <w:numId w:val="1"/>
        </w:numPr>
        <w:tabs>
          <w:tab w:val="clear" w:pos="720"/>
        </w:tabs>
        <w:ind w:hanging="342" w:start="720" w:end="0"/>
        <w:rPr>
          <w:rFonts w:ascii="Times" w:hAnsi="Times" w:cs="Times"/>
          <w:sz w:val="20"/>
        </w:rPr>
      </w:pPr>
      <w:r>
        <w:rPr>
          <w:rFonts w:cs="Times" w:ascii="Times" w:hAnsi="Times"/>
          <w:sz w:val="20"/>
        </w:rPr>
        <w:t xml:space="preserve">California’s policy makers should make reasonable and immediate adjustments to the state’s electricity and gas rate structure in order to further encourage energy conservation and return the utilities’ to financial health. </w:t>
      </w:r>
    </w:p>
    <w:p>
      <w:pPr>
        <w:pStyle w:val="Normal"/>
        <w:widowControl w:val="false"/>
        <w:numPr>
          <w:ilvl w:val="1"/>
          <w:numId w:val="1"/>
        </w:numPr>
        <w:tabs>
          <w:tab w:val="clear" w:pos="720"/>
        </w:tabs>
        <w:ind w:hanging="342" w:start="720" w:end="0"/>
        <w:rPr>
          <w:rFonts w:ascii="Times" w:hAnsi="Times" w:cs="Times"/>
          <w:sz w:val="20"/>
        </w:rPr>
      </w:pPr>
      <w:r>
        <w:rPr>
          <w:rFonts w:cs="Times" w:ascii="Times" w:hAnsi="Times"/>
          <w:sz w:val="20"/>
        </w:rPr>
        <w:t>California policy makers should exempt from any rate adjustments organizations providing vital services and consumers who can least afford the increase.</w:t>
      </w:r>
    </w:p>
    <w:sectPr>
      <w:type w:val="nextPage"/>
      <w:pgSz w:w="12240" w:h="15840"/>
      <w:pgMar w:left="1440" w:right="1440" w:gutter="0" w:header="0" w:top="144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Times">
    <w:altName w:val="Times New Roman"/>
    <w:charset w:val="00" w:characterSet="windows-1252"/>
    <w:family w:val="roman"/>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288" w:hanging="288"/>
      </w:pPr>
      <w:rPr>
        <w:rFonts w:ascii="Wingdings" w:hAnsi="Wingdings" w:cs="Wingdings" w:hint="default"/>
      </w:rPr>
    </w:lvl>
    <w:lvl w:ilvl="1">
      <w:start w:val="1"/>
      <w:numFmt w:val="bullet"/>
      <w:lvlText w:val=""/>
      <w:lvlJc w:val="start"/>
      <w:pPr>
        <w:tabs>
          <w:tab w:val="num" w:pos="1152"/>
        </w:tabs>
        <w:ind w:start="1152" w:hanging="432"/>
      </w:pPr>
      <w:rPr>
        <w:rFonts w:ascii="Wingdings" w:hAnsi="Wingdings" w:cs="Wingdings" w:hint="default"/>
      </w:rPr>
    </w:lvl>
    <w:lvl w:ilvl="2">
      <w:start w:val="1"/>
      <w:numFmt w:val="bullet"/>
      <w:lvlText w:val=""/>
      <w:lvlJc w:val="start"/>
      <w:pPr>
        <w:tabs>
          <w:tab w:val="num" w:pos="360"/>
        </w:tabs>
        <w:ind w:start="3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3">
    <w:name w:val="WW8Num3z3"/>
    <w:qFormat/>
    <w:rPr>
      <w:rFonts w:ascii="Symbol" w:hAnsi="Symbol" w:cs="Symbol"/>
    </w:rPr>
  </w:style>
  <w:style w:type="character" w:styleId="WW8Num3z4">
    <w:name w:val="WW8Num3z4"/>
    <w:qFormat/>
    <w:rPr>
      <w:rFonts w:ascii="Courier New" w:hAnsi="Courier New" w:cs="Courier New"/>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Wingdings" w:hAnsi="Wingdings" w:cs="Wingdings"/>
    </w:rPr>
  </w:style>
  <w:style w:type="character" w:styleId="WW8Num20z1">
    <w:name w:val="WW8Num20z1"/>
    <w:qFormat/>
    <w:rPr>
      <w:rFonts w:ascii="Courier New" w:hAnsi="Courier New" w:cs="Courier New"/>
    </w:rPr>
  </w:style>
  <w:style w:type="character" w:styleId="WW8Num20z3">
    <w:name w:val="WW8Num20z3"/>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widowControl w:val="false"/>
      <w:jc w:val="center"/>
    </w:pPr>
    <w:rPr>
      <w:rFonts w:ascii="Times" w:hAnsi="Times" w:cs="Times"/>
      <w:sz w:val="32"/>
    </w:rPr>
  </w:style>
  <w:style w:type="paragraph" w:styleId="BodyText">
    <w:name w:val="Body Text"/>
    <w:basedOn w:val="Normal"/>
    <w:pPr>
      <w:widowControl w:val="false"/>
    </w:pPr>
    <w:rPr>
      <w:rFonts w:ascii="Times" w:hAnsi="Times" w:cs="Times"/>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widowControl w:val="false"/>
    </w:pPr>
    <w:rPr/>
  </w:style>
  <w:style w:type="paragraph" w:styleId="Subtitle">
    <w:name w:val="Subtitle"/>
    <w:basedOn w:val="Normal"/>
    <w:next w:val="BodyText"/>
    <w:qFormat/>
    <w:pPr>
      <w:widowControl w:val="false"/>
      <w:jc w:val="center"/>
    </w:pPr>
    <w:rPr>
      <w:b/>
      <w:bCs/>
      <w:i/>
      <w:i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2001-03-07T22:03:00Z</dcterms:created>
  <dc:creator>pkaufma</dc:creator>
  <dc:description/>
  <dc:language>en-CA</dc:language>
  <cp:lastModifiedBy>jdasovic</cp:lastModifiedBy>
  <dcterms:modified xsi:type="dcterms:W3CDTF">2001-03-07T22:27:00Z</dcterms:modified>
  <cp:revision>3</cp:revision>
  <dc:subject/>
  <dc:title>“Coalition for California’s Energy Future”</dc:title>
</cp:coreProperties>
</file>