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fldChar w:fldCharType="begin"/>
      </w:r>
      <w:r>
        <w:rPr>
          <w:rFonts w:cs="Arial" w:ascii="Arial" w:hAnsi="Arial"/>
        </w:rPr>
        <w:instrText xml:space="preserve"> MERGEFIELD Title </w:instrText>
      </w:r>
      <w:r>
        <w:rPr>
          <w:rFonts w:cs="Arial" w:ascii="Arial" w:hAnsi="Arial"/>
        </w:rPr>
        <w:fldChar w:fldCharType="separate"/>
      </w:r>
      <w:r>
        <w:rPr>
          <w:rFonts w:cs="Arial" w:ascii="Arial" w:hAnsi="Arial"/>
        </w:rPr>
        <w:t>«Title»</w:t>
      </w:r>
      <w:r>
        <w:rPr>
          <w:rFonts w:cs="Arial" w:ascii="Arial" w:hAnsi="Arial"/>
        </w:rPr>
        <w:fldChar w:fldCharType="end"/>
      </w:r>
      <w:r>
        <w:rPr>
          <w:rFonts w:eastAsia="Arial" w:cs="Arial" w:ascii="Arial" w:hAnsi="Arial"/>
        </w:rPr>
        <w:t xml:space="preserve"> </w:t>
      </w:r>
      <w:r>
        <w:rPr>
          <w:rFonts w:cs="Arial" w:ascii="Arial" w:hAnsi="Arial"/>
        </w:rPr>
        <w:fldChar w:fldCharType="begin"/>
      </w:r>
      <w:r>
        <w:rPr>
          <w:rFonts w:cs="Arial" w:ascii="Arial" w:hAnsi="Arial"/>
        </w:rPr>
        <w:instrText xml:space="preserve"> MERGEFIELD Firstname </w:instrText>
      </w:r>
      <w:r>
        <w:rPr>
          <w:rFonts w:cs="Arial" w:ascii="Arial" w:hAnsi="Arial"/>
        </w:rPr>
        <w:fldChar w:fldCharType="separate"/>
      </w:r>
      <w:r>
        <w:rPr>
          <w:rFonts w:cs="Arial" w:ascii="Arial" w:hAnsi="Arial"/>
        </w:rPr>
        <w:t>«Firstname»</w:t>
      </w:r>
      <w:r>
        <w:rPr>
          <w:rFonts w:cs="Arial" w:ascii="Arial" w:hAnsi="Arial"/>
        </w:rPr>
        <w:fldChar w:fldCharType="end"/>
      </w:r>
      <w:r>
        <w:rPr>
          <w:rFonts w:eastAsia="Arial" w:cs="Arial" w:ascii="Arial" w:hAnsi="Arial"/>
        </w:rPr>
        <w:t xml:space="preserve"> </w:t>
      </w:r>
      <w:r>
        <w:rPr>
          <w:rFonts w:cs="Arial" w:ascii="Arial" w:hAnsi="Arial"/>
        </w:rPr>
        <w:fldChar w:fldCharType="begin"/>
      </w:r>
      <w:r>
        <w:rPr>
          <w:rFonts w:cs="Arial" w:ascii="Arial" w:hAnsi="Arial"/>
        </w:rPr>
        <w:instrText xml:space="preserve"> MERGEFIELD Lastname </w:instrText>
      </w:r>
      <w:r>
        <w:rPr>
          <w:rFonts w:cs="Arial" w:ascii="Arial" w:hAnsi="Arial"/>
        </w:rPr>
        <w:fldChar w:fldCharType="separate"/>
      </w:r>
      <w:r>
        <w:rPr>
          <w:rFonts w:cs="Arial" w:ascii="Arial" w:hAnsi="Arial"/>
        </w:rPr>
        <w:t>«Lastname»</w:t>
      </w:r>
      <w:r>
        <w:rPr>
          <w:rFonts w:cs="Arial" w:ascii="Arial" w:hAnsi="Arial"/>
        </w:rPr>
        <w:fldChar w:fldCharType="end"/>
      </w:r>
    </w:p>
    <w:p>
      <w:pPr>
        <w:pStyle w:val="Normal"/>
        <w:jc w:val="both"/>
        <w:rPr>
          <w:rFonts w:ascii="Arial" w:hAnsi="Arial" w:cs="Arial"/>
        </w:rPr>
      </w:pPr>
      <w:r>
        <w:rPr>
          <w:rFonts w:cs="Arial" w:ascii="Arial" w:hAnsi="Arial"/>
        </w:rPr>
        <w:fldChar w:fldCharType="begin"/>
      </w:r>
      <w:r>
        <w:rPr>
          <w:rFonts w:cs="Arial" w:ascii="Arial" w:hAnsi="Arial"/>
        </w:rPr>
        <w:instrText xml:space="preserve"> MERGEFIELD legal_entity_name </w:instrText>
      </w:r>
      <w:r>
        <w:rPr>
          <w:rFonts w:cs="Arial" w:ascii="Arial" w:hAnsi="Arial"/>
        </w:rPr>
        <w:fldChar w:fldCharType="separate"/>
      </w:r>
      <w:r>
        <w:rPr>
          <w:rFonts w:cs="Arial" w:ascii="Arial" w:hAnsi="Arial"/>
        </w:rPr>
        <w:t>«legal_entity_name»</w:t>
      </w:r>
      <w:r>
        <w:rPr>
          <w:rFonts w:cs="Arial" w:ascii="Arial" w:hAnsi="Arial"/>
        </w:rPr>
        <w:fldChar w:fldCharType="end"/>
      </w:r>
    </w:p>
    <w:p>
      <w:pPr>
        <w:pStyle w:val="Normal"/>
        <w:jc w:val="both"/>
        <w:rPr>
          <w:rFonts w:ascii="Arial" w:hAnsi="Arial" w:cs="Arial"/>
        </w:rPr>
      </w:pPr>
      <w:r>
        <w:rPr>
          <w:rFonts w:cs="Arial" w:ascii="Arial" w:hAnsi="Arial"/>
        </w:rPr>
        <w:fldChar w:fldCharType="begin"/>
      </w:r>
      <w:r>
        <w:rPr>
          <w:rFonts w:cs="Arial" w:ascii="Arial" w:hAnsi="Arial"/>
        </w:rPr>
        <w:instrText xml:space="preserve"> MERGEFIELD Address_1 </w:instrText>
      </w:r>
      <w:r>
        <w:rPr>
          <w:rFonts w:cs="Arial" w:ascii="Arial" w:hAnsi="Arial"/>
        </w:rPr>
        <w:fldChar w:fldCharType="separate"/>
      </w:r>
      <w:r>
        <w:rPr>
          <w:rFonts w:cs="Arial" w:ascii="Arial" w:hAnsi="Arial"/>
        </w:rPr>
        <w:t>«Address_1»</w:t>
      </w:r>
      <w:r>
        <w:rPr>
          <w:rFonts w:cs="Arial" w:ascii="Arial" w:hAnsi="Arial"/>
        </w:rPr>
        <w:fldChar w:fldCharType="end"/>
      </w:r>
    </w:p>
    <w:p>
      <w:pPr>
        <w:pStyle w:val="Normal"/>
        <w:jc w:val="both"/>
        <w:rPr>
          <w:rFonts w:ascii="Arial" w:hAnsi="Arial" w:cs="Arial"/>
        </w:rPr>
      </w:pPr>
      <w:r>
        <w:rPr>
          <w:rFonts w:cs="Arial" w:ascii="Arial" w:hAnsi="Arial"/>
        </w:rPr>
        <w:fldChar w:fldCharType="begin"/>
      </w:r>
      <w:r>
        <w:rPr>
          <w:rFonts w:cs="Arial" w:ascii="Arial" w:hAnsi="Arial"/>
        </w:rPr>
        <w:instrText xml:space="preserve"> MERGEFIELD Address_2 </w:instrText>
      </w:r>
      <w:r>
        <w:rPr>
          <w:rFonts w:cs="Arial" w:ascii="Arial" w:hAnsi="Arial"/>
        </w:rPr>
        <w:fldChar w:fldCharType="separate"/>
      </w:r>
      <w:r>
        <w:rPr>
          <w:rFonts w:cs="Arial" w:ascii="Arial" w:hAnsi="Arial"/>
        </w:rPr>
        <w:t>«Address_2»</w:t>
      </w:r>
      <w:r>
        <w:rPr>
          <w:rFonts w:cs="Arial" w:ascii="Arial" w:hAnsi="Arial"/>
        </w:rPr>
        <w:fldChar w:fldCharType="end"/>
      </w:r>
    </w:p>
    <w:p>
      <w:pPr>
        <w:pStyle w:val="Normal"/>
        <w:jc w:val="both"/>
        <w:rPr>
          <w:rFonts w:ascii="Arial" w:hAnsi="Arial" w:cs="Arial"/>
        </w:rPr>
      </w:pPr>
      <w:r>
        <w:rPr>
          <w:rFonts w:cs="Arial" w:ascii="Arial" w:hAnsi="Arial"/>
        </w:rPr>
        <w:fldChar w:fldCharType="begin"/>
      </w:r>
      <w:r>
        <w:rPr>
          <w:rFonts w:cs="Arial" w:ascii="Arial" w:hAnsi="Arial"/>
        </w:rPr>
        <w:instrText xml:space="preserve"> MERGEFIELD Address_3 </w:instrText>
      </w:r>
      <w:r>
        <w:rPr>
          <w:rFonts w:cs="Arial" w:ascii="Arial" w:hAnsi="Arial"/>
        </w:rPr>
        <w:fldChar w:fldCharType="separate"/>
      </w:r>
      <w:r>
        <w:rPr>
          <w:rFonts w:cs="Arial" w:ascii="Arial" w:hAnsi="Arial"/>
        </w:rPr>
        <w:t>«Address_3»</w:t>
      </w:r>
      <w:r>
        <w:rPr>
          <w:rFonts w:cs="Arial" w:ascii="Arial" w:hAnsi="Arial"/>
        </w:rPr>
        <w:fldChar w:fldCharType="end"/>
      </w:r>
    </w:p>
    <w:p>
      <w:pPr>
        <w:pStyle w:val="Normal"/>
        <w:jc w:val="both"/>
        <w:rPr>
          <w:rFonts w:ascii="Arial" w:hAnsi="Arial" w:cs="Arial"/>
        </w:rPr>
      </w:pPr>
      <w:r>
        <w:rPr>
          <w:rFonts w:cs="Arial" w:ascii="Arial" w:hAnsi="Arial"/>
        </w:rPr>
        <w:fldChar w:fldCharType="begin"/>
      </w:r>
      <w:r>
        <w:rPr>
          <w:rFonts w:cs="Arial" w:ascii="Arial" w:hAnsi="Arial"/>
        </w:rPr>
        <w:instrText xml:space="preserve"> MERGEFIELD Postcode </w:instrText>
      </w:r>
      <w:r>
        <w:rPr>
          <w:rFonts w:cs="Arial" w:ascii="Arial" w:hAnsi="Arial"/>
        </w:rPr>
        <w:fldChar w:fldCharType="separate"/>
      </w:r>
      <w:r>
        <w:rPr>
          <w:rFonts w:cs="Arial" w:ascii="Arial" w:hAnsi="Arial"/>
        </w:rPr>
        <w:t>«Postcode»</w:t>
      </w:r>
      <w:r>
        <w:rPr>
          <w:rFonts w:cs="Arial" w:ascii="Arial" w:hAnsi="Arial"/>
        </w:rPr>
        <w:fldChar w:fldCharType="end"/>
      </w:r>
    </w:p>
    <w:p>
      <w:pPr>
        <w:pStyle w:val="Normal"/>
        <w:jc w:val="both"/>
        <w:rPr>
          <w:rFonts w:ascii="Arial" w:hAnsi="Arial" w:cs="Arial"/>
        </w:rPr>
      </w:pPr>
      <w:r>
        <w:rPr>
          <w:rFonts w:cs="Arial" w:ascii="Arial" w:hAnsi="Arial"/>
        </w:rPr>
        <w:fldChar w:fldCharType="begin"/>
      </w:r>
      <w:r>
        <w:rPr>
          <w:rFonts w:cs="Arial" w:ascii="Arial" w:hAnsi="Arial"/>
        </w:rPr>
        <w:instrText xml:space="preserve"> MERGEFIELD Country </w:instrText>
      </w:r>
      <w:r>
        <w:rPr>
          <w:rFonts w:cs="Arial" w:ascii="Arial" w:hAnsi="Arial"/>
        </w:rPr>
        <w:fldChar w:fldCharType="separate"/>
      </w:r>
      <w:r>
        <w:rPr>
          <w:rFonts w:cs="Arial" w:ascii="Arial" w:hAnsi="Arial"/>
        </w:rPr>
        <w:t>«Country»</w:t>
      </w:r>
      <w:r>
        <w:rPr>
          <w:rFonts w:cs="Arial" w:ascii="Arial" w:hAnsi="Arial"/>
        </w:rPr>
        <w:fldChar w:fldCharType="end"/>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July 2000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Dear Sir / Madam,</w:t>
      </w:r>
    </w:p>
    <w:p>
      <w:pPr>
        <w:pStyle w:val="Normal"/>
        <w:jc w:val="both"/>
        <w:rPr>
          <w:rFonts w:ascii="Arial" w:hAnsi="Arial" w:cs="Arial"/>
        </w:rPr>
      </w:pPr>
      <w:r>
        <w:rPr>
          <w:rFonts w:cs="Arial" w:ascii="Arial" w:hAnsi="Arial"/>
        </w:rPr>
      </w:r>
    </w:p>
    <w:p>
      <w:pPr>
        <w:pStyle w:val="Normal"/>
        <w:spacing w:lineRule="atLeast" w:line="240"/>
        <w:jc w:val="both"/>
        <w:rPr/>
      </w:pPr>
      <w:r>
        <w:rPr>
          <w:rFonts w:cs="Arial" w:ascii="Arial" w:hAnsi="Arial"/>
        </w:rPr>
        <w:t xml:space="preserve">We are pleased to announce </w:t>
      </w:r>
      <w:r>
        <w:rPr>
          <w:rFonts w:cs="Helv;Arial" w:ascii="Helv;Arial" w:hAnsi="Helv;Arial"/>
          <w:lang w:val="en-AU" w:eastAsia="en-US"/>
        </w:rPr>
        <w:t xml:space="preserve">the launch of International Coal as the newest commodity available on EnronOnline. EnronOnline is </w:t>
      </w:r>
      <w:r>
        <w:rPr>
          <w:rFonts w:cs="Arial" w:ascii="Arial" w:hAnsi="Arial"/>
        </w:rPr>
        <w:t>a Web-based system that is completely free of charge and enables you to buy and sell commodities throughout the world with Enron</w:t>
      </w:r>
      <w:r>
        <w:rPr>
          <w:rFonts w:cs="Helv;Arial" w:ascii="Helv;Arial" w:hAnsi="Helv;Arial"/>
          <w:lang w:val="en-AU" w:eastAsia="en-US"/>
        </w:rPr>
        <w:t xml:space="preserve"> as principal.  </w:t>
      </w:r>
    </w:p>
    <w:p>
      <w:pPr>
        <w:pStyle w:val="Normal"/>
        <w:spacing w:lineRule="atLeast" w:line="240"/>
        <w:jc w:val="both"/>
        <w:rPr>
          <w:rFonts w:ascii="Helv;Arial" w:hAnsi="Helv;Arial" w:cs="Helv;Arial"/>
          <w:lang w:val="en-AU" w:eastAsia="en-US"/>
        </w:rPr>
      </w:pPr>
      <w:r>
        <w:rPr>
          <w:rFonts w:cs="Helv;Arial" w:ascii="Helv;Arial" w:hAnsi="Helv;Arial"/>
          <w:lang w:val="en-AU" w:eastAsia="en-US"/>
        </w:rPr>
      </w:r>
    </w:p>
    <w:p>
      <w:pPr>
        <w:pStyle w:val="Normal"/>
        <w:spacing w:lineRule="atLeast" w:line="240"/>
        <w:jc w:val="both"/>
        <w:rPr>
          <w:rFonts w:ascii="Helv;Arial" w:hAnsi="Helv;Arial" w:cs="Helv;Arial"/>
          <w:lang w:val="en-AU" w:eastAsia="en-US"/>
        </w:rPr>
      </w:pPr>
      <w:r>
        <w:rPr>
          <w:rFonts w:cs="Helv;Arial" w:ascii="Helv;Arial" w:hAnsi="Helv;Arial"/>
          <w:lang w:val="en-AU" w:eastAsia="en-US"/>
        </w:rPr>
        <w:t xml:space="preserve">These International Coal products allow users to buy and sell coal free on board at ARA ports and compliment the North American coal products that have been available through EnronOnline since January 2000. </w:t>
      </w:r>
    </w:p>
    <w:p>
      <w:pPr>
        <w:pStyle w:val="Normal"/>
        <w:spacing w:lineRule="atLeast" w:line="240"/>
        <w:rPr>
          <w:rFonts w:ascii="Helv;Arial" w:hAnsi="Helv;Arial" w:cs="Helv;Arial"/>
          <w:lang w:val="en-AU" w:eastAsia="en-US"/>
        </w:rPr>
      </w:pPr>
      <w:r>
        <w:rPr>
          <w:rFonts w:cs="Helv;Arial" w:ascii="Helv;Arial" w:hAnsi="Helv;Arial"/>
          <w:lang w:val="en-AU" w:eastAsia="en-US"/>
        </w:rPr>
      </w:r>
    </w:p>
    <w:p>
      <w:pPr>
        <w:pStyle w:val="Normal"/>
        <w:spacing w:lineRule="atLeast" w:line="240"/>
        <w:jc w:val="both"/>
        <w:rPr>
          <w:rFonts w:ascii="Helv;Arial" w:hAnsi="Helv;Arial" w:cs="Helv;Arial"/>
          <w:lang w:val="en-AU" w:eastAsia="en-US"/>
        </w:rPr>
      </w:pPr>
      <w:r>
        <w:rPr>
          <w:rFonts w:cs="Helv;Arial" w:ascii="Helv;Arial" w:hAnsi="Helv;Arial"/>
          <w:lang w:val="en-AU" w:eastAsia="en-US"/>
        </w:rPr>
        <w:t>Enron will be using the Standard European Coal Agreement (SECA) as a contractual basis offering the coal in small 5000 mt lots.  This will enable less traditional and smaller players to enter into the coal trading market, with reduced transaction costs. It allows the more traditional physical producers and consumers of coal to better manage short term physical needs and provides better price transparency in a changing marketplace using standard contract terms and specifications.</w:t>
      </w:r>
    </w:p>
    <w:p>
      <w:pPr>
        <w:pStyle w:val="Normal"/>
        <w:jc w:val="both"/>
        <w:rPr>
          <w:rFonts w:ascii="Arial" w:hAnsi="Arial" w:cs="Arial"/>
          <w:lang w:val="en-AU" w:eastAsia="en-US"/>
        </w:rPr>
      </w:pPr>
      <w:r>
        <w:rPr>
          <w:rFonts w:cs="Arial" w:ascii="Arial" w:hAnsi="Arial"/>
          <w:lang w:val="en-AU" w:eastAsia="en-US"/>
        </w:rPr>
      </w:r>
    </w:p>
    <w:p>
      <w:pPr>
        <w:pStyle w:val="BodyText2"/>
        <w:rPr/>
      </w:pPr>
      <w:r>
        <w:rPr>
          <w:sz w:val="20"/>
        </w:rPr>
        <w:t xml:space="preserve">In order to apply for access to EnronOnline you simply need to complete and return the Registration form and Password Application form for your trading location.  For more information about registering please go to the “How To Register” link on our website, located at </w:t>
      </w:r>
      <w:hyperlink r:id="rId2">
        <w:r>
          <w:rPr>
            <w:rStyle w:val="Hyperlink"/>
          </w:rPr>
          <w:t>www.EnronOnline.com</w:t>
        </w:r>
      </w:hyperlink>
      <w:r>
        <w:rPr>
          <w:sz w:val="20"/>
        </w:rPr>
        <w:t>.  The enclosed marketing information will provide general guidelines on how to use the site.</w:t>
      </w:r>
    </w:p>
    <w:p>
      <w:pPr>
        <w:pStyle w:val="BodyText2"/>
        <w:rPr>
          <w:sz w:val="20"/>
        </w:rPr>
      </w:pPr>
      <w:r>
        <w:rPr>
          <w:sz w:val="20"/>
        </w:rPr>
      </w:r>
    </w:p>
    <w:p>
      <w:pPr>
        <w:pStyle w:val="BodyText2"/>
        <w:rPr>
          <w:sz w:val="20"/>
        </w:rPr>
      </w:pPr>
      <w:r>
        <w:rPr>
          <w:sz w:val="20"/>
        </w:rPr>
        <w:t>We hope you will find that EnronOnline provides an easy and more efficient way to do business with Enron and we look forward to transacting with you online.</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Sincerely,</w:t>
      </w:r>
    </w:p>
    <w:p>
      <w:pPr>
        <w:pStyle w:val="Normal"/>
        <w:jc w:val="both"/>
        <w:rPr>
          <w:rFonts w:ascii="Arial" w:hAnsi="Arial" w:cs="Arial"/>
        </w:rPr>
      </w:pPr>
      <w:r>
        <w:rPr/>
        <w:t xml:space="preserve"> </w:t>
      </w:r>
      <w:r>
        <w:rPr/>
        <w:drawing>
          <wp:inline distT="0" distB="0" distL="0" distR="0">
            <wp:extent cx="1904365" cy="592455"/>
            <wp:effectExtent l="0" t="0" r="0" b="0"/>
            <wp:docPr id="1" name="si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 descr="" title=""/>
                    <pic:cNvPicPr>
                      <a:picLocks noChangeAspect="1" noChangeArrowheads="1"/>
                    </pic:cNvPicPr>
                  </pic:nvPicPr>
                  <pic:blipFill>
                    <a:blip r:embed="rId3"/>
                    <a:srcRect l="-9" t="-19" r="-9" b="-19"/>
                    <a:stretch>
                      <a:fillRect/>
                    </a:stretch>
                  </pic:blipFill>
                  <pic:spPr bwMode="auto">
                    <a:xfrm>
                      <a:off x="0" y="0"/>
                      <a:ext cx="1904365" cy="592455"/>
                    </a:xfrm>
                    <a:prstGeom prst="rect">
                      <a:avLst/>
                    </a:prstGeom>
                    <a:noFill/>
                  </pic:spPr>
                </pic:pic>
              </a:graphicData>
            </a:graphic>
          </wp:inline>
        </w:drawing>
      </w:r>
    </w:p>
    <w:p>
      <w:pPr>
        <w:pStyle w:val="Normal"/>
        <w:jc w:val="both"/>
        <w:rPr>
          <w:rFonts w:ascii="Arial" w:hAnsi="Arial" w:cs="Arial"/>
        </w:rPr>
      </w:pPr>
      <w:r>
        <w:rPr>
          <w:rFonts w:cs="Arial" w:ascii="Arial" w:hAnsi="Arial"/>
        </w:rPr>
        <w:t>Nick Mooney</w:t>
      </w:r>
    </w:p>
    <w:p>
      <w:pPr>
        <w:pStyle w:val="Normal"/>
        <w:jc w:val="both"/>
        <w:rPr>
          <w:rFonts w:ascii="Arial" w:hAnsi="Arial" w:cs="Arial"/>
        </w:rPr>
      </w:pPr>
      <w:r>
        <w:rPr>
          <w:rFonts w:cs="Arial" w:ascii="Arial" w:hAnsi="Arial"/>
        </w:rPr>
        <w:t>Director, European Marketing</w:t>
      </w:r>
    </w:p>
    <w:p>
      <w:pPr>
        <w:pStyle w:val="Normal"/>
        <w:jc w:val="both"/>
        <w:rPr>
          <w:rFonts w:ascii="Arial" w:hAnsi="Arial" w:cs="Arial"/>
        </w:rPr>
      </w:pPr>
      <w:r>
        <w:rPr>
          <w:rFonts w:cs="Arial" w:ascii="Arial" w:hAnsi="Arial"/>
        </w:rPr>
        <w:t>EnronOnline</w:t>
      </w:r>
    </w:p>
    <w:p>
      <w:pPr>
        <w:pStyle w:val="Normal"/>
        <w:spacing w:lineRule="atLeast" w:line="240"/>
        <w:rPr>
          <w:rFonts w:ascii="Arial" w:hAnsi="Arial" w:cs="Arial"/>
          <w:i/>
          <w:i/>
          <w:color w:val="000000"/>
          <w:sz w:val="16"/>
          <w:lang w:eastAsia="en-US"/>
        </w:rPr>
      </w:pPr>
      <w:r>
        <w:rPr>
          <w:rFonts w:cs="Arial" w:ascii="Arial" w:hAnsi="Arial"/>
          <w:i/>
          <w:color w:val="000000"/>
          <w:sz w:val="16"/>
          <w:lang w:eastAsia="en-US"/>
        </w:rPr>
      </w:r>
    </w:p>
    <w:p>
      <w:pPr>
        <w:pStyle w:val="Normal"/>
        <w:spacing w:lineRule="atLeast" w:line="240"/>
        <w:rPr>
          <w:rFonts w:ascii="Arial" w:hAnsi="Arial" w:cs="Arial"/>
          <w:i/>
          <w:i/>
          <w:color w:val="000000"/>
          <w:sz w:val="16"/>
          <w:lang w:eastAsia="en-US"/>
        </w:rPr>
      </w:pPr>
      <w:r>
        <w:rPr>
          <w:rFonts w:cs="Arial" w:ascii="Arial" w:hAnsi="Arial"/>
          <w:i/>
          <w:color w:val="000000"/>
          <w:sz w:val="16"/>
          <w:lang w:eastAsia="en-US"/>
        </w:rPr>
        <w:t>Registered Office: 40 Grosvenor Place, London SW1X  7EN</w:t>
      </w:r>
    </w:p>
    <w:p>
      <w:pPr>
        <w:pStyle w:val="Heading2"/>
        <w:ind w:hanging="0" w:start="0"/>
        <w:rPr/>
      </w:pPr>
      <w:r>
        <w:rPr/>
        <w:t>Registered in England, Reg No. 3368625</w:t>
      </w:r>
    </w:p>
    <w:sectPr>
      <w:type w:val="nextPage"/>
      <w:pgSz w:w="11906" w:h="16838"/>
      <w:pgMar w:left="1276" w:right="1274" w:gutter="0" w:header="0" w:top="411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ind w:hanging="0" w:start="360" w:end="0"/>
      <w:jc w:val="end"/>
      <w:outlineLvl w:val="0"/>
    </w:pPr>
    <w:rPr>
      <w:rFonts w:ascii="Helv;Arial" w:hAnsi="Helv;Arial" w:cs="Helv;Arial"/>
      <w:b/>
      <w:color w:val="0000FF"/>
      <w:lang w:val="en-AU" w:eastAsia="en-US"/>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i/>
      <w:color w:val="000000"/>
      <w:sz w:val="16"/>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lang w:val="en-US"/>
    </w:rPr>
  </w:style>
  <w:style w:type="paragraph" w:styleId="BlockText">
    <w:name w:val="Block Text"/>
    <w:basedOn w:val="Normal"/>
    <w:qFormat/>
    <w:pPr>
      <w:spacing w:lineRule="atLeast" w:line="240"/>
      <w:ind w:hanging="0" w:start="360" w:end="567"/>
    </w:pPr>
    <w:rPr>
      <w:rFonts w:ascii="Helv;Arial" w:hAnsi="Helv;Arial" w:cs="Helv;Arial"/>
      <w:lang w:val="en-AU"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2000-07-05T10:21:00Z</dcterms:created>
  <dc:creator>AGardine</dc:creator>
  <dc:description/>
  <dc:language>en-CA</dc:language>
  <cp:lastModifiedBy>NMOONEY</cp:lastModifiedBy>
  <cp:lastPrinted>2000-07-05T17:02:00Z</cp:lastPrinted>
  <dcterms:modified xsi:type="dcterms:W3CDTF">2000-07-05T13:46:00Z</dcterms:modified>
  <cp:revision>9</cp:revision>
  <dc:subject/>
  <dc:title>June 2000</dc:title>
</cp:coreProperties>
</file>