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Kafus Industries</w:t>
      </w:r>
    </w:p>
    <w:p>
      <w:pPr>
        <w:pStyle w:val="Normal"/>
        <w:rPr/>
      </w:pPr>
      <w:r>
        <w:rPr/>
        <w:t xml:space="preserve">For The Attention of </w:t>
      </w:r>
    </w:p>
    <w:p>
      <w:pPr>
        <w:pStyle w:val="Normal"/>
        <w:rPr/>
      </w:pPr>
      <w:r>
        <w:rPr/>
        <w:t>The Trustees</w:t>
      </w:r>
    </w:p>
    <w:p>
      <w:pPr>
        <w:pStyle w:val="Normal"/>
        <w:rPr/>
      </w:pPr>
      <w:r>
        <w:rPr/>
        <w:t>Ms Lynda Murdock</w:t>
      </w:r>
    </w:p>
    <w:p>
      <w:pPr>
        <w:pStyle w:val="Normal"/>
        <w:rPr/>
      </w:pPr>
      <w:r>
        <w:rPr/>
      </w:r>
    </w:p>
    <w:p>
      <w:pPr>
        <w:pStyle w:val="Normal"/>
        <w:rPr/>
      </w:pPr>
      <w:r>
        <w:rPr/>
        <w:t>Enron North America</w:t>
      </w:r>
    </w:p>
    <w:p>
      <w:pPr>
        <w:pStyle w:val="Normal"/>
        <w:rPr/>
      </w:pPr>
      <w:r>
        <w:rPr/>
        <w:t>For The Attention of:</w:t>
      </w:r>
    </w:p>
    <w:p>
      <w:pPr>
        <w:pStyle w:val="Normal"/>
        <w:rPr/>
      </w:pPr>
      <w:r>
        <w:rPr/>
        <w:t>Mr. Randy Peterson</w:t>
      </w:r>
    </w:p>
    <w:p>
      <w:pPr>
        <w:pStyle w:val="Normal"/>
        <w:rPr/>
      </w:pPr>
      <w:r>
        <w:rPr/>
      </w:r>
    </w:p>
    <w:p>
      <w:pPr>
        <w:pStyle w:val="Normal"/>
        <w:rPr/>
      </w:pPr>
      <w:r>
        <w:rPr/>
        <w:t>Samarac</w:t>
      </w:r>
    </w:p>
    <w:p>
      <w:pPr>
        <w:pStyle w:val="Normal"/>
        <w:rPr/>
      </w:pPr>
      <w:r>
        <w:rPr/>
        <w:t>For The Attention of:</w:t>
      </w:r>
    </w:p>
    <w:p>
      <w:pPr>
        <w:pStyle w:val="Normal"/>
        <w:rPr/>
      </w:pPr>
      <w:r>
        <w:rPr/>
        <w:t>Mr. Kenneth Swaisland</w:t>
      </w:r>
    </w:p>
    <w:p>
      <w:pPr>
        <w:pStyle w:val="Normal"/>
        <w:rPr/>
      </w:pPr>
      <w:r>
        <w:rPr/>
      </w:r>
    </w:p>
    <w:p>
      <w:pPr>
        <w:pStyle w:val="Normal"/>
        <w:rPr/>
      </w:pPr>
      <w:r>
        <w:rPr/>
        <w:t>Berkeley Investments</w:t>
      </w:r>
    </w:p>
    <w:p>
      <w:pPr>
        <w:pStyle w:val="Normal"/>
        <w:rPr/>
      </w:pPr>
      <w:r>
        <w:rPr/>
        <w:t>For The Attention of:</w:t>
      </w:r>
    </w:p>
    <w:p>
      <w:pPr>
        <w:pStyle w:val="Normal"/>
        <w:rPr/>
      </w:pPr>
      <w:r>
        <w:rPr/>
        <w:t>Mr. Richard Bullock</w:t>
        <w:tab/>
        <w:tab/>
        <w:tab/>
        <w:tab/>
        <w:tab/>
        <w:tab/>
        <w:tab/>
        <w:t>14</w:t>
      </w:r>
      <w:r>
        <w:rPr>
          <w:vertAlign w:val="superscript"/>
        </w:rPr>
        <w:t>th</w:t>
      </w:r>
      <w:r>
        <w:rPr/>
        <w:t xml:space="preserve"> September 2000</w:t>
      </w:r>
    </w:p>
    <w:p>
      <w:pPr>
        <w:pStyle w:val="Normal"/>
        <w:rPr/>
      </w:pPr>
      <w:r>
        <w:rPr/>
      </w:r>
    </w:p>
    <w:p>
      <w:pPr>
        <w:pStyle w:val="Normal"/>
        <w:rPr/>
      </w:pPr>
      <w:r>
        <w:rPr/>
      </w:r>
    </w:p>
    <w:p>
      <w:pPr>
        <w:pStyle w:val="Normal"/>
        <w:rPr/>
      </w:pPr>
      <w:r>
        <w:rPr/>
        <w:t>Kafus Industries – A Proposed Way Ahead</w:t>
      </w:r>
    </w:p>
    <w:p>
      <w:pPr>
        <w:pStyle w:val="Normal"/>
        <w:rPr/>
      </w:pPr>
      <w:r>
        <w:rPr/>
      </w:r>
    </w:p>
    <w:p>
      <w:pPr>
        <w:pStyle w:val="Normal"/>
        <w:rPr/>
      </w:pPr>
      <w:r>
        <w:rPr/>
      </w:r>
    </w:p>
    <w:p>
      <w:pPr>
        <w:pStyle w:val="Normal"/>
        <w:rPr/>
      </w:pPr>
      <w:r>
        <w:rPr/>
        <w:t xml:space="preserve">Following recent discussions between the major debt-holders and principal shareholders of Kafus Industries it has become apparent that there is a willingness to examine a possible way forward that might avoid the necessity to wind up Kafus Industries in toto and thus avoid placing the shareholders in a position of total loss. </w:t>
      </w:r>
    </w:p>
    <w:p>
      <w:pPr>
        <w:pStyle w:val="Normal"/>
        <w:rPr/>
      </w:pPr>
      <w:r>
        <w:rPr/>
      </w:r>
    </w:p>
    <w:p>
      <w:pPr>
        <w:pStyle w:val="Normal"/>
        <w:rPr/>
      </w:pPr>
      <w:r>
        <w:rPr/>
        <w:t xml:space="preserve">At the recent meeting in Vancouver, I proposed a concept for the reconstruction of Kafus Industries offering major debt-holders the chance to recover their investment and Kafus shareholders an opportunity to minimize their losses. The advantages to investors and shareholders could be summarized as follows:  </w:t>
      </w:r>
    </w:p>
    <w:p>
      <w:pPr>
        <w:pStyle w:val="Normal"/>
        <w:rPr/>
      </w:pPr>
      <w:r>
        <w:rPr/>
      </w:r>
    </w:p>
    <w:p>
      <w:pPr>
        <w:pStyle w:val="Normal"/>
        <w:ind w:start="720" w:end="0"/>
        <w:rPr/>
      </w:pPr>
      <w:r>
        <w:rPr/>
        <w:t>There would be no requirement for existing debt holders and shareholders to finance the proposed recovery programme.</w:t>
        <w:tab/>
      </w:r>
    </w:p>
    <w:p>
      <w:pPr>
        <w:pStyle w:val="Normal"/>
        <w:rPr/>
      </w:pPr>
      <w:r>
        <w:rPr/>
      </w:r>
    </w:p>
    <w:p>
      <w:pPr>
        <w:pStyle w:val="Normal"/>
        <w:ind w:start="720" w:end="0"/>
        <w:rPr/>
      </w:pPr>
      <w:r>
        <w:rPr/>
        <w:t>The risk of multiple class actions against the major debt-holders and principal shareholders would be considerably reduced, the addressees in particular being seen to have done everything in their power to redeem the situation.</w:t>
      </w:r>
    </w:p>
    <w:p>
      <w:pPr>
        <w:pStyle w:val="Normal"/>
        <w:rPr/>
      </w:pPr>
      <w:r>
        <w:rPr/>
      </w:r>
    </w:p>
    <w:p>
      <w:pPr>
        <w:pStyle w:val="Normal"/>
        <w:ind w:start="720" w:end="0"/>
        <w:rPr/>
      </w:pPr>
      <w:r>
        <w:rPr/>
        <w:t>The proposal allows for the continued trading in Kafus Industries shares, perhaps on the Bulletin Board in the short term.  Given the eventual recovery of Canfibre, it is presumed that, within a three to five year period, Kafus Industries will be trading successfully and in receipt of significant revenues. At that stage the share price should have recovered and all existing shareholders have an opportunity to recover their position – at least in part.</w:t>
      </w:r>
    </w:p>
    <w:p>
      <w:pPr>
        <w:pStyle w:val="Normal"/>
        <w:rPr/>
      </w:pPr>
      <w:r>
        <w:rPr/>
      </w:r>
    </w:p>
    <w:p>
      <w:pPr>
        <w:pStyle w:val="Normal"/>
        <w:rPr/>
      </w:pPr>
      <w:r>
        <w:rPr/>
        <w:t xml:space="preserve">The proposal gave major debt holders a preference share in Kafus International Development Group (KIDG), which, it was suggested, would incorporate Kafus Bio-Composites. It is presumed that KIDG will be the subject of a public offering on the European Exchanges within three to five years. At this point all major debt holders would have the option to recover their capital debt by the redemption of their preference shareholdings.  </w:t>
      </w:r>
    </w:p>
    <w:p>
      <w:pPr>
        <w:pStyle w:val="Normal"/>
        <w:rPr/>
      </w:pPr>
      <w:r>
        <w:rPr/>
      </w:r>
    </w:p>
    <w:p>
      <w:pPr>
        <w:pStyle w:val="Normal"/>
        <w:rPr/>
      </w:pPr>
      <w:r>
        <w:rPr/>
        <w:t xml:space="preserve">In summary, the addressees would not be required to put in further funding and stand to recover most of their outstanding debts in a three-year period. In the same timescale the Kafus share price could begin to recover thus giving some value to existing shareholders. The addressees will have been seen to act in the best interests of all shareholders and the threat of multiple class actions will have been considerably reduced. </w:t>
      </w:r>
    </w:p>
    <w:p>
      <w:pPr>
        <w:pStyle w:val="Normal"/>
        <w:rPr/>
      </w:pPr>
      <w:r>
        <w:rPr/>
      </w:r>
    </w:p>
    <w:p>
      <w:pPr>
        <w:pStyle w:val="Normal"/>
        <w:rPr/>
      </w:pPr>
      <w:r>
        <w:rPr/>
        <w:t>Everyone who initially invested in Kafus and its concepts believed in the viability of the technologies and the timeliness of the message. This proposal offered the chance to validate those original beliefs and for the addressees to recover their investments without further risk</w:t>
      </w:r>
    </w:p>
    <w:p>
      <w:pPr>
        <w:pStyle w:val="Normal"/>
        <w:rPr/>
      </w:pPr>
      <w:r>
        <w:rPr/>
      </w:r>
    </w:p>
    <w:p>
      <w:pPr>
        <w:pStyle w:val="Normal"/>
        <w:rPr/>
      </w:pPr>
      <w:r>
        <w:rPr/>
        <w:t>Following the Vancouver meeting, I have amended the proposal to incorporate the views of Ken Swaisland and to accommodate the desire on the part of Enron to become a low-profile investor.</w:t>
      </w:r>
    </w:p>
    <w:p>
      <w:pPr>
        <w:pStyle w:val="Normal"/>
        <w:rPr/>
      </w:pPr>
      <w:r>
        <w:rPr/>
      </w:r>
    </w:p>
    <w:p>
      <w:pPr>
        <w:pStyle w:val="Normal"/>
        <w:rPr/>
      </w:pPr>
      <w:r>
        <w:rPr/>
        <w:t>I also attach a copy of the original proposal, somewhat modified, for comparison.</w:t>
      </w:r>
    </w:p>
    <w:p>
      <w:pPr>
        <w:pStyle w:val="Normal"/>
        <w:rPr/>
      </w:pPr>
      <w:r>
        <w:rPr/>
      </w:r>
    </w:p>
    <w:p>
      <w:pPr>
        <w:pStyle w:val="Normal"/>
        <w:rPr/>
      </w:pPr>
      <w:r>
        <w:rPr/>
        <w:t xml:space="preserve">Major shareholders and debt holders should be aware that, should this reconstruction plan go ahead, Coach House Group UK Ltd would look for fees in the form of $1 million common shares in Kafus Industries. </w:t>
      </w:r>
    </w:p>
    <w:p>
      <w:pPr>
        <w:pStyle w:val="Normal"/>
        <w:rPr/>
      </w:pPr>
      <w:r>
        <w:rPr/>
      </w:r>
    </w:p>
    <w:p>
      <w:pPr>
        <w:pStyle w:val="Normal"/>
        <w:rPr/>
      </w:pPr>
      <w:r>
        <w:rPr/>
      </w:r>
    </w:p>
    <w:p>
      <w:pPr>
        <w:pStyle w:val="Normal"/>
        <w:rPr/>
      </w:pPr>
      <w:r>
        <w:rPr/>
        <w:t>I await your comments,</w:t>
      </w:r>
    </w:p>
    <w:p>
      <w:pPr>
        <w:pStyle w:val="Normal"/>
        <w:rPr/>
      </w:pPr>
      <w:r>
        <w:rPr/>
      </w:r>
    </w:p>
    <w:p>
      <w:pPr>
        <w:pStyle w:val="Normal"/>
        <w:rPr/>
      </w:pPr>
      <w:r>
        <w:rPr/>
      </w:r>
    </w:p>
    <w:p>
      <w:pPr>
        <w:pStyle w:val="Normal"/>
        <w:rPr/>
      </w:pPr>
      <w:r>
        <w:rPr/>
        <w:t>Michael J Cunningham</w:t>
      </w:r>
    </w:p>
    <w:p>
      <w:pPr>
        <w:pStyle w:val="Normal"/>
        <w:rPr/>
      </w:pPr>
      <w:r>
        <w:rPr/>
        <w:t>Chairman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Book Antiqua" w:hAnsi="Book Antiqua" w:cs="Book Antiqua"/>
        <w:b/>
        <w:sz w:val="48"/>
      </w:rPr>
    </w:pPr>
    <w:r>
      <w:rPr>
        <w:rFonts w:cs="Book Antiqua" w:ascii="Book Antiqua" w:hAnsi="Book Antiqua"/>
        <w:b/>
        <w:sz w:val="48"/>
      </w:rPr>
      <w:t>THE COACH HOUSE GROUP (UK) LTD.</w:t>
    </w:r>
  </w:p>
  <w:p>
    <w:pPr>
      <w:pStyle w:val="Header"/>
      <w:jc w:val="center"/>
      <w:rPr>
        <w:rFonts w:ascii="Book Antiqua" w:hAnsi="Book Antiqua" w:cs="Book Antiqua"/>
        <w:b/>
      </w:rPr>
    </w:pPr>
    <w:r>
      <w:rPr>
        <w:rFonts w:cs="Book Antiqua" w:ascii="Book Antiqua" w:hAnsi="Book Antiqua"/>
        <w:b/>
      </w:rPr>
      <w:t>MAIN STREET KIRKBY LONSDALE CUMBRIA UK LA6 2AQ</w:t>
    </w:r>
  </w:p>
  <w:p>
    <w:pPr>
      <w:pStyle w:val="Header"/>
      <w:rPr>
        <w:rFonts w:ascii="Book Antiqua" w:hAnsi="Book Antiqua" w:cs="Book Antiqua"/>
        <w:b/>
      </w:rPr>
    </w:pPr>
    <w:r>
      <w:rPr>
        <w:rFonts w:cs="Book Antiqua" w:ascii="Book Antiqua" w:hAnsi="Book Antiqua"/>
        <w:b/>
      </w:rPr>
      <w:t xml:space="preserve">TEL 0044 15242 72315    </w:t>
      <w:tab/>
      <w:tab/>
      <w:t xml:space="preserve">      FAX 0044 15242 72902</w:t>
    </w:r>
  </w:p>
  <w:p>
    <w:pPr>
      <w:pStyle w:val="Header"/>
      <w:rPr>
        <w:rFonts w:ascii="Book Antiqua" w:hAnsi="Book Antiqua" w:cs="Book Antiqua"/>
        <w:b/>
      </w:rPr>
    </w:pPr>
    <w:r>
      <w:rPr>
        <w:rFonts w:cs="Book Antiqua" w:ascii="Book Antiqua" w:hAnsi="Book Antiqu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rFonts w:ascii="Book Antiqua" w:hAnsi="Book Antiqua" w:cs="Book Antiqua"/>
      <w:b/>
      <w:bCs/>
      <w:sz w:val="28"/>
      <w:u w:val="single"/>
    </w:rPr>
  </w:style>
  <w:style w:type="paragraph" w:styleId="Heading3">
    <w:name w:val="heading 3"/>
    <w:basedOn w:val="Normal"/>
    <w:next w:val="Normal"/>
    <w:qFormat/>
    <w:pPr>
      <w:keepNext w:val="true"/>
      <w:numPr>
        <w:ilvl w:val="2"/>
        <w:numId w:val="1"/>
      </w:numPr>
      <w:outlineLvl w:val="2"/>
    </w:pPr>
    <w:rPr>
      <w:rFonts w:ascii="Book Antiqua" w:hAnsi="Book Antiqua" w:cs="Book Antiqua"/>
      <w:sz w:val="28"/>
      <w:u w:val="single"/>
    </w:rPr>
  </w:style>
  <w:style w:type="paragraph" w:styleId="Heading4">
    <w:name w:val="heading 4"/>
    <w:basedOn w:val="Normal"/>
    <w:next w:val="Normal"/>
    <w:qFormat/>
    <w:pPr>
      <w:keepNext w:val="true"/>
      <w:numPr>
        <w:ilvl w:val="3"/>
        <w:numId w:val="1"/>
      </w:numPr>
      <w:outlineLvl w:val="3"/>
    </w:pPr>
    <w:rPr>
      <w:rFonts w:ascii="Book Antiqua" w:hAnsi="Book Antiqua" w:cs="Book Antiqua"/>
      <w:sz w:val="28"/>
    </w:rPr>
  </w:style>
  <w:style w:type="paragraph" w:styleId="Heading5">
    <w:name w:val="heading 5"/>
    <w:basedOn w:val="Normal"/>
    <w:next w:val="Normal"/>
    <w:qFormat/>
    <w:pPr>
      <w:keepNext w:val="true"/>
      <w:numPr>
        <w:ilvl w:val="4"/>
        <w:numId w:val="1"/>
      </w:numPr>
      <w:jc w:val="center"/>
      <w:outlineLvl w:val="4"/>
    </w:pPr>
    <w:rPr>
      <w:rFonts w:ascii="Book Antiqua" w:hAnsi="Book Antiqua" w:cs="Book Antiqua"/>
      <w:b/>
      <w:bCs/>
      <w:u w:val="single"/>
    </w:rPr>
  </w:style>
  <w:style w:type="paragraph" w:styleId="Heading6">
    <w:name w:val="heading 6"/>
    <w:basedOn w:val="Normal"/>
    <w:next w:val="Normal"/>
    <w:qFormat/>
    <w:pPr>
      <w:keepNext w:val="true"/>
      <w:numPr>
        <w:ilvl w:val="5"/>
        <w:numId w:val="1"/>
      </w:numPr>
      <w:outlineLvl w:val="5"/>
    </w:pPr>
    <w:rPr>
      <w:b/>
      <w:bCs/>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u w:val="singl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2000-09-14T14:09:00Z</dcterms:created>
  <dc:creator>Tate Holt</dc:creator>
  <dc:description/>
  <dc:language>en-CA</dc:language>
  <cp:lastModifiedBy>KTD Office Equipment</cp:lastModifiedBy>
  <cp:lastPrinted>2000-09-06T18:24:00Z</cp:lastPrinted>
  <dcterms:modified xsi:type="dcterms:W3CDTF">2000-09-14T14:25:00Z</dcterms:modified>
  <cp:revision>3</cp:revision>
  <dc:subject/>
  <dc:title>September 4, 1999</dc:title>
</cp:coreProperties>
</file>