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Proposal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5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Restructuring of  current components of Kafus Industries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  <w:t>Kafus Industries South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KIST should play no further role in the future of Kafus Industries. There are two options: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KIST should be sold to Chuck Taylor in exchange for:</w:t>
        <w:tab/>
        <w:tab/>
        <w:tab/>
      </w:r>
    </w:p>
    <w:p>
      <w:pPr>
        <w:pStyle w:val="Normal"/>
        <w:numPr>
          <w:ilvl w:val="1"/>
          <w:numId w:val="2"/>
        </w:numPr>
        <w:rPr/>
      </w:pPr>
      <w:r>
        <w:rPr/>
        <w:t>$1million USD cash – payable over 12 months</w:t>
      </w:r>
    </w:p>
    <w:p>
      <w:pPr>
        <w:pStyle w:val="Normal"/>
        <w:numPr>
          <w:ilvl w:val="1"/>
          <w:numId w:val="2"/>
        </w:numPr>
        <w:rPr/>
      </w:pPr>
      <w:r>
        <w:rPr/>
        <w:t>All processed fibre (approx 40 tonnes) delivered to KBC.</w:t>
      </w:r>
    </w:p>
    <w:p>
      <w:pPr>
        <w:pStyle w:val="Normal"/>
        <w:numPr>
          <w:ilvl w:val="1"/>
          <w:numId w:val="2"/>
        </w:numPr>
        <w:rPr/>
      </w:pPr>
      <w:r>
        <w:rPr/>
        <w:t>All Kenaf seed ( 100,000lbs) delivered to KIESA.</w:t>
      </w:r>
    </w:p>
    <w:p>
      <w:pPr>
        <w:pStyle w:val="Normal"/>
        <w:numPr>
          <w:ilvl w:val="1"/>
          <w:numId w:val="2"/>
        </w:numPr>
        <w:rPr/>
      </w:pPr>
      <w:r>
        <w:rPr/>
        <w:t>All debts and liabilities become responsibility of Chuck Taylor.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KIST should be petitioned into bankruptcy by Kafus Industries and all assets sold to repay debt with Kafus as the preferred creditor.  Revenues as follows:</w:t>
      </w:r>
    </w:p>
    <w:p>
      <w:pPr>
        <w:pStyle w:val="Normal"/>
        <w:numPr>
          <w:ilvl w:val="1"/>
          <w:numId w:val="2"/>
        </w:numPr>
        <w:rPr/>
      </w:pPr>
      <w:r>
        <w:rPr/>
        <w:t>Sale of land, farm, machinery, fibre and seed.</w:t>
        <w:tab/>
        <w:tab/>
        <w:tab/>
        <w:t>$5M</w:t>
      </w:r>
    </w:p>
    <w:p>
      <w:pPr>
        <w:pStyle w:val="Normal"/>
        <w:numPr>
          <w:ilvl w:val="1"/>
          <w:numId w:val="2"/>
        </w:numPr>
        <w:rPr/>
      </w:pPr>
      <w:r>
        <w:rPr/>
        <w:t>Sale of processing plant</w:t>
        <w:tab/>
        <w:tab/>
        <w:tab/>
        <w:tab/>
        <w:tab/>
        <w:tab/>
        <w:t>$2M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option 2 the amount of debts and obligations could be greater than the revenues from the sale. It is not known at this stage what the return to Kafus might amount to.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Canfibre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Canfibre should be immediately petitioned into CCAA/Chapter 11.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existing senior management should be removed and a crisis management team hired pending the appointment of a new CEO.  Kafus should open negotiations with the Bond Holders and attempt to access the Stabilization Fund. The position vis-à-vis the claims against Stone and Webster should be assessed with a view to factoring or borrowing against the claims. DIP financing should be considered.</w:t>
      </w:r>
    </w:p>
    <w:p>
      <w:pPr>
        <w:pStyle w:val="Normal"/>
        <w:rPr/>
      </w:pPr>
      <w:r>
        <w:rPr/>
        <w:t>The new CEO should be an industry professional tasked to bring Riverside and Lackawana into viable production within 12 months – if necessary the Company should remain in CCAA/Chapter 11 until that is achieved.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  <w:t>Kafus Bio Composites/Indiana Bio Composites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Kafus has 90% of KBC – this should revert to 100% with the winding up of KIST.</w:t>
      </w:r>
    </w:p>
    <w:p>
      <w:pPr>
        <w:pStyle w:val="Normal"/>
        <w:rPr/>
      </w:pPr>
      <w:r>
        <w:rPr/>
        <w:t>KBC has 70% of IBC with HSB holding 30%.</w:t>
      </w:r>
    </w:p>
    <w:p>
      <w:pPr>
        <w:pStyle w:val="Normal"/>
        <w:rPr/>
      </w:pPr>
      <w:r>
        <w:rPr/>
        <w:t>IBC is currently borrowing $1.5 - $2Million USD from International Technical Ventures (ITV) against 15 – 20% of IBC.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30% of the Kafus interest in KBC/IBC should be sold to KIDG in exchange for a cash payment of $2M.  KBC/IBC should then be placed into KIDG, buying out the ITV position. KBC/IBC to remain in Kafus and Kafus to seek funding for anticipated expansion of the IBC production capacity at Elkhart.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Fortura/KEFI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Kafus ownership of Fortura should be transferred to KIDG. 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Kafus International Development Group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Enron takes 50% of the equity in KIDG in exchange for forgiveness of all debt and interest in Kafus Industries.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KIDG is owned 50% by Sustainable Industries, 50% by Coach House Group UK Ltd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KIDG will agree to sell 20% of KIDG to a Spanish Company for a minimum of $10 Million USD.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revenue from the equity sale will be loaned back in to KIDG on terms to be agreed. KIDG to utilize the funding as follows:</w:t>
      </w:r>
    </w:p>
    <w:p>
      <w:pPr>
        <w:pStyle w:val="Normal"/>
        <w:rPr/>
      </w:pPr>
      <w:r>
        <w:rPr/>
      </w:r>
    </w:p>
    <w:p>
      <w:pPr>
        <w:pStyle w:val="Normal"/>
        <w:ind w:hanging="2880" w:start="3600" w:end="0"/>
        <w:rPr/>
      </w:pPr>
      <w:r>
        <w:rPr/>
        <w:t>$2Million USD</w:t>
        <w:tab/>
        <w:t>To KBC to buy back share sold to International Technical Ventures.</w:t>
      </w:r>
    </w:p>
    <w:p>
      <w:pPr>
        <w:pStyle w:val="Normal"/>
        <w:ind w:hanging="2160" w:start="2880" w:end="0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$1Million USD</w:t>
        <w:tab/>
        <w:tab/>
        <w:t>To Kafus for corporate overhead.</w:t>
      </w:r>
    </w:p>
    <w:p>
      <w:pPr>
        <w:pStyle w:val="Normal"/>
        <w:ind w:hanging="2160" w:start="2880" w:end="0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The Balance</w:t>
        <w:tab/>
        <w:tab/>
        <w:t xml:space="preserve">Equity for Spanish Project Phase 1 plus </w:t>
      </w:r>
    </w:p>
    <w:p>
      <w:pPr>
        <w:pStyle w:val="Normal"/>
        <w:ind w:hanging="2880" w:start="3600" w:end="0"/>
        <w:rPr/>
      </w:pPr>
      <w:r>
        <w:rPr/>
        <w:t xml:space="preserve">(min $7Milion USD) </w:t>
        <w:tab/>
        <w:t xml:space="preserve">development costs in France, S Africa, S America and Middle East. 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KIDG Equity Transfers and Ownership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Equity Holder</w:t>
        <w:tab/>
        <w:tab/>
        <w:t>%age</w:t>
        <w:tab/>
        <w:tab/>
        <w:t>Sell</w:t>
        <w:tab/>
        <w:tab/>
        <w:t>Loan</w:t>
        <w:tab/>
        <w:tab/>
        <w:t>Retain</w:t>
      </w:r>
    </w:p>
    <w:p>
      <w:pPr>
        <w:pStyle w:val="Normal"/>
        <w:rPr/>
      </w:pPr>
      <w:r>
        <w:rPr/>
        <w:t>Sustainable</w:t>
        <w:tab/>
        <w:tab/>
        <w:tab/>
        <w:t>50%</w:t>
        <w:tab/>
        <w:tab/>
        <w:t>10%</w:t>
        <w:tab/>
        <w:tab/>
        <w:t>10%</w:t>
        <w:tab/>
        <w:tab/>
        <w:t>40%</w:t>
      </w:r>
    </w:p>
    <w:p>
      <w:pPr>
        <w:pStyle w:val="Normal"/>
        <w:rPr/>
      </w:pPr>
      <w:r>
        <w:rPr/>
        <w:t>CHG</w:t>
        <w:tab/>
        <w:tab/>
        <w:tab/>
        <w:tab/>
        <w:t>50%</w:t>
        <w:tab/>
        <w:tab/>
        <w:t>10%</w:t>
        <w:tab/>
        <w:tab/>
        <w:t>10%</w:t>
        <w:tab/>
        <w:tab/>
        <w:t>20%</w:t>
      </w:r>
    </w:p>
    <w:p>
      <w:pPr>
        <w:pStyle w:val="Normal"/>
        <w:rPr/>
      </w:pPr>
      <w:r>
        <w:rPr/>
        <w:t>Spanish Company</w:t>
        <w:tab/>
        <w:tab/>
        <w:tab/>
        <w:tab/>
        <w:tab/>
        <w:tab/>
        <w:tab/>
        <w:tab/>
        <w:t>20%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  <w:t>Kafus Industries – Vancouver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Kafus Industries should recruit a seasoned CEO, Lynda Murdock to remain as CFO plus a small staff in a small office complex in Vancouver. The majority of Kafus’ 43 companies should be closed down and the shells sold where possible.</w:t>
      </w:r>
    </w:p>
    <w:p>
      <w:pPr>
        <w:pStyle w:val="Normal"/>
        <w:rPr/>
      </w:pPr>
      <w:r>
        <w:rPr/>
        <w:t>Kafus would receive 5 Million shares in Kafus Industries returned to the Corporate treasury from Ken Swaisland.</w:t>
      </w:r>
    </w:p>
    <w:p>
      <w:pPr>
        <w:pStyle w:val="Normal"/>
        <w:rPr/>
      </w:pPr>
      <w:r>
        <w:rPr/>
        <w:t>Kafus Industries would own:</w:t>
      </w:r>
    </w:p>
    <w:p>
      <w:pPr>
        <w:pStyle w:val="Normal"/>
        <w:rPr/>
      </w:pPr>
      <w:r>
        <w:rPr/>
        <w:t>85% of Canfibre.</w:t>
      </w:r>
    </w:p>
    <w:p>
      <w:pPr>
        <w:pStyle w:val="Normal"/>
        <w:rPr/>
      </w:pPr>
      <w:r>
        <w:rPr/>
        <w:t>First option to buy back 60% equity position in KIDG at IPO of KIDG.</w:t>
      </w:r>
    </w:p>
    <w:p>
      <w:pPr>
        <w:pStyle w:val="Normal"/>
        <w:rPr/>
      </w:pPr>
      <w:r>
        <w:rPr/>
        <w:t>Kafus would start its new reduced operation with $1,500,000USD in cash plus the revenues from the sale of KIST and any of the shell companies.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jc w:val="center"/>
        <w:rPr/>
      </w:pPr>
      <w:r>
        <w:rPr/>
        <w:t>Summary of position of Principal Debtors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Enron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Forgives all debt and interest in Kafus Industries in exchange for a convertible preference shareholding in KIDG redeemable at face value within five years and a day, carrying non-accumulative interest of 8% and a convertible right into common shares at a discounted price should KIDG elect to go public. 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Berkeley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Forgives all debt and interest Industries in exchange for a convertible preference shareholding in KIDG redeemable at face value within five years and a day, carrying non-accumulative interest of 8% and a convertible right into common shares at a discounted price should KIDG elect to go public. Provides interim funding of $500,000 to KIDG. 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Samarac – Ken Swaisland</w:t>
      </w:r>
    </w:p>
    <w:p>
      <w:pPr>
        <w:pStyle w:val="Normal"/>
        <w:rPr/>
      </w:pPr>
      <w:r>
        <w:rPr/>
        <w:t xml:space="preserve">Forgives all debt and interest in Kafus Industries in exchange for a convertible preference shareholding in KIDG redeemable at face value within five years and a day, carrying non-accumulative interest of 8% and a convertible right into common shares at a discounted price should KIDG elect to go public. </w:t>
      </w:r>
    </w:p>
    <w:p>
      <w:pPr>
        <w:pStyle w:val="Normal"/>
        <w:rPr/>
      </w:pPr>
      <w:r>
        <w:rPr/>
        <w:t>Returns 5 million shares in Kafus Industries to Corporate Treasury.</w:t>
      </w:r>
    </w:p>
    <w:p>
      <w:pPr>
        <w:pStyle w:val="Normal"/>
        <w:rPr/>
      </w:pPr>
      <w:r>
        <w:rPr/>
        <w:t>Cancels all present and future entitlement to commissions, fees, retainers currently part of existing agreements with Kafus and subsidiaries.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Strong River et Al.</w:t>
      </w:r>
    </w:p>
    <w:p>
      <w:pPr>
        <w:pStyle w:val="Normal"/>
        <w:rPr/>
      </w:pPr>
      <w:r>
        <w:rPr/>
        <w:t xml:space="preserve">Forgives all debt and interest in Kafus Industries in exchange for a convertible preference shareholding in KIDG redeemable at face value within five years and a day, carrying non-accumulative interest of 8% and a convertible right into common shares at a discounted price should KIDG elect to go public.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5-Year Forecast for Kafus Industries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The restructured Kafus will have a lean headquarters unit under the control of a seasoned professional CEO. The CEO and CFO would be supported by a small core staff and would be expected to be highly mobile, keeping hands-on control of the operating units, including Canfibre. Burn rate for Kafus Corporate should not exceed $100,000USD per month. Radical simplification of company structure will greatly reduce professional fees and overheads, functions such as customer relations should be outsourced.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Initially Kafus would own 85% of Canfibre (in protective administration) and could be granted an equity position in KIDG and therefore KBC/IBC. It is inevitable that the Kafus shares would slip down to the bulletin Board and would become a 20-cent stock in the short-term. The return to viability of Canfibre will mark one turning point as will the start-up of the projects in Spain and France.  Kafus shares would start recovery in 2001/2002 and could realize some of their original potential– perhaps in 2003.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Book Antiqua" w:hAnsi="Book Antiqua" w:cs="Book Antiqua"/>
        <w:b/>
        <w:sz w:val="48"/>
      </w:rPr>
    </w:pPr>
    <w:r>
      <w:rPr>
        <w:rFonts w:cs="Book Antiqua" w:ascii="Book Antiqua" w:hAnsi="Book Antiqua"/>
        <w:b/>
        <w:sz w:val="48"/>
      </w:rPr>
      <w:t>THE COACH HOUSE GROUP (UK) LTD.</w:t>
    </w:r>
  </w:p>
  <w:p>
    <w:pPr>
      <w:pStyle w:val="Header"/>
      <w:jc w:val="center"/>
      <w:rPr>
        <w:rFonts w:ascii="Book Antiqua" w:hAnsi="Book Antiqua" w:cs="Book Antiqua"/>
        <w:b/>
      </w:rPr>
    </w:pPr>
    <w:r>
      <w:rPr>
        <w:rFonts w:cs="Book Antiqua" w:ascii="Book Antiqua" w:hAnsi="Book Antiqua"/>
        <w:b/>
      </w:rPr>
      <w:t>MAIN STREET KIRKBY LONSDALE CUMBRIA UK LA6 2AQ</w:t>
    </w:r>
  </w:p>
  <w:p>
    <w:pPr>
      <w:pStyle w:val="Header"/>
      <w:rPr>
        <w:rFonts w:ascii="Book Antiqua" w:hAnsi="Book Antiqua" w:cs="Book Antiqua"/>
        <w:b/>
      </w:rPr>
    </w:pPr>
    <w:r>
      <w:rPr>
        <w:rFonts w:cs="Book Antiqua" w:ascii="Book Antiqua" w:hAnsi="Book Antiqua"/>
        <w:b/>
      </w:rPr>
      <w:t xml:space="preserve">TEL 0044 15242 72315    </w:t>
      <w:tab/>
      <w:tab/>
      <w:t xml:space="preserve">      FAX 0044 15242 72902</w:t>
    </w:r>
  </w:p>
  <w:p>
    <w:pPr>
      <w:pStyle w:val="Header"/>
      <w:rPr>
        <w:rFonts w:ascii="Book Antiqua" w:hAnsi="Book Antiqua" w:cs="Book Antiqua"/>
        <w:b/>
      </w:rPr>
    </w:pPr>
    <w:r>
      <w:rPr>
        <w:rFonts w:cs="Book Antiqua" w:ascii="Book Antiqua" w:hAnsi="Book Antiqu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 Antiqua" w:hAnsi="Book Antiqua" w:cs="Book Antiqua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Book Antiqua" w:hAnsi="Book Antiqua" w:cs="Book Antiqua"/>
      <w:sz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ook Antiqua" w:hAnsi="Book Antiqua" w:cs="Book Antiqua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Book Antiqua" w:hAnsi="Book Antiqua" w:cs="Book Antiqua"/>
      <w:b/>
      <w:bCs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bCs/>
      <w:u w:val="singl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2000-09-14T14:08:00Z</dcterms:created>
  <dc:creator>Tate Holt</dc:creator>
  <dc:description/>
  <dc:language>en-CA</dc:language>
  <cp:lastModifiedBy>KTD Office Equipment</cp:lastModifiedBy>
  <cp:lastPrinted>2000-09-06T18:24:00Z</cp:lastPrinted>
  <dcterms:modified xsi:type="dcterms:W3CDTF">2000-09-14T14:27:00Z</dcterms:modified>
  <cp:revision>3</cp:revision>
  <dc:subject/>
  <dc:title>September 4, 1999</dc:title>
</cp:coreProperties>
</file>