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rPr/>
      </w:pPr>
      <w:r>
        <w:rPr/>
      </w:r>
    </w:p>
    <w:p>
      <w:pPr>
        <w:pStyle w:val="Normal"/>
        <w:ind w:start="1440" w:end="0"/>
        <w:rPr/>
      </w:pPr>
      <w:r>
        <w:rPr/>
      </w:r>
    </w:p>
    <w:p>
      <w:pPr>
        <w:pStyle w:val="Heading7"/>
        <w:jc w:val="center"/>
        <w:rPr/>
      </w:pPr>
      <w:r>
        <w:rPr/>
        <w:t>Revised Proposal for Reconstruction of Kafus Industries</w:t>
      </w:r>
    </w:p>
    <w:p>
      <w:pPr>
        <w:pStyle w:val="Normal"/>
        <w:ind w:firstLine="720" w:end="0"/>
        <w:jc w:val="center"/>
        <w:rPr/>
      </w:pPr>
      <w:r>
        <w:rPr>
          <w:b/>
          <w:bCs/>
          <w:u w:val="single"/>
        </w:rPr>
        <w:t>Dated 14</w:t>
      </w:r>
      <w:r>
        <w:rPr>
          <w:b/>
          <w:bCs/>
          <w:u w:val="single"/>
          <w:vertAlign w:val="superscript"/>
        </w:rPr>
        <w:t>th</w:t>
      </w:r>
      <w:r>
        <w:rPr>
          <w:b/>
          <w:bCs/>
          <w:u w:val="single"/>
        </w:rPr>
        <w:t xml:space="preserve"> September 2000</w:t>
      </w:r>
    </w:p>
    <w:p>
      <w:pPr>
        <w:pStyle w:val="Normal"/>
        <w:rPr>
          <w:b/>
          <w:bCs/>
          <w:u w:val="single"/>
        </w:rPr>
      </w:pPr>
      <w:r>
        <w:rPr>
          <w:b/>
          <w:bCs/>
          <w:u w:val="single"/>
        </w:rPr>
      </w:r>
    </w:p>
    <w:p>
      <w:pPr>
        <w:pStyle w:val="Normal"/>
        <w:ind w:start="1440" w:end="0"/>
        <w:rPr/>
      </w:pPr>
      <w:r>
        <w:rPr/>
      </w:r>
    </w:p>
    <w:p>
      <w:pPr>
        <w:pStyle w:val="Normal"/>
        <w:ind w:hanging="720" w:start="1440" w:end="0"/>
        <w:rPr/>
      </w:pPr>
      <w:r>
        <w:rPr/>
        <w:t>1.</w:t>
        <w:tab/>
        <w:t>The creditors of Kafus Industries agree to capitalize their existing debt in Kafus Industries whereby KIDG purchases the debt at a price to be unanimously agreed by the Inspectors and the Trustees, in return for the issuance by KIDG of Preference Shares in KIDG having the following general conditions.</w:t>
      </w:r>
    </w:p>
    <w:p>
      <w:pPr>
        <w:pStyle w:val="Normal"/>
        <w:ind w:start="1440" w:end="0"/>
        <w:rPr/>
      </w:pPr>
      <w:r>
        <w:rPr/>
      </w:r>
    </w:p>
    <w:p>
      <w:pPr>
        <w:pStyle w:val="Normal"/>
        <w:ind w:start="1440" w:end="0"/>
        <w:rPr/>
      </w:pPr>
      <w:r>
        <w:rPr/>
        <w:tab/>
        <w:t>a.</w:t>
        <w:tab/>
        <w:t>Redeemable at face value within 5 years and a day.</w:t>
      </w:r>
    </w:p>
    <w:p>
      <w:pPr>
        <w:pStyle w:val="Normal"/>
        <w:ind w:start="1440" w:end="0"/>
        <w:rPr/>
      </w:pPr>
      <w:r>
        <w:rPr/>
      </w:r>
    </w:p>
    <w:p>
      <w:pPr>
        <w:pStyle w:val="Normal"/>
        <w:ind w:start="2160" w:end="0"/>
        <w:rPr/>
      </w:pPr>
      <w:r>
        <w:rPr/>
        <w:t>b.</w:t>
        <w:tab/>
        <w:t>Bearing non-accumulative interest of 8% with interest payable on a priority basis prior to the distribution of dividends to KIDG common shareholders</w:t>
      </w:r>
    </w:p>
    <w:p>
      <w:pPr>
        <w:pStyle w:val="Normal"/>
        <w:ind w:start="1440" w:end="0"/>
        <w:rPr/>
      </w:pPr>
      <w:r>
        <w:rPr/>
      </w:r>
    </w:p>
    <w:p>
      <w:pPr>
        <w:pStyle w:val="Normal"/>
        <w:ind w:start="2160" w:end="0"/>
        <w:rPr/>
      </w:pPr>
      <w:r>
        <w:rPr/>
        <w:t>c.</w:t>
        <w:tab/>
        <w:t>A convertible right into common shares of KIDG at any time that KIDG elects to go public, such conversion to be set, where permissible, at a discount to the then issued price of KIDG common shares.</w:t>
      </w:r>
    </w:p>
    <w:p>
      <w:pPr>
        <w:pStyle w:val="Normal"/>
        <w:ind w:start="1440" w:end="0"/>
        <w:rPr/>
      </w:pPr>
      <w:r>
        <w:rPr/>
      </w:r>
    </w:p>
    <w:p>
      <w:pPr>
        <w:pStyle w:val="Normal"/>
        <w:ind w:firstLine="720" w:start="1440" w:end="0"/>
        <w:rPr/>
      </w:pPr>
      <w:r>
        <w:rPr/>
        <w:t>d.</w:t>
        <w:tab/>
        <w:t>The right to representation on the Board of KIDG.</w:t>
      </w:r>
    </w:p>
    <w:p>
      <w:pPr>
        <w:pStyle w:val="Normal"/>
        <w:ind w:start="1440" w:end="0"/>
        <w:rPr/>
      </w:pPr>
      <w:r>
        <w:rPr/>
      </w:r>
    </w:p>
    <w:p>
      <w:pPr>
        <w:pStyle w:val="Normal"/>
        <w:ind w:start="1440" w:end="0"/>
        <w:rPr/>
      </w:pPr>
      <w:r>
        <w:rPr/>
      </w:r>
    </w:p>
    <w:p>
      <w:pPr>
        <w:pStyle w:val="Normal"/>
        <w:numPr>
          <w:ilvl w:val="0"/>
          <w:numId w:val="2"/>
        </w:numPr>
        <w:tabs>
          <w:tab w:val="clear" w:pos="720"/>
          <w:tab w:val="left" w:pos="1440" w:leader="none"/>
        </w:tabs>
        <w:ind w:hanging="900" w:start="1440" w:end="0"/>
        <w:rPr/>
      </w:pPr>
      <w:r>
        <w:rPr/>
        <w:t>Upon the consummation of KIDG’s acquisition of the Kafus’ debt KIDG will convert it’s Kafus debt into non-convertible preference shares of Kafus having parallel or similar terms and conditions to the KIDG preference shares issued to the Kafus debtors.</w:t>
      </w:r>
    </w:p>
    <w:p>
      <w:pPr>
        <w:pStyle w:val="Normal"/>
        <w:numPr>
          <w:ilvl w:val="0"/>
          <w:numId w:val="2"/>
        </w:numPr>
        <w:tabs>
          <w:tab w:val="clear" w:pos="720"/>
          <w:tab w:val="left" w:pos="1440" w:leader="none"/>
        </w:tabs>
        <w:ind w:hanging="900" w:start="1440" w:end="0"/>
        <w:rPr/>
      </w:pPr>
      <w:r>
        <w:rPr/>
        <w:t>At closing of KIDG’s acquisition of Kafus’ debt KIDG will sell to value added investors, between 10 – 25% of equity in order to raise working capital to implement and maintain it’s business development programme.</w:t>
      </w:r>
    </w:p>
    <w:p>
      <w:pPr>
        <w:pStyle w:val="Normal"/>
        <w:ind w:hanging="900" w:start="1440" w:end="0"/>
        <w:rPr/>
      </w:pPr>
      <w:r>
        <w:rPr/>
        <w:t>4.</w:t>
        <w:tab/>
        <w:t>Enron will assume trusteeship of Canfibre under Section 38, any benefit derived by Enron from the disposal of Canfibre assets will be offset against the redemption of preference shares in KIDG.</w:t>
      </w:r>
    </w:p>
    <w:p>
      <w:pPr>
        <w:pStyle w:val="Normal"/>
        <w:ind w:hanging="900" w:start="1440" w:end="0"/>
        <w:rPr/>
      </w:pPr>
      <w:r>
        <w:rPr/>
        <w:t>5.</w:t>
        <w:tab/>
        <w:t>It is anticipated that, in addition to the direct Kafus debt held by Enron, Enron’s $15 million of convertible preference shares in Kafus would also be included.  Enron’s current common share ownership of Kafus would remain with the possibility of some form of future value being received should the Kafus restructuring programme succeed.</w:t>
      </w:r>
    </w:p>
    <w:p>
      <w:pPr>
        <w:pStyle w:val="BodyTextIndent"/>
        <w:rPr/>
      </w:pPr>
      <w:r>
        <w:rPr/>
        <w:t>6.</w:t>
        <w:tab/>
        <w:t>Kafus Industries, simultaneously with the proposed transaction would dispose of its interest in KIST, undertake a 2-1 stock roll-back and seek to trade as a reporting issuer in the USA and Canada.  Kafus’ only asset would be Bio-Composites.  Upon receiving approval of Enron for the proposed transaction, Kafus would enter into immediate negotiations with KSB in order to secure the continuation of Kafus Bio-Composites and its eventual expansion.</w:t>
      </w:r>
    </w:p>
    <w:p>
      <w:pPr>
        <w:pStyle w:val="BodyTextIndent"/>
        <w:rPr/>
      </w:pPr>
      <w:r>
        <w:rPr/>
      </w:r>
    </w:p>
    <w:p>
      <w:pPr>
        <w:pStyle w:val="Normal"/>
        <w:numPr>
          <w:ilvl w:val="0"/>
          <w:numId w:val="3"/>
        </w:numPr>
        <w:tabs>
          <w:tab w:val="clear" w:pos="720"/>
        </w:tabs>
        <w:ind w:hanging="720" w:start="1440" w:end="0"/>
        <w:rPr/>
      </w:pPr>
      <w:r>
        <w:rPr/>
        <w:t>Kafus would seek approximately $5 Million of private placement capital for working capital for both Kafus Industries and Bio Composites.</w:t>
      </w:r>
    </w:p>
    <w:p>
      <w:pPr>
        <w:pStyle w:val="Normal"/>
        <w:rPr/>
      </w:pPr>
      <w:r>
        <w:rPr/>
      </w:r>
    </w:p>
    <w:p>
      <w:pPr>
        <w:pStyle w:val="Normal"/>
        <w:rPr/>
      </w:pPr>
      <w:r>
        <w:rPr/>
      </w:r>
    </w:p>
    <w:p>
      <w:pPr>
        <w:pStyle w:val="Normal"/>
        <w:rPr/>
      </w:pPr>
      <w:r>
        <w:rPr/>
        <w:t>The above represents a basic game plan.  If completed, it will allow KIDG to operate as a sovereign private entity, linked to Kafus only by a preference share holding. Kafus will have the chance to reconstruct the balance sheet and resume trading as a public entity.</w:t>
      </w:r>
    </w:p>
    <w:p>
      <w:pPr>
        <w:pStyle w:val="Normal"/>
        <w:rPr/>
      </w:pPr>
      <w:r>
        <w:rPr/>
      </w:r>
    </w:p>
    <w:p>
      <w:pPr>
        <w:pStyle w:val="Normal"/>
        <w:rPr/>
      </w:pPr>
      <w:r>
        <w:rPr/>
        <w:t>The above assumes that KIDG incorporates Fortura and the shareholding in KEFI.</w:t>
      </w:r>
    </w:p>
    <w:p>
      <w:pPr>
        <w:pStyle w:val="Normal"/>
        <w:ind w:start="1440" w:end="0"/>
        <w:rPr/>
      </w:pPr>
      <w:r>
        <w:rPr/>
      </w:r>
    </w:p>
    <w:p>
      <w:pPr>
        <w:pStyle w:val="Normal"/>
        <w:ind w:start="1440" w:end="0"/>
        <w:rPr/>
      </w:pPr>
      <w:r>
        <w:rPr/>
      </w:r>
    </w:p>
    <w:p>
      <w:pPr>
        <w:pStyle w:val="Normal"/>
        <w:ind w:start="144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Book Antiqua" w:hAnsi="Book Antiqua" w:cs="Book Antiqua"/>
        <w:b/>
        <w:sz w:val="48"/>
      </w:rPr>
    </w:pPr>
    <w:r>
      <w:rPr>
        <w:rFonts w:cs="Book Antiqua" w:ascii="Book Antiqua" w:hAnsi="Book Antiqua"/>
        <w:b/>
        <w:sz w:val="48"/>
      </w:rPr>
      <w:t>THE COACH HOUSE GROUP (UK) LTD.</w:t>
    </w:r>
  </w:p>
  <w:p>
    <w:pPr>
      <w:pStyle w:val="Header"/>
      <w:jc w:val="center"/>
      <w:rPr>
        <w:rFonts w:ascii="Book Antiqua" w:hAnsi="Book Antiqua" w:cs="Book Antiqua"/>
        <w:b/>
      </w:rPr>
    </w:pPr>
    <w:r>
      <w:rPr>
        <w:rFonts w:cs="Book Antiqua" w:ascii="Book Antiqua" w:hAnsi="Book Antiqua"/>
        <w:b/>
      </w:rPr>
      <w:t>MAIN STREET KIRKBY LONSDALE CUMBRIA UK LA6 2AQ</w:t>
    </w:r>
  </w:p>
  <w:p>
    <w:pPr>
      <w:pStyle w:val="Header"/>
      <w:rPr>
        <w:rFonts w:ascii="Book Antiqua" w:hAnsi="Book Antiqua" w:cs="Book Antiqua"/>
        <w:b/>
      </w:rPr>
    </w:pPr>
    <w:r>
      <w:rPr>
        <w:rFonts w:cs="Book Antiqua" w:ascii="Book Antiqua" w:hAnsi="Book Antiqua"/>
        <w:b/>
      </w:rPr>
      <w:t xml:space="preserve">TEL 0044 15242 72315    </w:t>
      <w:tab/>
      <w:tab/>
      <w:t xml:space="preserve">      FAX 0044 15242 72902</w:t>
    </w:r>
  </w:p>
  <w:p>
    <w:pPr>
      <w:pStyle w:val="Header"/>
      <w:rPr>
        <w:rFonts w:ascii="Book Antiqua" w:hAnsi="Book Antiqua" w:cs="Book Antiqua"/>
        <w:b/>
      </w:rPr>
    </w:pPr>
    <w:r>
      <w:rPr>
        <w:rFonts w:cs="Book Antiqua" w:ascii="Book Antiqua" w:hAnsi="Book Antiqu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800"/>
        </w:tabs>
        <w:ind w:start="1800" w:hanging="360"/>
      </w:pPr>
      <w:rPr/>
    </w:lvl>
  </w:abstractNum>
  <w:abstractNum w:abstractNumId="3">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rFonts w:ascii="Book Antiqua" w:hAnsi="Book Antiqua" w:cs="Book Antiqua"/>
      <w:b/>
      <w:bCs/>
      <w:sz w:val="28"/>
      <w:u w:val="single"/>
    </w:rPr>
  </w:style>
  <w:style w:type="paragraph" w:styleId="Heading3">
    <w:name w:val="heading 3"/>
    <w:basedOn w:val="Normal"/>
    <w:next w:val="Normal"/>
    <w:qFormat/>
    <w:pPr>
      <w:keepNext w:val="true"/>
      <w:numPr>
        <w:ilvl w:val="2"/>
        <w:numId w:val="1"/>
      </w:numPr>
      <w:outlineLvl w:val="2"/>
    </w:pPr>
    <w:rPr>
      <w:rFonts w:ascii="Book Antiqua" w:hAnsi="Book Antiqua" w:cs="Book Antiqua"/>
      <w:sz w:val="28"/>
      <w:u w:val="single"/>
    </w:rPr>
  </w:style>
  <w:style w:type="paragraph" w:styleId="Heading4">
    <w:name w:val="heading 4"/>
    <w:basedOn w:val="Normal"/>
    <w:next w:val="Normal"/>
    <w:qFormat/>
    <w:pPr>
      <w:keepNext w:val="true"/>
      <w:numPr>
        <w:ilvl w:val="3"/>
        <w:numId w:val="1"/>
      </w:numPr>
      <w:outlineLvl w:val="3"/>
    </w:pPr>
    <w:rPr>
      <w:rFonts w:ascii="Book Antiqua" w:hAnsi="Book Antiqua" w:cs="Book Antiqua"/>
      <w:sz w:val="28"/>
    </w:rPr>
  </w:style>
  <w:style w:type="paragraph" w:styleId="Heading5">
    <w:name w:val="heading 5"/>
    <w:basedOn w:val="Normal"/>
    <w:next w:val="Normal"/>
    <w:qFormat/>
    <w:pPr>
      <w:keepNext w:val="true"/>
      <w:numPr>
        <w:ilvl w:val="4"/>
        <w:numId w:val="1"/>
      </w:numPr>
      <w:jc w:val="center"/>
      <w:outlineLvl w:val="4"/>
    </w:pPr>
    <w:rPr>
      <w:rFonts w:ascii="Book Antiqua" w:hAnsi="Book Antiqua" w:cs="Book Antiqua"/>
      <w:b/>
      <w:bCs/>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ind w:hanging="0" w:start="1440" w:end="0"/>
      <w:outlineLvl w:val="6"/>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u w:val="single"/>
    </w:rPr>
  </w:style>
  <w:style w:type="paragraph" w:styleId="BodyTextIndent">
    <w:name w:val="Body Text Indent"/>
    <w:basedOn w:val="Normal"/>
    <w:pPr>
      <w:ind w:hanging="90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2000-09-14T13:35:00Z</dcterms:created>
  <dc:creator>Tate Holt</dc:creator>
  <dc:description/>
  <dc:language>en-CA</dc:language>
  <cp:lastModifiedBy>KTD Office Equipment</cp:lastModifiedBy>
  <cp:lastPrinted>2000-09-06T18:24:00Z</cp:lastPrinted>
  <dcterms:modified xsi:type="dcterms:W3CDTF">2000-09-14T14:28:00Z</dcterms:modified>
  <cp:revision>4</cp:revision>
  <dc:subject/>
  <dc:title>September 4, 1999</dc:title>
</cp:coreProperties>
</file>