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Kafus Industries</w:t>
      </w:r>
    </w:p>
    <w:p>
      <w:pPr>
        <w:pStyle w:val="Normal"/>
        <w:rPr/>
      </w:pPr>
      <w:r>
        <w:rPr/>
        <w:t xml:space="preserve">For The Attention of </w:t>
      </w:r>
    </w:p>
    <w:p>
      <w:pPr>
        <w:pStyle w:val="Heading7"/>
        <w:ind w:hanging="0" w:start="0"/>
        <w:rPr/>
      </w:pPr>
      <w:r>
        <w:rPr/>
        <w:t>The Trustees</w:t>
      </w:r>
    </w:p>
    <w:p>
      <w:pPr>
        <w:pStyle w:val="Heading7"/>
        <w:ind w:hanging="0" w:start="0"/>
        <w:rPr/>
      </w:pPr>
      <w:r>
        <w:rPr/>
        <w:t>The Inspectors</w:t>
      </w:r>
    </w:p>
    <w:p>
      <w:pPr>
        <w:pStyle w:val="Normal"/>
        <w:rPr/>
      </w:pPr>
      <w:r>
        <w:rPr/>
        <w:t>Enron North America</w:t>
      </w:r>
    </w:p>
    <w:p>
      <w:pPr>
        <w:pStyle w:val="Normal"/>
        <w:rPr/>
      </w:pPr>
      <w:r>
        <w:rPr/>
        <w:t>For The Attention of:</w:t>
      </w:r>
    </w:p>
    <w:p>
      <w:pPr>
        <w:pStyle w:val="Heading7"/>
        <w:ind w:hanging="0" w:start="0"/>
        <w:rPr/>
      </w:pPr>
      <w:r>
        <w:rPr/>
        <w:t>Mr. Randy Petersen</w:t>
      </w:r>
    </w:p>
    <w:p>
      <w:pPr>
        <w:pStyle w:val="Heading7"/>
        <w:ind w:hanging="0" w:start="0"/>
        <w:rPr/>
      </w:pPr>
      <w:r>
        <w:rPr/>
        <w:t>Mr Richard Sanders</w:t>
      </w:r>
    </w:p>
    <w:p>
      <w:pPr>
        <w:pStyle w:val="Normal"/>
        <w:rPr/>
      </w:pPr>
      <w:r>
        <w:rPr/>
        <w:t>Berkeley Investments</w:t>
      </w:r>
    </w:p>
    <w:p>
      <w:pPr>
        <w:pStyle w:val="Normal"/>
        <w:rPr/>
      </w:pPr>
      <w:r>
        <w:rPr/>
        <w:t>For The Attention of:</w:t>
      </w:r>
    </w:p>
    <w:p>
      <w:pPr>
        <w:pStyle w:val="Heading7"/>
        <w:ind w:hanging="0" w:start="0"/>
        <w:rPr/>
      </w:pPr>
      <w:r>
        <w:rPr/>
        <w:t>Mr. Richard Bullock</w:t>
        <w:tab/>
        <w:tab/>
        <w:tab/>
        <w:tab/>
        <w:tab/>
        <w:tab/>
        <w:tab/>
      </w:r>
      <w:r>
        <w:rPr>
          <w:b w:val="false"/>
          <w:bCs w:val="false"/>
        </w:rPr>
        <w:t>14</w:t>
      </w:r>
      <w:r>
        <w:rPr>
          <w:b w:val="false"/>
          <w:bCs w:val="false"/>
          <w:vertAlign w:val="superscript"/>
        </w:rPr>
        <w:t>th</w:t>
      </w:r>
      <w:r>
        <w:rPr>
          <w:b w:val="false"/>
          <w:bCs w:val="false"/>
        </w:rPr>
        <w:t xml:space="preserve"> September 2000</w:t>
      </w:r>
    </w:p>
    <w:p>
      <w:pPr>
        <w:pStyle w:val="Normal"/>
        <w:rPr>
          <w:b/>
          <w:bCs/>
        </w:rPr>
      </w:pPr>
      <w:r>
        <w:rPr>
          <w:b/>
          <w:bCs/>
        </w:rPr>
      </w:r>
    </w:p>
    <w:p>
      <w:pPr>
        <w:pStyle w:val="Normal"/>
        <w:jc w:val="center"/>
        <w:rPr>
          <w:b/>
          <w:bCs/>
          <w:u w:val="single"/>
        </w:rPr>
      </w:pPr>
      <w:r>
        <w:rPr>
          <w:b/>
          <w:bCs/>
          <w:u w:val="single"/>
        </w:rPr>
        <w:t>Kafus International Development Group (UK) Ltd. (KIDG)</w:t>
      </w:r>
    </w:p>
    <w:p>
      <w:pPr>
        <w:pStyle w:val="Normal"/>
        <w:rPr>
          <w:b/>
          <w:bCs/>
          <w:u w:val="single"/>
        </w:rPr>
      </w:pPr>
      <w:r>
        <w:rPr>
          <w:b/>
          <w:bCs/>
          <w:u w:val="single"/>
        </w:rPr>
      </w:r>
    </w:p>
    <w:p>
      <w:pPr>
        <w:pStyle w:val="Normal"/>
        <w:rPr/>
      </w:pPr>
      <w:r>
        <w:rPr/>
        <w:t>Dear Sirs,</w:t>
      </w:r>
    </w:p>
    <w:p>
      <w:pPr>
        <w:pStyle w:val="Normal"/>
        <w:rPr/>
      </w:pPr>
      <w:r>
        <w:rPr/>
      </w:r>
    </w:p>
    <w:p>
      <w:pPr>
        <w:pStyle w:val="Normal"/>
        <w:rPr/>
      </w:pPr>
      <w:r>
        <w:rPr/>
        <w:t>Under the terms of the agreement between Kafus Industries on the one part and The Coach House Group (UK) Ltd (CHG) and Sustainable Industries Ltd (SI) on the other part it is clearly agreed that should Kafus Industries fail to fund the KIDG development programme, or in the event that Kafus Industries should become bankrupt, that ownership of KIDG would revert to CHG and SI. The agreement was finalized at a meeting in London on 02 September 2000 and agreed to by all parties present.  All parties present were authorized and capable of entering into such an agreement on behalf of their respective Companies.</w:t>
      </w:r>
    </w:p>
    <w:p>
      <w:pPr>
        <w:pStyle w:val="Normal"/>
        <w:rPr/>
      </w:pPr>
      <w:r>
        <w:rPr/>
      </w:r>
    </w:p>
    <w:p>
      <w:pPr>
        <w:pStyle w:val="Normal"/>
        <w:rPr/>
      </w:pPr>
      <w:r>
        <w:rPr/>
        <w:t>I attach a minute of the meeting which is unsigned by Mr Swaisland. You will be aware that it was not unusual for Kafus executives to take decisions or enter into agreements without a documentary record. I therefore also attach a sworn affadavit from Mr. Swaisland confirming the agreement and his conviction that, under the terms of the agreement, “ CHG and SI now hold 100% ownership of KIDG”.</w:t>
      </w:r>
    </w:p>
    <w:p>
      <w:pPr>
        <w:pStyle w:val="Normal"/>
        <w:rPr/>
      </w:pPr>
      <w:r>
        <w:rPr/>
      </w:r>
    </w:p>
    <w:p>
      <w:pPr>
        <w:pStyle w:val="Normal"/>
        <w:rPr/>
      </w:pPr>
      <w:r>
        <w:rPr/>
        <w:t>Despite the lack of supporting documentary evidence, there is no doubt that such an agreement was in place, that it was legally binding and that Kafus is now in default.</w:t>
      </w:r>
    </w:p>
    <w:p>
      <w:pPr>
        <w:pStyle w:val="Normal"/>
        <w:rPr/>
      </w:pPr>
      <w:r>
        <w:rPr/>
        <w:t>I hereby give notice on behalf of CHG and SI that CHG and SI are now the owners of 100% of KIDG and that Companies House in the UK will be so advised so that the register of shareholders can be amended accordingly.</w:t>
      </w:r>
    </w:p>
    <w:p>
      <w:pPr>
        <w:pStyle w:val="Normal"/>
        <w:rPr/>
      </w:pPr>
      <w:r>
        <w:rPr/>
      </w:r>
    </w:p>
    <w:p>
      <w:pPr>
        <w:pStyle w:val="Normal"/>
        <w:rPr/>
      </w:pPr>
      <w:r>
        <w:rPr/>
        <w:t>Yours sincerely,</w:t>
      </w:r>
    </w:p>
    <w:p>
      <w:pPr>
        <w:pStyle w:val="Normal"/>
        <w:rPr/>
      </w:pPr>
      <w:r>
        <w:rPr/>
      </w:r>
    </w:p>
    <w:p>
      <w:pPr>
        <w:pStyle w:val="Normal"/>
        <w:rPr/>
      </w:pPr>
      <w:r>
        <w:rPr/>
      </w:r>
    </w:p>
    <w:p>
      <w:pPr>
        <w:pStyle w:val="Normal"/>
        <w:rPr/>
      </w:pPr>
      <w:r>
        <w:rPr/>
        <w:t>Michael J Cunningham</w:t>
      </w:r>
    </w:p>
    <w:p>
      <w:pPr>
        <w:pStyle w:val="Normal"/>
        <w:rPr/>
      </w:pPr>
      <w:r>
        <w:rPr/>
        <w:t>Chairman</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Book Antiqua" w:hAnsi="Book Antiqua" w:cs="Book Antiqua"/>
        <w:b/>
        <w:sz w:val="48"/>
      </w:rPr>
    </w:pPr>
    <w:r>
      <w:rPr>
        <w:rFonts w:cs="Book Antiqua" w:ascii="Book Antiqua" w:hAnsi="Book Antiqua"/>
        <w:b/>
        <w:sz w:val="48"/>
      </w:rPr>
      <w:t>THE COACH HOUSE GROUP (UK) LTD.</w:t>
    </w:r>
  </w:p>
  <w:p>
    <w:pPr>
      <w:pStyle w:val="Header"/>
      <w:jc w:val="center"/>
      <w:rPr>
        <w:rFonts w:ascii="Book Antiqua" w:hAnsi="Book Antiqua" w:cs="Book Antiqua"/>
        <w:b/>
      </w:rPr>
    </w:pPr>
    <w:r>
      <w:rPr>
        <w:rFonts w:cs="Book Antiqua" w:ascii="Book Antiqua" w:hAnsi="Book Antiqua"/>
        <w:b/>
      </w:rPr>
      <w:t>MAIN STREET KIRKBY LONSDALE CUMBRIA UK LA6 2AQ</w:t>
    </w:r>
  </w:p>
  <w:p>
    <w:pPr>
      <w:pStyle w:val="Header"/>
      <w:rPr>
        <w:rFonts w:ascii="Book Antiqua" w:hAnsi="Book Antiqua" w:cs="Book Antiqua"/>
        <w:b/>
      </w:rPr>
    </w:pPr>
    <w:r>
      <w:rPr>
        <w:rFonts w:cs="Book Antiqua" w:ascii="Book Antiqua" w:hAnsi="Book Antiqua"/>
        <w:b/>
      </w:rPr>
      <w:t xml:space="preserve">TEL 0044 15242 72315    </w:t>
      <w:tab/>
      <w:tab/>
      <w:t xml:space="preserve">      FAX 0044 15242 72902</w:t>
    </w:r>
  </w:p>
  <w:p>
    <w:pPr>
      <w:pStyle w:val="Header"/>
      <w:rPr>
        <w:rFonts w:ascii="Book Antiqua" w:hAnsi="Book Antiqua" w:cs="Book Antiqua"/>
        <w:b/>
      </w:rPr>
    </w:pPr>
    <w:r>
      <w:rPr>
        <w:rFonts w:cs="Book Antiqua" w:ascii="Book Antiqua" w:hAnsi="Book Antiqu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rFonts w:ascii="Book Antiqua" w:hAnsi="Book Antiqua" w:cs="Book Antiqua"/>
      <w:b/>
      <w:bCs/>
      <w:sz w:val="28"/>
      <w:u w:val="single"/>
    </w:rPr>
  </w:style>
  <w:style w:type="paragraph" w:styleId="Heading3">
    <w:name w:val="heading 3"/>
    <w:basedOn w:val="Normal"/>
    <w:next w:val="Normal"/>
    <w:qFormat/>
    <w:pPr>
      <w:keepNext w:val="true"/>
      <w:numPr>
        <w:ilvl w:val="2"/>
        <w:numId w:val="1"/>
      </w:numPr>
      <w:outlineLvl w:val="2"/>
    </w:pPr>
    <w:rPr>
      <w:rFonts w:ascii="Book Antiqua" w:hAnsi="Book Antiqua" w:cs="Book Antiqua"/>
      <w:sz w:val="28"/>
      <w:u w:val="single"/>
    </w:rPr>
  </w:style>
  <w:style w:type="paragraph" w:styleId="Heading4">
    <w:name w:val="heading 4"/>
    <w:basedOn w:val="Normal"/>
    <w:next w:val="Normal"/>
    <w:qFormat/>
    <w:pPr>
      <w:keepNext w:val="true"/>
      <w:numPr>
        <w:ilvl w:val="3"/>
        <w:numId w:val="1"/>
      </w:numPr>
      <w:outlineLvl w:val="3"/>
    </w:pPr>
    <w:rPr>
      <w:rFonts w:ascii="Book Antiqua" w:hAnsi="Book Antiqua" w:cs="Book Antiqua"/>
      <w:sz w:val="28"/>
    </w:rPr>
  </w:style>
  <w:style w:type="paragraph" w:styleId="Heading5">
    <w:name w:val="heading 5"/>
    <w:basedOn w:val="Normal"/>
    <w:next w:val="Normal"/>
    <w:qFormat/>
    <w:pPr>
      <w:keepNext w:val="true"/>
      <w:numPr>
        <w:ilvl w:val="4"/>
        <w:numId w:val="1"/>
      </w:numPr>
      <w:jc w:val="center"/>
      <w:outlineLvl w:val="4"/>
    </w:pPr>
    <w:rPr>
      <w:rFonts w:ascii="Book Antiqua" w:hAnsi="Book Antiqua" w:cs="Book Antiqua"/>
      <w:b/>
      <w:bCs/>
      <w:u w:val="single"/>
    </w:rPr>
  </w:style>
  <w:style w:type="paragraph" w:styleId="Heading6">
    <w:name w:val="heading 6"/>
    <w:basedOn w:val="Normal"/>
    <w:next w:val="Normal"/>
    <w:qFormat/>
    <w:pPr>
      <w:keepNext w:val="true"/>
      <w:numPr>
        <w:ilvl w:val="5"/>
        <w:numId w:val="1"/>
      </w:numPr>
      <w:outlineLvl w:val="5"/>
    </w:pPr>
    <w:rPr>
      <w:b/>
      <w:bCs/>
      <w:u w:val="single"/>
    </w:rPr>
  </w:style>
  <w:style w:type="paragraph" w:styleId="Heading7">
    <w:name w:val="heading 7"/>
    <w:basedOn w:val="Normal"/>
    <w:next w:val="Normal"/>
    <w:qFormat/>
    <w:pPr>
      <w:keepNext w:val="true"/>
      <w:numPr>
        <w:ilvl w:val="6"/>
        <w:numId w:val="1"/>
      </w:numPr>
      <w:outlineLvl w:val="6"/>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u w:val="singl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2000-09-14T15:17:00Z</dcterms:created>
  <dc:creator>Tate Holt</dc:creator>
  <dc:description/>
  <dc:language>en-CA</dc:language>
  <cp:lastModifiedBy>KTD Office Equipment</cp:lastModifiedBy>
  <cp:lastPrinted>2000-09-14T18:46:00Z</cp:lastPrinted>
  <dcterms:modified xsi:type="dcterms:W3CDTF">2000-09-15T11:27:00Z</dcterms:modified>
  <cp:revision>3</cp:revision>
  <dc:subject/>
  <dc:title>September 4, 1999</dc:title>
</cp:coreProperties>
</file>